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3820" w14:textId="3C803660" w:rsidR="00F8693E" w:rsidRPr="00AA52B9" w:rsidRDefault="00A3174F" w:rsidP="00F8693E">
      <w:pPr>
        <w:spacing w:line="276" w:lineRule="auto"/>
        <w:rPr>
          <w:b/>
          <w:i/>
          <w:sz w:val="26"/>
          <w:szCs w:val="26"/>
        </w:rPr>
      </w:pPr>
      <w:r w:rsidRPr="00A3174F">
        <w:rPr>
          <w:b/>
          <w:i/>
          <w:sz w:val="26"/>
          <w:szCs w:val="26"/>
        </w:rPr>
        <w:t>Understanding and Managing Attrition in AWS re/Start: A Guide for Collaborating Organizations</w:t>
      </w:r>
    </w:p>
    <w:p w14:paraId="5F81F645" w14:textId="77777777" w:rsidR="00F8693E" w:rsidRDefault="00F8693E" w:rsidP="00F8693E">
      <w:pPr>
        <w:spacing w:line="276" w:lineRule="auto"/>
        <w:rPr>
          <w:sz w:val="22"/>
          <w:szCs w:val="22"/>
        </w:rPr>
      </w:pPr>
    </w:p>
    <w:p w14:paraId="17D19C52" w14:textId="487089B9" w:rsidR="00F8693E" w:rsidRDefault="00A3174F" w:rsidP="00F8693E">
      <w:pPr>
        <w:spacing w:line="276" w:lineRule="auto"/>
        <w:rPr>
          <w:sz w:val="22"/>
          <w:szCs w:val="22"/>
        </w:rPr>
      </w:pPr>
      <w:r w:rsidRPr="00A3174F">
        <w:rPr>
          <w:sz w:val="22"/>
          <w:szCs w:val="22"/>
        </w:rPr>
        <w:t>Maintaining strong learner retention throughout the AWS re/Start program is crucial for achieving optimal outcomes and ensuring program sustainability</w:t>
      </w:r>
      <w:r w:rsidR="00327D27">
        <w:rPr>
          <w:sz w:val="22"/>
          <w:szCs w:val="22"/>
        </w:rPr>
        <w:t>. Lower learner retention or high attrition, have</w:t>
      </w:r>
      <w:r w:rsidR="00327D27" w:rsidRPr="00327D27">
        <w:rPr>
          <w:sz w:val="22"/>
          <w:szCs w:val="22"/>
        </w:rPr>
        <w:t xml:space="preserve"> important costs</w:t>
      </w:r>
      <w:r w:rsidR="00327D27">
        <w:rPr>
          <w:sz w:val="22"/>
          <w:szCs w:val="22"/>
        </w:rPr>
        <w:t xml:space="preserve"> for AWS re/Start and its collaborating organizations</w:t>
      </w:r>
      <w:r w:rsidR="00327D27" w:rsidRPr="00327D27">
        <w:rPr>
          <w:sz w:val="22"/>
          <w:szCs w:val="22"/>
        </w:rPr>
        <w:t xml:space="preserve"> and therefore it should be reduced to a minimum in order to maximize the impact and scale of available resources. </w:t>
      </w:r>
      <w:r w:rsidR="00B37F3B">
        <w:rPr>
          <w:sz w:val="22"/>
          <w:szCs w:val="22"/>
        </w:rPr>
        <w:t>Lower attrition helps to reduce the cost per graduated learner and maximizes the funding received and investment made by you and other collaborating organizations. The analysis of internal AWS re/Start data has also shown that l</w:t>
      </w:r>
      <w:r w:rsidR="00327D27">
        <w:rPr>
          <w:sz w:val="22"/>
          <w:szCs w:val="22"/>
        </w:rPr>
        <w:t>ow attrition is generally a sign of a healthy program and delivery across its main operational areas: acquisition and selection of learners; delivery of curriculum</w:t>
      </w:r>
      <w:r w:rsidR="00647B86">
        <w:rPr>
          <w:sz w:val="22"/>
          <w:szCs w:val="22"/>
        </w:rPr>
        <w:t xml:space="preserve"> and hands-on training of learners</w:t>
      </w:r>
      <w:r w:rsidR="00327D27">
        <w:rPr>
          <w:sz w:val="22"/>
          <w:szCs w:val="22"/>
        </w:rPr>
        <w:t>; engagement with future employers and placement rates.</w:t>
      </w:r>
      <w:r w:rsidRPr="00A3174F">
        <w:rPr>
          <w:sz w:val="22"/>
          <w:szCs w:val="22"/>
        </w:rPr>
        <w:t xml:space="preserve"> This </w:t>
      </w:r>
      <w:r w:rsidR="00B37F3B">
        <w:rPr>
          <w:sz w:val="22"/>
          <w:szCs w:val="22"/>
        </w:rPr>
        <w:t>guide</w:t>
      </w:r>
      <w:r w:rsidRPr="00A3174F">
        <w:rPr>
          <w:sz w:val="22"/>
          <w:szCs w:val="22"/>
        </w:rPr>
        <w:t xml:space="preserve"> provides insights and practical guidance to help</w:t>
      </w:r>
      <w:r w:rsidR="00327D27">
        <w:rPr>
          <w:sz w:val="22"/>
          <w:szCs w:val="22"/>
        </w:rPr>
        <w:t xml:space="preserve"> you, as a</w:t>
      </w:r>
      <w:r w:rsidRPr="00A3174F">
        <w:rPr>
          <w:sz w:val="22"/>
          <w:szCs w:val="22"/>
        </w:rPr>
        <w:t xml:space="preserve"> Collaborating Organization (CO)</w:t>
      </w:r>
      <w:r w:rsidR="00327D27">
        <w:rPr>
          <w:sz w:val="22"/>
          <w:szCs w:val="22"/>
        </w:rPr>
        <w:t>, to</w:t>
      </w:r>
      <w:r w:rsidRPr="00A3174F">
        <w:rPr>
          <w:sz w:val="22"/>
          <w:szCs w:val="22"/>
        </w:rPr>
        <w:t xml:space="preserve"> understand, measure, and effectively manage attrition. </w:t>
      </w:r>
      <w:r w:rsidR="00B37F3B">
        <w:rPr>
          <w:sz w:val="22"/>
          <w:szCs w:val="22"/>
        </w:rPr>
        <w:t>It covers</w:t>
      </w:r>
      <w:r w:rsidRPr="00A3174F">
        <w:rPr>
          <w:sz w:val="22"/>
          <w:szCs w:val="22"/>
        </w:rPr>
        <w:t xml:space="preserve"> the following aspects of attrition management:</w:t>
      </w:r>
    </w:p>
    <w:p w14:paraId="1449CEB9" w14:textId="656C0B53" w:rsidR="00E9787A" w:rsidRDefault="00F8693E">
      <w:pPr>
        <w:pStyle w:val="TOC1"/>
        <w:tabs>
          <w:tab w:val="right" w:pos="9010"/>
        </w:tabs>
        <w:rPr>
          <w:rFonts w:cstheme="minorBidi"/>
          <w:b w:val="0"/>
          <w:bCs w:val="0"/>
          <w:noProof/>
          <w:sz w:val="22"/>
          <w:szCs w:val="22"/>
        </w:rPr>
      </w:pPr>
      <w:r w:rsidRPr="00AA52B9">
        <w:rPr>
          <w:b w:val="0"/>
          <w:sz w:val="22"/>
          <w:szCs w:val="22"/>
        </w:rPr>
        <w:fldChar w:fldCharType="begin"/>
      </w:r>
      <w:r w:rsidRPr="00AA52B9">
        <w:rPr>
          <w:b w:val="0"/>
          <w:sz w:val="22"/>
          <w:szCs w:val="22"/>
        </w:rPr>
        <w:instrText xml:space="preserve"> TOC \h \z \u \t "Heading 5,1" </w:instrText>
      </w:r>
      <w:r w:rsidRPr="00AA52B9">
        <w:rPr>
          <w:b w:val="0"/>
          <w:sz w:val="22"/>
          <w:szCs w:val="22"/>
        </w:rPr>
        <w:fldChar w:fldCharType="separate"/>
      </w:r>
      <w:hyperlink w:anchor="_Toc192067338" w:history="1">
        <w:r w:rsidR="00E9787A" w:rsidRPr="00963116">
          <w:rPr>
            <w:rStyle w:val="Hyperlink"/>
            <w:noProof/>
          </w:rPr>
          <w:t xml:space="preserve">1. Understanding Attrition </w:t>
        </w:r>
        <w:r w:rsidR="00E9787A">
          <w:rPr>
            <w:noProof/>
            <w:webHidden/>
          </w:rPr>
          <w:tab/>
        </w:r>
        <w:r w:rsidR="00E9787A">
          <w:rPr>
            <w:noProof/>
            <w:webHidden/>
          </w:rPr>
          <w:fldChar w:fldCharType="begin"/>
        </w:r>
        <w:r w:rsidR="00E9787A">
          <w:rPr>
            <w:noProof/>
            <w:webHidden/>
          </w:rPr>
          <w:instrText xml:space="preserve"> PAGEREF _Toc192067338 \h </w:instrText>
        </w:r>
        <w:r w:rsidR="00E9787A">
          <w:rPr>
            <w:noProof/>
            <w:webHidden/>
          </w:rPr>
        </w:r>
        <w:r w:rsidR="00E9787A">
          <w:rPr>
            <w:noProof/>
            <w:webHidden/>
          </w:rPr>
          <w:fldChar w:fldCharType="separate"/>
        </w:r>
        <w:r w:rsidR="00E9787A">
          <w:rPr>
            <w:noProof/>
            <w:webHidden/>
          </w:rPr>
          <w:t>1</w:t>
        </w:r>
        <w:r w:rsidR="00E9787A">
          <w:rPr>
            <w:noProof/>
            <w:webHidden/>
          </w:rPr>
          <w:fldChar w:fldCharType="end"/>
        </w:r>
      </w:hyperlink>
    </w:p>
    <w:p w14:paraId="6E8C4348" w14:textId="442CA6CC" w:rsidR="00E9787A" w:rsidRDefault="001E4158">
      <w:pPr>
        <w:pStyle w:val="TOC1"/>
        <w:tabs>
          <w:tab w:val="right" w:pos="901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92067339" w:history="1">
        <w:r w:rsidR="00E9787A" w:rsidRPr="00963116">
          <w:rPr>
            <w:rStyle w:val="Hyperlink"/>
            <w:noProof/>
          </w:rPr>
          <w:t>2. Preparation – Setting up your delivery for success</w:t>
        </w:r>
        <w:r w:rsidR="00E9787A">
          <w:rPr>
            <w:noProof/>
            <w:webHidden/>
          </w:rPr>
          <w:tab/>
        </w:r>
        <w:r w:rsidR="00E9787A">
          <w:rPr>
            <w:noProof/>
            <w:webHidden/>
          </w:rPr>
          <w:fldChar w:fldCharType="begin"/>
        </w:r>
        <w:r w:rsidR="00E9787A">
          <w:rPr>
            <w:noProof/>
            <w:webHidden/>
          </w:rPr>
          <w:instrText xml:space="preserve"> PAGEREF _Toc192067339 \h </w:instrText>
        </w:r>
        <w:r w:rsidR="00E9787A">
          <w:rPr>
            <w:noProof/>
            <w:webHidden/>
          </w:rPr>
        </w:r>
        <w:r w:rsidR="00E9787A">
          <w:rPr>
            <w:noProof/>
            <w:webHidden/>
          </w:rPr>
          <w:fldChar w:fldCharType="separate"/>
        </w:r>
        <w:r w:rsidR="00E9787A">
          <w:rPr>
            <w:noProof/>
            <w:webHidden/>
          </w:rPr>
          <w:t>2</w:t>
        </w:r>
        <w:r w:rsidR="00E9787A">
          <w:rPr>
            <w:noProof/>
            <w:webHidden/>
          </w:rPr>
          <w:fldChar w:fldCharType="end"/>
        </w:r>
      </w:hyperlink>
    </w:p>
    <w:p w14:paraId="15FE0437" w14:textId="0E9AAED1" w:rsidR="00E9787A" w:rsidRDefault="001E4158">
      <w:pPr>
        <w:pStyle w:val="TOC1"/>
        <w:tabs>
          <w:tab w:val="right" w:pos="901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92067340" w:history="1">
        <w:r w:rsidR="00E9787A" w:rsidRPr="00963116">
          <w:rPr>
            <w:rStyle w:val="Hyperlink"/>
            <w:noProof/>
          </w:rPr>
          <w:t>3. Implementation – Strategies and best practices during program delivery</w:t>
        </w:r>
        <w:r w:rsidR="00E9787A">
          <w:rPr>
            <w:noProof/>
            <w:webHidden/>
          </w:rPr>
          <w:tab/>
        </w:r>
        <w:r w:rsidR="00E9787A">
          <w:rPr>
            <w:noProof/>
            <w:webHidden/>
          </w:rPr>
          <w:fldChar w:fldCharType="begin"/>
        </w:r>
        <w:r w:rsidR="00E9787A">
          <w:rPr>
            <w:noProof/>
            <w:webHidden/>
          </w:rPr>
          <w:instrText xml:space="preserve"> PAGEREF _Toc192067340 \h </w:instrText>
        </w:r>
        <w:r w:rsidR="00E9787A">
          <w:rPr>
            <w:noProof/>
            <w:webHidden/>
          </w:rPr>
        </w:r>
        <w:r w:rsidR="00E9787A">
          <w:rPr>
            <w:noProof/>
            <w:webHidden/>
          </w:rPr>
          <w:fldChar w:fldCharType="separate"/>
        </w:r>
        <w:r w:rsidR="00E9787A">
          <w:rPr>
            <w:noProof/>
            <w:webHidden/>
          </w:rPr>
          <w:t>3</w:t>
        </w:r>
        <w:r w:rsidR="00E9787A">
          <w:rPr>
            <w:noProof/>
            <w:webHidden/>
          </w:rPr>
          <w:fldChar w:fldCharType="end"/>
        </w:r>
      </w:hyperlink>
    </w:p>
    <w:p w14:paraId="4CF46A8D" w14:textId="4197A843" w:rsidR="00E9787A" w:rsidRDefault="001E4158">
      <w:pPr>
        <w:pStyle w:val="TOC1"/>
        <w:tabs>
          <w:tab w:val="right" w:pos="901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92067341" w:history="1">
        <w:r w:rsidR="00E9787A" w:rsidRPr="00963116">
          <w:rPr>
            <w:rStyle w:val="Hyperlink"/>
            <w:noProof/>
          </w:rPr>
          <w:t>4. Measurement – Tracking and improving retention rates</w:t>
        </w:r>
        <w:r w:rsidR="00E9787A">
          <w:rPr>
            <w:noProof/>
            <w:webHidden/>
          </w:rPr>
          <w:tab/>
        </w:r>
        <w:r w:rsidR="00E9787A">
          <w:rPr>
            <w:noProof/>
            <w:webHidden/>
          </w:rPr>
          <w:fldChar w:fldCharType="begin"/>
        </w:r>
        <w:r w:rsidR="00E9787A">
          <w:rPr>
            <w:noProof/>
            <w:webHidden/>
          </w:rPr>
          <w:instrText xml:space="preserve"> PAGEREF _Toc192067341 \h </w:instrText>
        </w:r>
        <w:r w:rsidR="00E9787A">
          <w:rPr>
            <w:noProof/>
            <w:webHidden/>
          </w:rPr>
        </w:r>
        <w:r w:rsidR="00E9787A">
          <w:rPr>
            <w:noProof/>
            <w:webHidden/>
          </w:rPr>
          <w:fldChar w:fldCharType="separate"/>
        </w:r>
        <w:r w:rsidR="00E9787A">
          <w:rPr>
            <w:noProof/>
            <w:webHidden/>
          </w:rPr>
          <w:t>4</w:t>
        </w:r>
        <w:r w:rsidR="00E9787A">
          <w:rPr>
            <w:noProof/>
            <w:webHidden/>
          </w:rPr>
          <w:fldChar w:fldCharType="end"/>
        </w:r>
      </w:hyperlink>
    </w:p>
    <w:p w14:paraId="57A88261" w14:textId="0543D2C5" w:rsidR="00E9787A" w:rsidRDefault="001E4158">
      <w:pPr>
        <w:pStyle w:val="TOC1"/>
        <w:tabs>
          <w:tab w:val="right" w:pos="901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92067342" w:history="1">
        <w:r w:rsidR="00E9787A" w:rsidRPr="00963116">
          <w:rPr>
            <w:rStyle w:val="Hyperlink"/>
            <w:noProof/>
          </w:rPr>
          <w:t>5. Tools and Resources – Recommended approaches and support systems</w:t>
        </w:r>
        <w:r w:rsidR="00E9787A">
          <w:rPr>
            <w:noProof/>
            <w:webHidden/>
          </w:rPr>
          <w:tab/>
        </w:r>
        <w:r w:rsidR="00E9787A">
          <w:rPr>
            <w:noProof/>
            <w:webHidden/>
          </w:rPr>
          <w:fldChar w:fldCharType="begin"/>
        </w:r>
        <w:r w:rsidR="00E9787A">
          <w:rPr>
            <w:noProof/>
            <w:webHidden/>
          </w:rPr>
          <w:instrText xml:space="preserve"> PAGEREF _Toc192067342 \h </w:instrText>
        </w:r>
        <w:r w:rsidR="00E9787A">
          <w:rPr>
            <w:noProof/>
            <w:webHidden/>
          </w:rPr>
        </w:r>
        <w:r w:rsidR="00E9787A">
          <w:rPr>
            <w:noProof/>
            <w:webHidden/>
          </w:rPr>
          <w:fldChar w:fldCharType="separate"/>
        </w:r>
        <w:r w:rsidR="00E9787A">
          <w:rPr>
            <w:noProof/>
            <w:webHidden/>
          </w:rPr>
          <w:t>5</w:t>
        </w:r>
        <w:r w:rsidR="00E9787A">
          <w:rPr>
            <w:noProof/>
            <w:webHidden/>
          </w:rPr>
          <w:fldChar w:fldCharType="end"/>
        </w:r>
      </w:hyperlink>
    </w:p>
    <w:p w14:paraId="3DE7CDFF" w14:textId="65A8B58D" w:rsidR="00F8693E" w:rsidRDefault="00F8693E" w:rsidP="00F8693E">
      <w:pPr>
        <w:spacing w:line="276" w:lineRule="auto"/>
        <w:rPr>
          <w:sz w:val="22"/>
          <w:szCs w:val="22"/>
        </w:rPr>
      </w:pPr>
      <w:r w:rsidRPr="00AA52B9">
        <w:rPr>
          <w:sz w:val="22"/>
          <w:szCs w:val="22"/>
        </w:rPr>
        <w:fldChar w:fldCharType="end"/>
      </w:r>
    </w:p>
    <w:p w14:paraId="00D690AC" w14:textId="77777777" w:rsidR="00F8693E" w:rsidRPr="009A325C" w:rsidRDefault="00F8693E" w:rsidP="00F8693E">
      <w:pPr>
        <w:spacing w:line="276" w:lineRule="auto"/>
        <w:rPr>
          <w:sz w:val="22"/>
          <w:szCs w:val="22"/>
        </w:rPr>
      </w:pPr>
    </w:p>
    <w:p w14:paraId="4278D294" w14:textId="5C0440DC" w:rsidR="00F8693E" w:rsidRPr="00AA52B9" w:rsidRDefault="003F10FD" w:rsidP="00F8693E">
      <w:pPr>
        <w:pStyle w:val="Heading5"/>
        <w:spacing w:line="276" w:lineRule="auto"/>
        <w:rPr>
          <w:sz w:val="24"/>
          <w:szCs w:val="24"/>
        </w:rPr>
      </w:pPr>
      <w:bookmarkStart w:id="0" w:name="_Toc192067338"/>
      <w:r>
        <w:rPr>
          <w:sz w:val="24"/>
          <w:szCs w:val="24"/>
        </w:rPr>
        <w:t xml:space="preserve">1. </w:t>
      </w:r>
      <w:r w:rsidR="00A3174F">
        <w:rPr>
          <w:sz w:val="24"/>
          <w:szCs w:val="24"/>
        </w:rPr>
        <w:t>Understanding Attrition</w:t>
      </w:r>
      <w:r w:rsidR="00327D27">
        <w:rPr>
          <w:sz w:val="24"/>
          <w:szCs w:val="24"/>
        </w:rPr>
        <w:t xml:space="preserve"> </w:t>
      </w:r>
      <w:bookmarkEnd w:id="0"/>
    </w:p>
    <w:p w14:paraId="3033452B" w14:textId="512BEEF2" w:rsidR="00083E3D" w:rsidRDefault="00083E3D" w:rsidP="00F8693E">
      <w:pPr>
        <w:spacing w:line="276" w:lineRule="auto"/>
        <w:rPr>
          <w:sz w:val="22"/>
        </w:rPr>
      </w:pPr>
      <w:r>
        <w:rPr>
          <w:sz w:val="22"/>
        </w:rPr>
        <w:t xml:space="preserve">AWS re/Start </w:t>
      </w:r>
      <w:r w:rsidR="00C9284D">
        <w:rPr>
          <w:sz w:val="22"/>
        </w:rPr>
        <w:t>aims to keep a lower than industry average attrition</w:t>
      </w:r>
      <w:r>
        <w:rPr>
          <w:sz w:val="22"/>
        </w:rPr>
        <w:t xml:space="preserve"> across its program</w:t>
      </w:r>
      <w:r w:rsidR="00C9284D">
        <w:rPr>
          <w:sz w:val="22"/>
        </w:rPr>
        <w:t>, close to the outcomes of in-person reskilling programs regardless of the cohort’s delivery format</w:t>
      </w:r>
      <w:r>
        <w:rPr>
          <w:sz w:val="22"/>
        </w:rPr>
        <w:t xml:space="preserve">. Although this is </w:t>
      </w:r>
      <w:r w:rsidR="002E118E">
        <w:rPr>
          <w:sz w:val="22"/>
        </w:rPr>
        <w:t xml:space="preserve">an </w:t>
      </w:r>
      <w:r>
        <w:rPr>
          <w:sz w:val="22"/>
        </w:rPr>
        <w:t xml:space="preserve">ambitious goal, in particular with the growth of hybrid and online cohorts since 2020, understanding the main opportunities and challenges of each delivery model helps </w:t>
      </w:r>
      <w:r w:rsidR="00C54EDD">
        <w:rPr>
          <w:sz w:val="22"/>
        </w:rPr>
        <w:t>you</w:t>
      </w:r>
      <w:r>
        <w:rPr>
          <w:sz w:val="22"/>
        </w:rPr>
        <w:t xml:space="preserve"> set realistic expectations and implement appropriate strategies to </w:t>
      </w:r>
      <w:r w:rsidR="00D54EE8">
        <w:rPr>
          <w:sz w:val="22"/>
        </w:rPr>
        <w:t>reduce</w:t>
      </w:r>
      <w:r>
        <w:rPr>
          <w:sz w:val="22"/>
        </w:rPr>
        <w:t xml:space="preserve"> </w:t>
      </w:r>
      <w:r w:rsidR="00D54EE8">
        <w:rPr>
          <w:sz w:val="22"/>
        </w:rPr>
        <w:t>attrition</w:t>
      </w:r>
      <w:r>
        <w:rPr>
          <w:sz w:val="22"/>
        </w:rPr>
        <w:t xml:space="preserve">.  </w:t>
      </w:r>
    </w:p>
    <w:p w14:paraId="39F159EA" w14:textId="3DB1F9D6" w:rsidR="00083E3D" w:rsidRDefault="00083E3D" w:rsidP="00F8693E">
      <w:pPr>
        <w:spacing w:line="276" w:lineRule="auto"/>
        <w:rPr>
          <w:sz w:val="22"/>
        </w:rPr>
      </w:pPr>
      <w:r>
        <w:rPr>
          <w:sz w:val="22"/>
        </w:rPr>
        <w:t>Typically, in-person</w:t>
      </w:r>
      <w:r w:rsidR="00C54EDD">
        <w:rPr>
          <w:sz w:val="22"/>
        </w:rPr>
        <w:t xml:space="preserve"> reskilling</w:t>
      </w:r>
      <w:r>
        <w:rPr>
          <w:sz w:val="22"/>
        </w:rPr>
        <w:t xml:space="preserve"> programs experience low attrition rates as they benefit from direct interaction, hands-on learning and community support, but they are also more challenging to scale, involve higher operational costs and limit accessibility for </w:t>
      </w:r>
      <w:r w:rsidR="00C54EDD">
        <w:rPr>
          <w:sz w:val="22"/>
        </w:rPr>
        <w:t>s</w:t>
      </w:r>
      <w:r>
        <w:rPr>
          <w:sz w:val="22"/>
        </w:rPr>
        <w:t xml:space="preserve">ome learners. </w:t>
      </w:r>
      <w:r w:rsidRPr="00083E3D">
        <w:rPr>
          <w:sz w:val="22"/>
        </w:rPr>
        <w:t>Online programs tend to experience high attrition rates</w:t>
      </w:r>
      <w:r>
        <w:rPr>
          <w:sz w:val="22"/>
        </w:rPr>
        <w:t xml:space="preserve">, often due to </w:t>
      </w:r>
      <w:r w:rsidRPr="00083E3D">
        <w:rPr>
          <w:sz w:val="22"/>
        </w:rPr>
        <w:t>lack of learner engagement, technical issues, feelings of isolation, and difficulty balancing coursework with other responsibilities.</w:t>
      </w:r>
      <w:r>
        <w:rPr>
          <w:sz w:val="22"/>
        </w:rPr>
        <w:t xml:space="preserve"> </w:t>
      </w:r>
      <w:r w:rsidR="00283846">
        <w:rPr>
          <w:sz w:val="22"/>
        </w:rPr>
        <w:t>However, e</w:t>
      </w:r>
      <w:r w:rsidR="00283846" w:rsidRPr="00283846">
        <w:rPr>
          <w:sz w:val="22"/>
        </w:rPr>
        <w:t>ffective learner support, interactive course design, and community-building strategies help improve retention</w:t>
      </w:r>
      <w:r>
        <w:rPr>
          <w:sz w:val="22"/>
        </w:rPr>
        <w:t xml:space="preserve"> </w:t>
      </w:r>
      <w:r w:rsidR="00283846">
        <w:rPr>
          <w:sz w:val="22"/>
        </w:rPr>
        <w:t xml:space="preserve">as many of AWS re/Start COs have </w:t>
      </w:r>
      <w:r w:rsidR="00C54EDD">
        <w:rPr>
          <w:sz w:val="22"/>
        </w:rPr>
        <w:t xml:space="preserve">repeatedly </w:t>
      </w:r>
      <w:r w:rsidR="00283846">
        <w:rPr>
          <w:sz w:val="22"/>
        </w:rPr>
        <w:t xml:space="preserve">shown. </w:t>
      </w:r>
      <w:r w:rsidR="00A53E06" w:rsidRPr="00A53E06">
        <w:rPr>
          <w:sz w:val="22"/>
        </w:rPr>
        <w:t xml:space="preserve">Hybrid programs, which combine in-person and online learning components, </w:t>
      </w:r>
      <w:r w:rsidR="00A53E06">
        <w:rPr>
          <w:sz w:val="22"/>
        </w:rPr>
        <w:t>are able to often</w:t>
      </w:r>
      <w:r w:rsidR="00A53E06" w:rsidRPr="00A53E06">
        <w:rPr>
          <w:sz w:val="22"/>
        </w:rPr>
        <w:t xml:space="preserve"> leverage the benefits of both delivery formats</w:t>
      </w:r>
      <w:r w:rsidR="00A53E06">
        <w:rPr>
          <w:sz w:val="22"/>
        </w:rPr>
        <w:t>, with attrition rates that fall in-between other delivery models. S</w:t>
      </w:r>
      <w:r w:rsidR="00A53E06" w:rsidRPr="00A53E06">
        <w:rPr>
          <w:sz w:val="22"/>
        </w:rPr>
        <w:t>uccessful hybrid programs require</w:t>
      </w:r>
      <w:r w:rsidR="00C54EDD">
        <w:rPr>
          <w:sz w:val="22"/>
        </w:rPr>
        <w:t xml:space="preserve"> a</w:t>
      </w:r>
      <w:r w:rsidR="00A53E06" w:rsidRPr="00A53E06">
        <w:rPr>
          <w:sz w:val="22"/>
        </w:rPr>
        <w:t xml:space="preserve"> careful sequencing of online and in-person modules, as well as seamless coordination between the </w:t>
      </w:r>
      <w:r w:rsidR="00A53E06" w:rsidRPr="00A53E06">
        <w:rPr>
          <w:sz w:val="22"/>
        </w:rPr>
        <w:lastRenderedPageBreak/>
        <w:t>two delivery modes</w:t>
      </w:r>
      <w:r w:rsidR="00A53E06">
        <w:rPr>
          <w:sz w:val="22"/>
        </w:rPr>
        <w:t xml:space="preserve"> and a correct management of learners’ expectations. </w:t>
      </w:r>
    </w:p>
    <w:p w14:paraId="7B1330EF" w14:textId="77777777" w:rsidR="00F8693E" w:rsidRPr="00C54EDD" w:rsidRDefault="00C27165" w:rsidP="00F8693E">
      <w:pPr>
        <w:spacing w:line="276" w:lineRule="auto"/>
        <w:rPr>
          <w:sz w:val="22"/>
        </w:rPr>
      </w:pPr>
      <w:r>
        <w:rPr>
          <w:sz w:val="22"/>
        </w:rPr>
        <w:t>In addition, f</w:t>
      </w:r>
      <w:r w:rsidRPr="00C27165">
        <w:rPr>
          <w:sz w:val="22"/>
        </w:rPr>
        <w:t>ree reskilling programs, while providing access to more learners, often experience higher attrition rates</w:t>
      </w:r>
      <w:r>
        <w:rPr>
          <w:sz w:val="22"/>
        </w:rPr>
        <w:t xml:space="preserve"> as learners have </w:t>
      </w:r>
      <w:r w:rsidRPr="00C27165">
        <w:rPr>
          <w:sz w:val="22"/>
        </w:rPr>
        <w:t xml:space="preserve">lower intrinsic motivation, </w:t>
      </w:r>
      <w:r w:rsidR="00C54EDD">
        <w:rPr>
          <w:sz w:val="22"/>
        </w:rPr>
        <w:t xml:space="preserve">due to a lack of </w:t>
      </w:r>
      <w:r w:rsidRPr="00C27165">
        <w:rPr>
          <w:sz w:val="22"/>
        </w:rPr>
        <w:t>financial investment</w:t>
      </w:r>
      <w:r>
        <w:rPr>
          <w:sz w:val="22"/>
        </w:rPr>
        <w:t xml:space="preserve">. In the case of programs serving vulnerable, disadvantaged or underserved populations, these </w:t>
      </w:r>
      <w:r w:rsidR="00D54EE8">
        <w:rPr>
          <w:sz w:val="22"/>
        </w:rPr>
        <w:t>should</w:t>
      </w:r>
      <w:r>
        <w:rPr>
          <w:sz w:val="22"/>
        </w:rPr>
        <w:t xml:space="preserve"> count with robust learner support services </w:t>
      </w:r>
      <w:r w:rsidR="00C54EDD">
        <w:rPr>
          <w:sz w:val="22"/>
        </w:rPr>
        <w:t>in order</w:t>
      </w:r>
      <w:r>
        <w:rPr>
          <w:sz w:val="22"/>
        </w:rPr>
        <w:t xml:space="preserve"> </w:t>
      </w:r>
      <w:r w:rsidR="00C54EDD">
        <w:rPr>
          <w:sz w:val="22"/>
        </w:rPr>
        <w:t xml:space="preserve">to </w:t>
      </w:r>
      <w:r>
        <w:rPr>
          <w:sz w:val="22"/>
        </w:rPr>
        <w:t xml:space="preserve">offer responses </w:t>
      </w:r>
      <w:r w:rsidR="00D54EE8">
        <w:rPr>
          <w:sz w:val="22"/>
        </w:rPr>
        <w:t xml:space="preserve">to unexpected challenges, </w:t>
      </w:r>
      <w:r>
        <w:rPr>
          <w:sz w:val="22"/>
        </w:rPr>
        <w:t xml:space="preserve">when and where needed. </w:t>
      </w:r>
    </w:p>
    <w:p w14:paraId="2A49333E" w14:textId="77777777" w:rsidR="00F8693E" w:rsidRDefault="00F8693E" w:rsidP="00F8693E">
      <w:pPr>
        <w:spacing w:line="276" w:lineRule="auto"/>
        <w:rPr>
          <w:sz w:val="22"/>
          <w:szCs w:val="22"/>
        </w:rPr>
      </w:pPr>
    </w:p>
    <w:p w14:paraId="553F9316" w14:textId="77777777" w:rsidR="00F8693E" w:rsidRDefault="003F10FD" w:rsidP="00F8693E">
      <w:pPr>
        <w:pStyle w:val="Heading5"/>
        <w:spacing w:line="276" w:lineRule="auto"/>
        <w:rPr>
          <w:sz w:val="24"/>
          <w:szCs w:val="24"/>
        </w:rPr>
      </w:pPr>
      <w:bookmarkStart w:id="1" w:name="_Toc192067339"/>
      <w:r>
        <w:rPr>
          <w:sz w:val="24"/>
          <w:szCs w:val="24"/>
        </w:rPr>
        <w:t xml:space="preserve">2. </w:t>
      </w:r>
      <w:r w:rsidR="00A3174F">
        <w:rPr>
          <w:sz w:val="24"/>
          <w:szCs w:val="24"/>
        </w:rPr>
        <w:t>Preparation</w:t>
      </w:r>
      <w:r w:rsidR="00F8693E" w:rsidRPr="00AA52B9">
        <w:rPr>
          <w:sz w:val="24"/>
          <w:szCs w:val="24"/>
        </w:rPr>
        <w:t xml:space="preserve"> – </w:t>
      </w:r>
      <w:r w:rsidR="00A3174F">
        <w:rPr>
          <w:sz w:val="24"/>
          <w:szCs w:val="24"/>
        </w:rPr>
        <w:t xml:space="preserve">Setting up your </w:t>
      </w:r>
      <w:r w:rsidR="00C54EDD">
        <w:rPr>
          <w:sz w:val="24"/>
          <w:szCs w:val="24"/>
        </w:rPr>
        <w:t>delivery</w:t>
      </w:r>
      <w:r w:rsidR="00A3174F">
        <w:rPr>
          <w:sz w:val="24"/>
          <w:szCs w:val="24"/>
        </w:rPr>
        <w:t xml:space="preserve"> for success</w:t>
      </w:r>
      <w:bookmarkEnd w:id="1"/>
    </w:p>
    <w:p w14:paraId="02FA8A5D" w14:textId="77777777" w:rsidR="00CD7CF2" w:rsidRPr="00CD7CF2" w:rsidRDefault="00CD7CF2" w:rsidP="00C54EDD">
      <w:pPr>
        <w:widowControl/>
        <w:tabs>
          <w:tab w:val="clear" w:pos="720"/>
        </w:tabs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 xml:space="preserve">Successfully managing attrition begins well before the program starts. </w:t>
      </w:r>
      <w:r w:rsidR="00D54EE8">
        <w:rPr>
          <w:rFonts w:eastAsia="Times New Roman"/>
          <w:sz w:val="22"/>
          <w:szCs w:val="22"/>
        </w:rPr>
        <w:t>You</w:t>
      </w:r>
      <w:r w:rsidRPr="00CD7CF2">
        <w:rPr>
          <w:rFonts w:eastAsia="Times New Roman"/>
          <w:sz w:val="22"/>
          <w:szCs w:val="22"/>
        </w:rPr>
        <w:t xml:space="preserve"> should consider implementing the following preparatory measures to establish a strong foundation for learner retention:</w:t>
      </w:r>
    </w:p>
    <w:p w14:paraId="609ABD51" w14:textId="77777777" w:rsidR="00CD7CF2" w:rsidRPr="00CD7CF2" w:rsidRDefault="00CD7CF2" w:rsidP="00D54EE8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eastAsia="Times New Roman"/>
          <w:b/>
          <w:sz w:val="22"/>
          <w:szCs w:val="22"/>
        </w:rPr>
      </w:pPr>
      <w:r w:rsidRPr="00CD7CF2">
        <w:rPr>
          <w:rFonts w:eastAsia="Times New Roman"/>
          <w:b/>
          <w:sz w:val="22"/>
          <w:szCs w:val="22"/>
        </w:rPr>
        <w:t>Learner Selection and Assessment</w:t>
      </w:r>
    </w:p>
    <w:p w14:paraId="2B5DBAB9" w14:textId="77777777" w:rsidR="00CD7CF2" w:rsidRPr="00CD7CF2" w:rsidRDefault="00CD7CF2" w:rsidP="00D54EE8">
      <w:pPr>
        <w:widowControl/>
        <w:numPr>
          <w:ilvl w:val="0"/>
          <w:numId w:val="6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Implement a thorough selection process to identify candidates who are most likely to succeed</w:t>
      </w:r>
      <w:r w:rsidR="00D54EE8">
        <w:rPr>
          <w:rFonts w:eastAsia="Times New Roman"/>
          <w:sz w:val="22"/>
          <w:szCs w:val="22"/>
        </w:rPr>
        <w:t>. Aspects like individual commitment, previous interest in the sector and a proactive attitude will help the learner to complete the program.</w:t>
      </w:r>
    </w:p>
    <w:p w14:paraId="45D12412" w14:textId="44A0B1E0" w:rsidR="00CD7CF2" w:rsidRPr="00CD7CF2" w:rsidRDefault="00CD7CF2" w:rsidP="00CD7CF2">
      <w:pPr>
        <w:widowControl/>
        <w:numPr>
          <w:ilvl w:val="0"/>
          <w:numId w:val="6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 xml:space="preserve">Consider introducing a "Week 0" </w:t>
      </w:r>
      <w:r w:rsidR="00D54EE8">
        <w:rPr>
          <w:rFonts w:eastAsia="Times New Roman"/>
          <w:sz w:val="22"/>
          <w:szCs w:val="22"/>
        </w:rPr>
        <w:t>or “Welcome”</w:t>
      </w:r>
      <w:r w:rsidRPr="00CD7CF2">
        <w:rPr>
          <w:rFonts w:eastAsia="Times New Roman"/>
          <w:sz w:val="22"/>
          <w:szCs w:val="22"/>
        </w:rPr>
        <w:t xml:space="preserve"> period </w:t>
      </w:r>
      <w:r w:rsidR="00D54EE8">
        <w:rPr>
          <w:rFonts w:eastAsia="Times New Roman"/>
          <w:sz w:val="22"/>
          <w:szCs w:val="22"/>
        </w:rPr>
        <w:t>during which</w:t>
      </w:r>
      <w:r w:rsidRPr="00CD7CF2">
        <w:rPr>
          <w:rFonts w:eastAsia="Times New Roman"/>
          <w:sz w:val="22"/>
          <w:szCs w:val="22"/>
        </w:rPr>
        <w:t xml:space="preserve"> learners can: </w:t>
      </w:r>
      <w:r w:rsidR="00D54EE8">
        <w:rPr>
          <w:rFonts w:eastAsia="Times New Roman"/>
          <w:sz w:val="22"/>
          <w:szCs w:val="22"/>
        </w:rPr>
        <w:t>i</w:t>
      </w:r>
      <w:r w:rsidRPr="00CD7CF2">
        <w:rPr>
          <w:rFonts w:eastAsia="Times New Roman"/>
          <w:sz w:val="22"/>
          <w:szCs w:val="22"/>
        </w:rPr>
        <w:t>nteract with instructors and previous learners</w:t>
      </w:r>
      <w:r w:rsidR="00D54EE8">
        <w:rPr>
          <w:rFonts w:eastAsia="Times New Roman"/>
          <w:sz w:val="22"/>
          <w:szCs w:val="22"/>
        </w:rPr>
        <w:t>; u</w:t>
      </w:r>
      <w:r w:rsidRPr="00CD7CF2">
        <w:rPr>
          <w:rFonts w:eastAsia="Times New Roman"/>
          <w:sz w:val="22"/>
          <w:szCs w:val="22"/>
        </w:rPr>
        <w:t xml:space="preserve">nderstand </w:t>
      </w:r>
      <w:r w:rsidR="00D54EE8">
        <w:rPr>
          <w:rFonts w:eastAsia="Times New Roman"/>
          <w:sz w:val="22"/>
          <w:szCs w:val="22"/>
        </w:rPr>
        <w:t xml:space="preserve">the </w:t>
      </w:r>
      <w:r w:rsidRPr="00CD7CF2">
        <w:rPr>
          <w:rFonts w:eastAsia="Times New Roman"/>
          <w:sz w:val="22"/>
          <w:szCs w:val="22"/>
        </w:rPr>
        <w:t>program expectations and intensity</w:t>
      </w:r>
      <w:r w:rsidR="00D54EE8">
        <w:rPr>
          <w:rFonts w:eastAsia="Times New Roman"/>
          <w:sz w:val="22"/>
          <w:szCs w:val="22"/>
        </w:rPr>
        <w:t>; and l</w:t>
      </w:r>
      <w:r w:rsidRPr="00CD7CF2">
        <w:rPr>
          <w:rFonts w:eastAsia="Times New Roman"/>
          <w:sz w:val="22"/>
          <w:szCs w:val="22"/>
        </w:rPr>
        <w:t>earn about cloud career opportunities</w:t>
      </w:r>
      <w:r w:rsidR="00D54EE8">
        <w:rPr>
          <w:rFonts w:eastAsia="Times New Roman"/>
          <w:sz w:val="22"/>
          <w:szCs w:val="22"/>
        </w:rPr>
        <w:t xml:space="preserve"> from recruiters or current professionals working in the sector.</w:t>
      </w:r>
      <w:r w:rsidR="00C9284D">
        <w:rPr>
          <w:rFonts w:eastAsia="Times New Roman"/>
          <w:sz w:val="22"/>
          <w:szCs w:val="22"/>
        </w:rPr>
        <w:t xml:space="preserve"> This takes place before learners are added to the Canvas environment.</w:t>
      </w:r>
    </w:p>
    <w:p w14:paraId="0361B0B7" w14:textId="77777777" w:rsidR="00CD7CF2" w:rsidRPr="00C571B8" w:rsidRDefault="00CD7CF2" w:rsidP="00C571B8">
      <w:pPr>
        <w:widowControl/>
        <w:numPr>
          <w:ilvl w:val="0"/>
          <w:numId w:val="6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Utilize assessment tools</w:t>
      </w:r>
      <w:r w:rsidR="00C571B8">
        <w:rPr>
          <w:rFonts w:eastAsia="Times New Roman"/>
          <w:sz w:val="22"/>
          <w:szCs w:val="22"/>
        </w:rPr>
        <w:t xml:space="preserve"> like an online test</w:t>
      </w:r>
      <w:r w:rsidRPr="00CD7CF2">
        <w:rPr>
          <w:rFonts w:eastAsia="Times New Roman"/>
          <w:sz w:val="22"/>
          <w:szCs w:val="22"/>
        </w:rPr>
        <w:t xml:space="preserve"> to evaluate technical aptitude, learning style, and commitment level</w:t>
      </w:r>
      <w:r w:rsidR="00D54EE8">
        <w:rPr>
          <w:rFonts w:eastAsia="Times New Roman"/>
          <w:sz w:val="22"/>
          <w:szCs w:val="22"/>
        </w:rPr>
        <w:t>.</w:t>
      </w:r>
      <w:r w:rsidR="00C571B8">
        <w:rPr>
          <w:rFonts w:eastAsia="Times New Roman"/>
          <w:sz w:val="22"/>
          <w:szCs w:val="22"/>
        </w:rPr>
        <w:t xml:space="preserve"> This can also include the requirement to complete </w:t>
      </w:r>
      <w:r w:rsidRPr="00C571B8">
        <w:rPr>
          <w:rFonts w:eastAsia="Times New Roman"/>
          <w:sz w:val="22"/>
          <w:szCs w:val="22"/>
        </w:rPr>
        <w:t>pre-program activities such as</w:t>
      </w:r>
      <w:r w:rsidR="00C571B8">
        <w:rPr>
          <w:rFonts w:eastAsia="Times New Roman"/>
          <w:sz w:val="22"/>
          <w:szCs w:val="22"/>
        </w:rPr>
        <w:t xml:space="preserve"> the </w:t>
      </w:r>
      <w:r w:rsidR="00C571B8" w:rsidRPr="00C571B8">
        <w:rPr>
          <w:rFonts w:eastAsia="Times New Roman"/>
          <w:sz w:val="22"/>
          <w:szCs w:val="22"/>
        </w:rPr>
        <w:t>"Introduction to Cloud 101"</w:t>
      </w:r>
      <w:r w:rsidR="00C571B8">
        <w:rPr>
          <w:rFonts w:eastAsia="Times New Roman"/>
          <w:sz w:val="22"/>
          <w:szCs w:val="22"/>
        </w:rPr>
        <w:t xml:space="preserve"> course available in</w:t>
      </w:r>
      <w:r w:rsidRPr="00C571B8">
        <w:rPr>
          <w:rFonts w:eastAsia="Times New Roman"/>
          <w:sz w:val="22"/>
          <w:szCs w:val="22"/>
        </w:rPr>
        <w:t xml:space="preserve"> </w:t>
      </w:r>
      <w:hyperlink r:id="rId7" w:history="1">
        <w:r w:rsidRPr="00C571B8">
          <w:rPr>
            <w:rStyle w:val="Hyperlink"/>
            <w:rFonts w:eastAsia="Times New Roman"/>
            <w:sz w:val="22"/>
            <w:szCs w:val="22"/>
          </w:rPr>
          <w:t>AWS Educate</w:t>
        </w:r>
      </w:hyperlink>
      <w:r w:rsidR="00C571B8">
        <w:rPr>
          <w:rFonts w:eastAsia="Times New Roman"/>
          <w:sz w:val="22"/>
          <w:szCs w:val="22"/>
        </w:rPr>
        <w:t>.</w:t>
      </w:r>
      <w:r w:rsidRPr="00C571B8">
        <w:rPr>
          <w:rFonts w:eastAsia="Times New Roman"/>
          <w:sz w:val="22"/>
          <w:szCs w:val="22"/>
        </w:rPr>
        <w:t xml:space="preserve"> </w:t>
      </w:r>
      <w:r w:rsidR="00C571B8">
        <w:rPr>
          <w:rFonts w:eastAsia="Times New Roman"/>
          <w:sz w:val="22"/>
          <w:szCs w:val="22"/>
        </w:rPr>
        <w:t xml:space="preserve">This is available in  multiple languages and learners who complete it will receive a </w:t>
      </w:r>
      <w:hyperlink r:id="rId8" w:history="1">
        <w:r w:rsidR="00C571B8" w:rsidRPr="00C571B8">
          <w:rPr>
            <w:rStyle w:val="Hyperlink"/>
            <w:rFonts w:eastAsia="Times New Roman"/>
            <w:sz w:val="22"/>
            <w:szCs w:val="22"/>
          </w:rPr>
          <w:t>badge</w:t>
        </w:r>
      </w:hyperlink>
      <w:r w:rsidR="00C571B8">
        <w:rPr>
          <w:rFonts w:eastAsia="Times New Roman"/>
          <w:sz w:val="22"/>
          <w:szCs w:val="22"/>
        </w:rPr>
        <w:t xml:space="preserve"> that they can add to their LinkedIn profile.</w:t>
      </w:r>
    </w:p>
    <w:p w14:paraId="55C51EB7" w14:textId="77777777" w:rsidR="00CD7CF2" w:rsidRPr="00C571B8" w:rsidRDefault="00CD7CF2" w:rsidP="00091FEA">
      <w:pPr>
        <w:widowControl/>
        <w:tabs>
          <w:tab w:val="clear" w:pos="720"/>
        </w:tabs>
        <w:suppressAutoHyphens w:val="0"/>
        <w:autoSpaceDE/>
        <w:autoSpaceDN/>
        <w:adjustRightInd/>
        <w:spacing w:line="240" w:lineRule="auto"/>
        <w:textAlignment w:val="auto"/>
        <w:rPr>
          <w:rFonts w:eastAsia="Times New Roman"/>
          <w:b/>
          <w:sz w:val="22"/>
          <w:szCs w:val="22"/>
        </w:rPr>
      </w:pPr>
      <w:r w:rsidRPr="00C571B8">
        <w:rPr>
          <w:rFonts w:eastAsia="Times New Roman"/>
          <w:b/>
          <w:sz w:val="22"/>
          <w:szCs w:val="22"/>
        </w:rPr>
        <w:t>Support System Development</w:t>
      </w:r>
    </w:p>
    <w:p w14:paraId="06384234" w14:textId="3086AEC4" w:rsidR="00CD7CF2" w:rsidRPr="00CD7CF2" w:rsidRDefault="00CD7CF2" w:rsidP="00091FEA">
      <w:pPr>
        <w:widowControl/>
        <w:numPr>
          <w:ilvl w:val="0"/>
          <w:numId w:val="7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 xml:space="preserve">Establish comprehensive support mechanisms </w:t>
      </w:r>
      <w:r w:rsidR="00C571B8">
        <w:rPr>
          <w:rFonts w:eastAsia="Times New Roman"/>
          <w:sz w:val="22"/>
          <w:szCs w:val="22"/>
        </w:rPr>
        <w:t xml:space="preserve">that add value to the technical curriculum </w:t>
      </w:r>
      <w:r w:rsidRPr="00CD7CF2">
        <w:rPr>
          <w:rFonts w:eastAsia="Times New Roman"/>
          <w:sz w:val="22"/>
          <w:szCs w:val="22"/>
        </w:rPr>
        <w:t xml:space="preserve">before </w:t>
      </w:r>
      <w:r w:rsidR="00C571B8">
        <w:rPr>
          <w:rFonts w:eastAsia="Times New Roman"/>
          <w:sz w:val="22"/>
          <w:szCs w:val="22"/>
        </w:rPr>
        <w:t xml:space="preserve">the </w:t>
      </w:r>
      <w:r w:rsidRPr="00CD7CF2">
        <w:rPr>
          <w:rFonts w:eastAsia="Times New Roman"/>
          <w:sz w:val="22"/>
          <w:szCs w:val="22"/>
        </w:rPr>
        <w:t>program</w:t>
      </w:r>
      <w:r w:rsidR="00C571B8">
        <w:rPr>
          <w:rFonts w:eastAsia="Times New Roman"/>
          <w:sz w:val="22"/>
          <w:szCs w:val="22"/>
        </w:rPr>
        <w:t>’s</w:t>
      </w:r>
      <w:r w:rsidRPr="00CD7CF2">
        <w:rPr>
          <w:rFonts w:eastAsia="Times New Roman"/>
          <w:sz w:val="22"/>
          <w:szCs w:val="22"/>
        </w:rPr>
        <w:t xml:space="preserve"> launch</w:t>
      </w:r>
      <w:r w:rsidR="00C571B8">
        <w:rPr>
          <w:rFonts w:eastAsia="Times New Roman"/>
          <w:sz w:val="22"/>
          <w:szCs w:val="22"/>
        </w:rPr>
        <w:t xml:space="preserve"> like</w:t>
      </w:r>
      <w:r w:rsidRPr="00CD7CF2">
        <w:rPr>
          <w:rFonts w:eastAsia="Times New Roman"/>
          <w:sz w:val="22"/>
          <w:szCs w:val="22"/>
        </w:rPr>
        <w:t>: tutoring resources</w:t>
      </w:r>
      <w:r w:rsidR="00C571B8">
        <w:rPr>
          <w:rFonts w:eastAsia="Times New Roman"/>
          <w:sz w:val="22"/>
          <w:szCs w:val="22"/>
        </w:rPr>
        <w:t xml:space="preserve">; </w:t>
      </w:r>
      <w:r w:rsidRPr="00CD7CF2">
        <w:rPr>
          <w:rFonts w:eastAsia="Times New Roman"/>
          <w:sz w:val="22"/>
          <w:szCs w:val="22"/>
        </w:rPr>
        <w:t xml:space="preserve">mentorship </w:t>
      </w:r>
      <w:r w:rsidR="002B0BE4">
        <w:rPr>
          <w:rFonts w:eastAsia="Times New Roman"/>
          <w:sz w:val="22"/>
          <w:szCs w:val="22"/>
        </w:rPr>
        <w:t>activities</w:t>
      </w:r>
      <w:r w:rsidR="00091FEA">
        <w:rPr>
          <w:rFonts w:eastAsia="Times New Roman"/>
          <w:sz w:val="22"/>
          <w:szCs w:val="22"/>
        </w:rPr>
        <w:t xml:space="preserve"> in collaboration with potential future employers; c</w:t>
      </w:r>
      <w:r w:rsidRPr="00CD7CF2">
        <w:rPr>
          <w:rFonts w:eastAsia="Times New Roman"/>
          <w:sz w:val="22"/>
          <w:szCs w:val="22"/>
        </w:rPr>
        <w:t xml:space="preserve">areer guidance </w:t>
      </w:r>
      <w:r w:rsidR="00091FEA">
        <w:rPr>
          <w:rFonts w:eastAsia="Times New Roman"/>
          <w:sz w:val="22"/>
          <w:szCs w:val="22"/>
        </w:rPr>
        <w:t>sessions led by HR professionals; and professional sessions with cloud professionals.</w:t>
      </w:r>
    </w:p>
    <w:p w14:paraId="375071B3" w14:textId="77777777" w:rsidR="00CD7CF2" w:rsidRPr="00CD7CF2" w:rsidRDefault="00CD7CF2" w:rsidP="00CD7CF2">
      <w:pPr>
        <w:widowControl/>
        <w:numPr>
          <w:ilvl w:val="0"/>
          <w:numId w:val="7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Build relationships with local NGOs and social services to provide additional support for learners</w:t>
      </w:r>
      <w:r w:rsidR="00091FEA">
        <w:rPr>
          <w:rFonts w:eastAsia="Times New Roman"/>
          <w:sz w:val="22"/>
          <w:szCs w:val="22"/>
        </w:rPr>
        <w:t xml:space="preserve"> in vulnerable situations.</w:t>
      </w:r>
    </w:p>
    <w:p w14:paraId="2426AB55" w14:textId="77777777" w:rsidR="00CD7CF2" w:rsidRPr="00CD7CF2" w:rsidRDefault="00CD7CF2" w:rsidP="00CD7CF2">
      <w:pPr>
        <w:widowControl/>
        <w:numPr>
          <w:ilvl w:val="0"/>
          <w:numId w:val="7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 xml:space="preserve">Create clear </w:t>
      </w:r>
      <w:r w:rsidR="00091FEA">
        <w:rPr>
          <w:rFonts w:eastAsia="Times New Roman"/>
          <w:sz w:val="22"/>
          <w:szCs w:val="22"/>
        </w:rPr>
        <w:t xml:space="preserve">internal </w:t>
      </w:r>
      <w:r w:rsidRPr="00CD7CF2">
        <w:rPr>
          <w:rFonts w:eastAsia="Times New Roman"/>
          <w:sz w:val="22"/>
          <w:szCs w:val="22"/>
        </w:rPr>
        <w:t>escalation paths for learners experiencing challenges</w:t>
      </w:r>
      <w:r w:rsidR="00091FEA">
        <w:rPr>
          <w:rFonts w:eastAsia="Times New Roman"/>
          <w:sz w:val="22"/>
          <w:szCs w:val="22"/>
        </w:rPr>
        <w:t xml:space="preserve"> which can be related with quality of instruction, group dynamic or other. </w:t>
      </w:r>
    </w:p>
    <w:p w14:paraId="7A87A468" w14:textId="77777777" w:rsidR="00CD7CF2" w:rsidRPr="00091FEA" w:rsidRDefault="00CD7CF2" w:rsidP="00091FEA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eastAsia="Times New Roman"/>
          <w:b/>
          <w:sz w:val="22"/>
          <w:szCs w:val="22"/>
        </w:rPr>
      </w:pPr>
      <w:r w:rsidRPr="00091FEA">
        <w:rPr>
          <w:rFonts w:eastAsia="Times New Roman"/>
          <w:b/>
          <w:sz w:val="22"/>
          <w:szCs w:val="22"/>
        </w:rPr>
        <w:t>Resource Planning</w:t>
      </w:r>
    </w:p>
    <w:p w14:paraId="40BB2364" w14:textId="2DA4722A" w:rsidR="00CD7CF2" w:rsidRPr="00CD7CF2" w:rsidRDefault="00CD7CF2" w:rsidP="00091FEA">
      <w:pPr>
        <w:widowControl/>
        <w:numPr>
          <w:ilvl w:val="0"/>
          <w:numId w:val="8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Align cohort size with available resources</w:t>
      </w:r>
      <w:r w:rsidR="00091FEA">
        <w:rPr>
          <w:rFonts w:eastAsia="Times New Roman"/>
          <w:sz w:val="22"/>
          <w:szCs w:val="22"/>
        </w:rPr>
        <w:t xml:space="preserve">. </w:t>
      </w:r>
      <w:r w:rsidRPr="00CD7CF2">
        <w:rPr>
          <w:rFonts w:eastAsia="Times New Roman"/>
          <w:sz w:val="22"/>
          <w:szCs w:val="22"/>
        </w:rPr>
        <w:t>Smaller cohorts (under 30 learners) typically show lower attrition rates</w:t>
      </w:r>
      <w:r w:rsidR="00091FEA">
        <w:rPr>
          <w:rFonts w:eastAsia="Times New Roman"/>
          <w:sz w:val="22"/>
          <w:szCs w:val="22"/>
        </w:rPr>
        <w:t xml:space="preserve"> so you need to ensure</w:t>
      </w:r>
      <w:r w:rsidRPr="00CD7CF2">
        <w:rPr>
          <w:rFonts w:eastAsia="Times New Roman"/>
          <w:sz w:val="22"/>
          <w:szCs w:val="22"/>
        </w:rPr>
        <w:t xml:space="preserve"> adequate instructor-to-learner rat</w:t>
      </w:r>
      <w:r w:rsidR="00760AE0">
        <w:rPr>
          <w:rFonts w:eastAsia="Times New Roman"/>
          <w:sz w:val="22"/>
          <w:szCs w:val="22"/>
        </w:rPr>
        <w:t>ios</w:t>
      </w:r>
      <w:r w:rsidR="00B37F3B">
        <w:rPr>
          <w:rFonts w:eastAsia="Times New Roman"/>
          <w:sz w:val="22"/>
          <w:szCs w:val="22"/>
        </w:rPr>
        <w:t xml:space="preserve"> for larger groups</w:t>
      </w:r>
      <w:r w:rsidR="00091FEA">
        <w:rPr>
          <w:rFonts w:eastAsia="Times New Roman"/>
          <w:sz w:val="22"/>
          <w:szCs w:val="22"/>
        </w:rPr>
        <w:t>.</w:t>
      </w:r>
      <w:r w:rsidR="00B37F3B">
        <w:rPr>
          <w:rFonts w:eastAsia="Times New Roman"/>
          <w:sz w:val="22"/>
          <w:szCs w:val="22"/>
        </w:rPr>
        <w:t xml:space="preserve"> Allocated resources should also be aligned with the previous experience or technical knowledge of learners.</w:t>
      </w:r>
      <w:r w:rsidR="00091FEA">
        <w:rPr>
          <w:rFonts w:eastAsia="Times New Roman"/>
          <w:sz w:val="22"/>
          <w:szCs w:val="22"/>
        </w:rPr>
        <w:t xml:space="preserve"> </w:t>
      </w:r>
    </w:p>
    <w:p w14:paraId="664985AC" w14:textId="63D077D8" w:rsidR="00CD7CF2" w:rsidRPr="00CD7CF2" w:rsidRDefault="00CD7CF2" w:rsidP="00CD7CF2">
      <w:pPr>
        <w:widowControl/>
        <w:numPr>
          <w:ilvl w:val="0"/>
          <w:numId w:val="8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Prepare contingency plans for common challenges:</w:t>
      </w:r>
      <w:r w:rsidR="00091FEA">
        <w:rPr>
          <w:rFonts w:eastAsia="Times New Roman"/>
          <w:sz w:val="22"/>
          <w:szCs w:val="22"/>
        </w:rPr>
        <w:t xml:space="preserve"> technical issues; learning pace variations among the group; </w:t>
      </w:r>
      <w:r w:rsidR="003A63B3">
        <w:rPr>
          <w:rFonts w:eastAsia="Times New Roman"/>
          <w:sz w:val="22"/>
          <w:szCs w:val="22"/>
        </w:rPr>
        <w:t xml:space="preserve">or new </w:t>
      </w:r>
      <w:r w:rsidR="00040211">
        <w:rPr>
          <w:rFonts w:eastAsia="Times New Roman"/>
          <w:sz w:val="22"/>
          <w:szCs w:val="22"/>
        </w:rPr>
        <w:t xml:space="preserve">or temporary </w:t>
      </w:r>
      <w:r w:rsidR="003A63B3">
        <w:rPr>
          <w:rFonts w:eastAsia="Times New Roman"/>
          <w:sz w:val="22"/>
          <w:szCs w:val="22"/>
        </w:rPr>
        <w:t>p</w:t>
      </w:r>
      <w:r w:rsidRPr="00CD7CF2">
        <w:rPr>
          <w:rFonts w:eastAsia="Times New Roman"/>
          <w:sz w:val="22"/>
          <w:szCs w:val="22"/>
        </w:rPr>
        <w:t xml:space="preserve">ersonal </w:t>
      </w:r>
      <w:r w:rsidR="00B37F3B">
        <w:rPr>
          <w:rFonts w:eastAsia="Times New Roman"/>
          <w:sz w:val="22"/>
          <w:szCs w:val="22"/>
        </w:rPr>
        <w:t xml:space="preserve">change of </w:t>
      </w:r>
      <w:r w:rsidR="00040211">
        <w:rPr>
          <w:rFonts w:eastAsia="Times New Roman"/>
          <w:sz w:val="22"/>
          <w:szCs w:val="22"/>
        </w:rPr>
        <w:t>circumstances.</w:t>
      </w:r>
    </w:p>
    <w:p w14:paraId="2D9A093A" w14:textId="77777777" w:rsidR="00CD7CF2" w:rsidRPr="00040211" w:rsidRDefault="00CD7CF2" w:rsidP="00040211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eastAsia="Times New Roman"/>
          <w:b/>
          <w:sz w:val="22"/>
          <w:szCs w:val="22"/>
        </w:rPr>
      </w:pPr>
      <w:r w:rsidRPr="00291BF4">
        <w:rPr>
          <w:rFonts w:eastAsia="Times New Roman"/>
          <w:b/>
          <w:sz w:val="22"/>
          <w:szCs w:val="22"/>
        </w:rPr>
        <w:t>Instructor Preparation</w:t>
      </w:r>
    </w:p>
    <w:p w14:paraId="0960C593" w14:textId="06B4E214" w:rsidR="00CD7CF2" w:rsidRPr="00CD7CF2" w:rsidRDefault="00040211" w:rsidP="00040211">
      <w:pPr>
        <w:widowControl/>
        <w:numPr>
          <w:ilvl w:val="0"/>
          <w:numId w:val="9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As AWS re/Start guidelines on instructors indicate, it is important to s</w:t>
      </w:r>
      <w:r w:rsidR="00CD7CF2" w:rsidRPr="00CD7CF2">
        <w:rPr>
          <w:rFonts w:eastAsia="Times New Roman"/>
          <w:sz w:val="22"/>
          <w:szCs w:val="22"/>
        </w:rPr>
        <w:t xml:space="preserve">elect instructors with both technical expertise and strong teaching </w:t>
      </w:r>
      <w:r w:rsidR="00760AE0">
        <w:rPr>
          <w:rFonts w:eastAsia="Times New Roman"/>
          <w:sz w:val="22"/>
          <w:szCs w:val="22"/>
        </w:rPr>
        <w:t>skills</w:t>
      </w:r>
      <w:r>
        <w:rPr>
          <w:rFonts w:eastAsia="Times New Roman"/>
          <w:sz w:val="22"/>
          <w:szCs w:val="22"/>
        </w:rPr>
        <w:t xml:space="preserve">. You should also look for instructors with </w:t>
      </w:r>
      <w:r>
        <w:rPr>
          <w:rFonts w:eastAsia="Times New Roman"/>
          <w:sz w:val="22"/>
          <w:szCs w:val="22"/>
        </w:rPr>
        <w:lastRenderedPageBreak/>
        <w:t>experience working with the same type of learners that your organization supports and in formats similar to those used by you.</w:t>
      </w:r>
    </w:p>
    <w:p w14:paraId="60884129" w14:textId="6451D74E" w:rsidR="00CD7CF2" w:rsidRDefault="00040211" w:rsidP="00CD7CF2">
      <w:pPr>
        <w:widowControl/>
        <w:numPr>
          <w:ilvl w:val="0"/>
          <w:numId w:val="9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Strengthen the quality of your instructors by providing</w:t>
      </w:r>
      <w:r w:rsidR="00CD7CF2" w:rsidRPr="00CD7CF2">
        <w:rPr>
          <w:rFonts w:eastAsia="Times New Roman"/>
          <w:sz w:val="22"/>
          <w:szCs w:val="22"/>
        </w:rPr>
        <w:t xml:space="preserve"> training on:</w:t>
      </w:r>
      <w:r>
        <w:rPr>
          <w:rFonts w:eastAsia="Times New Roman"/>
          <w:sz w:val="22"/>
          <w:szCs w:val="22"/>
        </w:rPr>
        <w:t xml:space="preserve"> e</w:t>
      </w:r>
      <w:r w:rsidR="00CD7CF2" w:rsidRPr="00CD7CF2">
        <w:rPr>
          <w:rFonts w:eastAsia="Times New Roman"/>
          <w:sz w:val="22"/>
          <w:szCs w:val="22"/>
        </w:rPr>
        <w:t>ngaging diverse learner groups</w:t>
      </w:r>
      <w:r>
        <w:rPr>
          <w:rFonts w:eastAsia="Times New Roman"/>
          <w:sz w:val="22"/>
          <w:szCs w:val="22"/>
        </w:rPr>
        <w:t>;</w:t>
      </w:r>
      <w:r w:rsidR="00CD7CF2" w:rsidRPr="00CD7CF2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</w:t>
      </w:r>
      <w:r w:rsidR="00CD7CF2" w:rsidRPr="00CD7CF2">
        <w:rPr>
          <w:rFonts w:eastAsia="Times New Roman"/>
          <w:sz w:val="22"/>
          <w:szCs w:val="22"/>
        </w:rPr>
        <w:t>dentifying early warning signs of potential dropouts</w:t>
      </w:r>
      <w:r>
        <w:rPr>
          <w:rFonts w:eastAsia="Times New Roman"/>
          <w:sz w:val="22"/>
          <w:szCs w:val="22"/>
        </w:rPr>
        <w:t>;</w:t>
      </w:r>
      <w:r w:rsidR="00CD7CF2" w:rsidRPr="00CD7CF2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m</w:t>
      </w:r>
      <w:r w:rsidR="00CD7CF2" w:rsidRPr="00CD7CF2">
        <w:rPr>
          <w:rFonts w:eastAsia="Times New Roman"/>
          <w:sz w:val="22"/>
          <w:szCs w:val="22"/>
        </w:rPr>
        <w:t>anaging different delivery formats (in-person, online, or hybrid)</w:t>
      </w:r>
      <w:r>
        <w:rPr>
          <w:rFonts w:eastAsia="Times New Roman"/>
          <w:sz w:val="22"/>
          <w:szCs w:val="22"/>
        </w:rPr>
        <w:t xml:space="preserve"> in engaging ways.</w:t>
      </w:r>
    </w:p>
    <w:p w14:paraId="32BDB476" w14:textId="6117C4FE" w:rsidR="00760AE0" w:rsidRPr="00CD7CF2" w:rsidRDefault="00760AE0" w:rsidP="00CD7CF2">
      <w:pPr>
        <w:widowControl/>
        <w:numPr>
          <w:ilvl w:val="0"/>
          <w:numId w:val="9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Follow guidelines provided on instructor selection. You can find the most updated information on CO Portal &gt; Resources &gt;</w:t>
      </w:r>
      <w:r w:rsidR="00291BF4">
        <w:rPr>
          <w:rFonts w:eastAsia="Times New Roman"/>
          <w:sz w:val="22"/>
          <w:szCs w:val="22"/>
        </w:rPr>
        <w:t xml:space="preserve"> Instructor Requirements. Instructors are expected to go through the AWS re/Start Instructor Preparedness Training and Knowledge Check on regular basis. </w:t>
      </w:r>
    </w:p>
    <w:p w14:paraId="6638BAE7" w14:textId="77777777" w:rsidR="00CD7CF2" w:rsidRPr="00040211" w:rsidRDefault="00CD7CF2" w:rsidP="00040211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eastAsia="Times New Roman"/>
          <w:b/>
          <w:sz w:val="22"/>
          <w:szCs w:val="22"/>
        </w:rPr>
      </w:pPr>
      <w:r w:rsidRPr="00040211">
        <w:rPr>
          <w:rFonts w:eastAsia="Times New Roman"/>
          <w:b/>
          <w:sz w:val="22"/>
          <w:szCs w:val="22"/>
        </w:rPr>
        <w:t>Program Structure Design</w:t>
      </w:r>
    </w:p>
    <w:p w14:paraId="72F0B1FF" w14:textId="143F3924" w:rsidR="00CD7CF2" w:rsidRPr="00040211" w:rsidRDefault="00CD7CF2" w:rsidP="00040211">
      <w:pPr>
        <w:widowControl/>
        <w:numPr>
          <w:ilvl w:val="0"/>
          <w:numId w:val="10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Consider local context and learner</w:t>
      </w:r>
      <w:r w:rsidR="002B0BE4">
        <w:rPr>
          <w:rFonts w:eastAsia="Times New Roman"/>
          <w:sz w:val="22"/>
          <w:szCs w:val="22"/>
        </w:rPr>
        <w:t>s’</w:t>
      </w:r>
      <w:r w:rsidRPr="00CD7CF2">
        <w:rPr>
          <w:rFonts w:eastAsia="Times New Roman"/>
          <w:sz w:val="22"/>
          <w:szCs w:val="22"/>
        </w:rPr>
        <w:t xml:space="preserve"> needs when choosing delivery format</w:t>
      </w:r>
      <w:r w:rsidR="00040211">
        <w:rPr>
          <w:rFonts w:eastAsia="Times New Roman"/>
          <w:sz w:val="22"/>
          <w:szCs w:val="22"/>
        </w:rPr>
        <w:t>, course hours and even its calendar. For example, you might need to adapt to school calendar, a specific number of teaching hours per day or to deliver the training within certain</w:t>
      </w:r>
      <w:r w:rsidR="00B37F3B">
        <w:rPr>
          <w:rFonts w:eastAsia="Times New Roman"/>
          <w:sz w:val="22"/>
          <w:szCs w:val="22"/>
        </w:rPr>
        <w:t xml:space="preserve"> periods</w:t>
      </w:r>
      <w:r w:rsidR="00040211">
        <w:rPr>
          <w:rFonts w:eastAsia="Times New Roman"/>
          <w:sz w:val="22"/>
          <w:szCs w:val="22"/>
        </w:rPr>
        <w:t xml:space="preserve"> of the day</w:t>
      </w:r>
      <w:r w:rsidR="00291BF4">
        <w:rPr>
          <w:rFonts w:eastAsia="Times New Roman"/>
          <w:sz w:val="22"/>
          <w:szCs w:val="22"/>
        </w:rPr>
        <w:t>,</w:t>
      </w:r>
      <w:r w:rsidR="00040211">
        <w:rPr>
          <w:rFonts w:eastAsia="Times New Roman"/>
          <w:sz w:val="22"/>
          <w:szCs w:val="22"/>
        </w:rPr>
        <w:t xml:space="preserve"> based on cultural aspects or specific needs of the learners’ groups you serve.</w:t>
      </w:r>
    </w:p>
    <w:p w14:paraId="16E97AA0" w14:textId="544DC476" w:rsidR="00CD7CF2" w:rsidRPr="00CD7CF2" w:rsidRDefault="00CD7CF2" w:rsidP="00CD7CF2">
      <w:pPr>
        <w:widowControl/>
        <w:numPr>
          <w:ilvl w:val="0"/>
          <w:numId w:val="10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Plan regular checkpoints to monitor learner</w:t>
      </w:r>
      <w:r w:rsidR="002B0BE4">
        <w:rPr>
          <w:rFonts w:eastAsia="Times New Roman"/>
          <w:sz w:val="22"/>
          <w:szCs w:val="22"/>
        </w:rPr>
        <w:t>s’</w:t>
      </w:r>
      <w:r w:rsidRPr="00CD7CF2">
        <w:rPr>
          <w:rFonts w:eastAsia="Times New Roman"/>
          <w:sz w:val="22"/>
          <w:szCs w:val="22"/>
        </w:rPr>
        <w:t xml:space="preserve"> progress</w:t>
      </w:r>
      <w:r w:rsidR="00040211">
        <w:rPr>
          <w:rFonts w:eastAsia="Times New Roman"/>
          <w:sz w:val="22"/>
          <w:szCs w:val="22"/>
        </w:rPr>
        <w:t>.</w:t>
      </w:r>
    </w:p>
    <w:p w14:paraId="161210B0" w14:textId="5DD7CD44" w:rsidR="00CD7CF2" w:rsidRDefault="00CD7CF2" w:rsidP="00CD7CF2">
      <w:pPr>
        <w:widowControl/>
        <w:numPr>
          <w:ilvl w:val="0"/>
          <w:numId w:val="10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Include community-building activities throughout the program</w:t>
      </w:r>
      <w:r w:rsidR="00040211">
        <w:rPr>
          <w:rFonts w:eastAsia="Times New Roman"/>
          <w:sz w:val="22"/>
          <w:szCs w:val="22"/>
        </w:rPr>
        <w:t xml:space="preserve"> </w:t>
      </w:r>
      <w:r w:rsidR="0096368B">
        <w:rPr>
          <w:rFonts w:eastAsia="Times New Roman"/>
          <w:sz w:val="22"/>
          <w:szCs w:val="22"/>
        </w:rPr>
        <w:t xml:space="preserve">and engage local potential employers from the beginning of the program. </w:t>
      </w:r>
    </w:p>
    <w:p w14:paraId="3AEA8D35" w14:textId="3E60EBBD" w:rsidR="0096368B" w:rsidRPr="00CD7CF2" w:rsidRDefault="0096368B" w:rsidP="00CD7CF2">
      <w:pPr>
        <w:widowControl/>
        <w:numPr>
          <w:ilvl w:val="0"/>
          <w:numId w:val="10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Plan internal competitions, group projects or project challenges as a way to motivate learners and support the building of their technical confidence</w:t>
      </w:r>
      <w:r w:rsidR="00B37F3B">
        <w:rPr>
          <w:rFonts w:eastAsia="Times New Roman"/>
          <w:sz w:val="22"/>
          <w:szCs w:val="22"/>
        </w:rPr>
        <w:t>, vocabulary (lingo)</w:t>
      </w:r>
      <w:r>
        <w:rPr>
          <w:rFonts w:eastAsia="Times New Roman"/>
          <w:sz w:val="22"/>
          <w:szCs w:val="22"/>
        </w:rPr>
        <w:t xml:space="preserve"> and portfolio.</w:t>
      </w:r>
    </w:p>
    <w:p w14:paraId="60473DDC" w14:textId="77777777" w:rsidR="00CD7CF2" w:rsidRPr="0096368B" w:rsidRDefault="00CD7CF2" w:rsidP="0096368B">
      <w:pPr>
        <w:widowControl/>
        <w:tabs>
          <w:tab w:val="clear" w:pos="720"/>
        </w:tabs>
        <w:suppressAutoHyphens w:val="0"/>
        <w:autoSpaceDE/>
        <w:autoSpaceDN/>
        <w:adjustRightInd/>
        <w:spacing w:line="240" w:lineRule="auto"/>
        <w:textAlignment w:val="auto"/>
        <w:rPr>
          <w:rFonts w:eastAsia="Times New Roman"/>
          <w:b/>
          <w:sz w:val="22"/>
          <w:szCs w:val="22"/>
        </w:rPr>
      </w:pPr>
      <w:r w:rsidRPr="0096368B">
        <w:rPr>
          <w:rFonts w:eastAsia="Times New Roman"/>
          <w:b/>
          <w:sz w:val="22"/>
          <w:szCs w:val="22"/>
        </w:rPr>
        <w:t>Documentation and Communication</w:t>
      </w:r>
    </w:p>
    <w:p w14:paraId="3CF252DF" w14:textId="77777777" w:rsidR="0096368B" w:rsidRDefault="0096368B" w:rsidP="0096368B">
      <w:pPr>
        <w:widowControl/>
        <w:numPr>
          <w:ilvl w:val="0"/>
          <w:numId w:val="11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Assure that all team involved in the delivery of AWS re/Start program is familiarized with the Program Guide and other documents relevant to their area of responsibility. </w:t>
      </w:r>
    </w:p>
    <w:p w14:paraId="7A5CC18D" w14:textId="3D76825E" w:rsidR="00CD7CF2" w:rsidRPr="0096368B" w:rsidRDefault="0096368B" w:rsidP="0096368B">
      <w:pPr>
        <w:widowControl/>
        <w:numPr>
          <w:ilvl w:val="0"/>
          <w:numId w:val="11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Communicate clearly</w:t>
      </w:r>
      <w:r w:rsidR="00CD7CF2" w:rsidRPr="00CD7CF2">
        <w:rPr>
          <w:rFonts w:eastAsia="Times New Roman"/>
          <w:sz w:val="22"/>
          <w:szCs w:val="22"/>
        </w:rPr>
        <w:t xml:space="preserve"> program guidelines and expectations</w:t>
      </w:r>
      <w:r>
        <w:rPr>
          <w:rFonts w:eastAsia="Times New Roman"/>
          <w:sz w:val="22"/>
          <w:szCs w:val="22"/>
        </w:rPr>
        <w:t xml:space="preserve"> with the learners during the selection process, including </w:t>
      </w:r>
      <w:r w:rsidR="00CD7CF2" w:rsidRPr="0096368B">
        <w:rPr>
          <w:rFonts w:eastAsia="Times New Roman"/>
          <w:sz w:val="22"/>
          <w:szCs w:val="22"/>
        </w:rPr>
        <w:t>policies regarding attendance and participation</w:t>
      </w:r>
      <w:r w:rsidR="00291BF4">
        <w:rPr>
          <w:rFonts w:eastAsia="Times New Roman"/>
          <w:sz w:val="22"/>
          <w:szCs w:val="22"/>
        </w:rPr>
        <w:t>, course work and certification</w:t>
      </w:r>
      <w:r>
        <w:rPr>
          <w:rFonts w:eastAsia="Times New Roman"/>
          <w:sz w:val="22"/>
          <w:szCs w:val="22"/>
        </w:rPr>
        <w:t>.</w:t>
      </w:r>
    </w:p>
    <w:p w14:paraId="3C76E7A9" w14:textId="77777777" w:rsidR="00F8693E" w:rsidRPr="00C51A64" w:rsidRDefault="00F8693E" w:rsidP="00F8693E">
      <w:pPr>
        <w:spacing w:line="276" w:lineRule="auto"/>
      </w:pPr>
    </w:p>
    <w:p w14:paraId="38A2086D" w14:textId="77777777" w:rsidR="00F8693E" w:rsidRPr="00AA52B9" w:rsidRDefault="003F10FD" w:rsidP="00F8693E">
      <w:pPr>
        <w:pStyle w:val="Heading5"/>
        <w:spacing w:line="276" w:lineRule="auto"/>
        <w:rPr>
          <w:sz w:val="24"/>
          <w:szCs w:val="24"/>
        </w:rPr>
      </w:pPr>
      <w:bookmarkStart w:id="2" w:name="_Toc192067340"/>
      <w:r>
        <w:rPr>
          <w:sz w:val="24"/>
          <w:szCs w:val="24"/>
        </w:rPr>
        <w:t xml:space="preserve">3. </w:t>
      </w:r>
      <w:r w:rsidR="00A3174F">
        <w:rPr>
          <w:sz w:val="24"/>
          <w:szCs w:val="24"/>
        </w:rPr>
        <w:t>Implementation – Strategies and best practices during program delivery</w:t>
      </w:r>
      <w:bookmarkEnd w:id="2"/>
    </w:p>
    <w:p w14:paraId="3B2A02C2" w14:textId="2639C7F7" w:rsidR="00CD7CF2" w:rsidRPr="00CD7CF2" w:rsidRDefault="00CD7CF2" w:rsidP="00CD7CF2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Effective </w:t>
      </w:r>
      <w:r w:rsidR="00B37F3B">
        <w:rPr>
          <w:rFonts w:asciiTheme="minorHAnsi" w:eastAsia="Times New Roman" w:hAnsiTheme="minorHAnsi" w:cstheme="minorHAnsi"/>
          <w:sz w:val="22"/>
          <w:szCs w:val="22"/>
        </w:rPr>
        <w:t>learner retention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requires consistent monitoring and proactive intervention throughout the program duration. The following strategies</w:t>
      </w:r>
      <w:r w:rsidR="007C05F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="00D6405C">
        <w:rPr>
          <w:rFonts w:asciiTheme="minorHAnsi" w:eastAsia="Times New Roman" w:hAnsiTheme="minorHAnsi" w:cstheme="minorHAnsi"/>
          <w:sz w:val="22"/>
          <w:szCs w:val="22"/>
        </w:rPr>
        <w:t>together</w:t>
      </w:r>
      <w:r w:rsidR="00291BF4">
        <w:rPr>
          <w:rFonts w:asciiTheme="minorHAnsi" w:eastAsia="Times New Roman" w:hAnsiTheme="minorHAnsi" w:cstheme="minorHAnsi"/>
          <w:sz w:val="22"/>
          <w:szCs w:val="22"/>
        </w:rPr>
        <w:t xml:space="preserve"> with those proposed above under the “Preparation” stage,</w:t>
      </w:r>
      <w:r w:rsidR="00D6405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D6405C" w:rsidRPr="00CD7CF2">
        <w:rPr>
          <w:rFonts w:asciiTheme="minorHAnsi" w:eastAsia="Times New Roman" w:hAnsiTheme="minorHAnsi" w:cstheme="minorHAnsi"/>
          <w:sz w:val="22"/>
          <w:szCs w:val="22"/>
        </w:rPr>
        <w:t>have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proven successful across our global network of COs:</w:t>
      </w:r>
    </w:p>
    <w:p w14:paraId="55B8990D" w14:textId="77777777" w:rsidR="00CD7CF2" w:rsidRPr="00291BF4" w:rsidRDefault="00CD7CF2" w:rsidP="00291BF4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291BF4">
        <w:rPr>
          <w:rFonts w:asciiTheme="minorHAnsi" w:eastAsia="Times New Roman" w:hAnsiTheme="minorHAnsi" w:cstheme="minorHAnsi"/>
          <w:b/>
          <w:sz w:val="22"/>
          <w:szCs w:val="22"/>
        </w:rPr>
        <w:t>Early Intervention and Monitoring</w:t>
      </w:r>
    </w:p>
    <w:p w14:paraId="097B7C7C" w14:textId="1A858B2E" w:rsidR="00291BF4" w:rsidRDefault="00CD7CF2" w:rsidP="00291BF4">
      <w:pPr>
        <w:widowControl/>
        <w:numPr>
          <w:ilvl w:val="0"/>
          <w:numId w:val="12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>Implement a systematic approach to tracking learner engagement</w:t>
      </w:r>
      <w:r w:rsidR="00291BF4">
        <w:rPr>
          <w:rFonts w:asciiTheme="minorHAnsi" w:eastAsia="Times New Roman" w:hAnsiTheme="minorHAnsi" w:cstheme="minorHAnsi"/>
          <w:sz w:val="22"/>
          <w:szCs w:val="22"/>
        </w:rPr>
        <w:t xml:space="preserve"> as well as 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attendance and participation patterns</w:t>
      </w:r>
      <w:r w:rsidR="00291BF4">
        <w:rPr>
          <w:rFonts w:asciiTheme="minorHAnsi" w:eastAsia="Times New Roman" w:hAnsiTheme="minorHAnsi" w:cstheme="minorHAnsi"/>
          <w:sz w:val="22"/>
          <w:szCs w:val="22"/>
        </w:rPr>
        <w:t xml:space="preserve">. These will help you to detect early signs of potential dropouts like missed sessions, </w:t>
      </w:r>
      <w:r w:rsidR="002B0BE4">
        <w:rPr>
          <w:rFonts w:asciiTheme="minorHAnsi" w:eastAsia="Times New Roman" w:hAnsiTheme="minorHAnsi" w:cstheme="minorHAnsi"/>
          <w:sz w:val="22"/>
          <w:szCs w:val="22"/>
        </w:rPr>
        <w:t>incomplete</w:t>
      </w:r>
      <w:r w:rsidR="00291BF4">
        <w:rPr>
          <w:rFonts w:asciiTheme="minorHAnsi" w:eastAsia="Times New Roman" w:hAnsiTheme="minorHAnsi" w:cstheme="minorHAnsi"/>
          <w:sz w:val="22"/>
          <w:szCs w:val="22"/>
        </w:rPr>
        <w:t xml:space="preserve"> course work, declining performance or participation, or persisting technical difficulties.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</w:p>
    <w:p w14:paraId="69B6440F" w14:textId="3E14D00D" w:rsidR="009418BB" w:rsidRDefault="00CD7CF2" w:rsidP="009418BB">
      <w:pPr>
        <w:widowControl/>
        <w:numPr>
          <w:ilvl w:val="0"/>
          <w:numId w:val="12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>Track</w:t>
      </w:r>
      <w:r w:rsidR="00291BF4">
        <w:rPr>
          <w:rFonts w:asciiTheme="minorHAnsi" w:eastAsia="Times New Roman" w:hAnsiTheme="minorHAnsi" w:cstheme="minorHAnsi"/>
          <w:sz w:val="22"/>
          <w:szCs w:val="22"/>
        </w:rPr>
        <w:t xml:space="preserve"> progress of curriculum milestones,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completion of Knowledge Checks (KCs) and Labs</w:t>
      </w:r>
      <w:r w:rsidR="00291BF4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9418BB">
        <w:rPr>
          <w:rFonts w:asciiTheme="minorHAnsi" w:eastAsia="Times New Roman" w:hAnsiTheme="minorHAnsi" w:cstheme="minorHAnsi"/>
          <w:sz w:val="22"/>
          <w:szCs w:val="22"/>
        </w:rPr>
        <w:t xml:space="preserve">in Canvas Gradebook </w:t>
      </w:r>
      <w:r w:rsidR="00291BF4">
        <w:rPr>
          <w:rFonts w:asciiTheme="minorHAnsi" w:eastAsia="Times New Roman" w:hAnsiTheme="minorHAnsi" w:cstheme="minorHAnsi"/>
          <w:sz w:val="22"/>
          <w:szCs w:val="22"/>
        </w:rPr>
        <w:t xml:space="preserve">during the program. Although this can be time consuming, being proactive avoids issues or unexpected low graduation rates at the completion of the program. 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3F7E5452" w14:textId="6C75A035" w:rsidR="009418BB" w:rsidRDefault="009418BB" w:rsidP="009418BB">
      <w:pPr>
        <w:widowControl/>
        <w:tabs>
          <w:tab w:val="clear" w:pos="720"/>
        </w:tabs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</w:p>
    <w:p w14:paraId="779009F6" w14:textId="77777777" w:rsidR="009418BB" w:rsidRPr="009418BB" w:rsidRDefault="009418BB" w:rsidP="009418BB">
      <w:pPr>
        <w:widowControl/>
        <w:tabs>
          <w:tab w:val="clear" w:pos="720"/>
        </w:tabs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</w:p>
    <w:p w14:paraId="5C69C583" w14:textId="77777777" w:rsidR="00CD7CF2" w:rsidRPr="00291BF4" w:rsidRDefault="00CD7CF2" w:rsidP="00291BF4">
      <w:pPr>
        <w:widowControl/>
        <w:tabs>
          <w:tab w:val="clear" w:pos="720"/>
        </w:tabs>
        <w:suppressAutoHyphens w:val="0"/>
        <w:autoSpaceDE/>
        <w:autoSpaceDN/>
        <w:adjustRightInd/>
        <w:spacing w:line="240" w:lineRule="auto"/>
        <w:textAlignment w:val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291BF4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>Learner Support and Engagement</w:t>
      </w:r>
    </w:p>
    <w:p w14:paraId="5127BC1E" w14:textId="77777777" w:rsidR="00AD3A47" w:rsidRDefault="00CD7CF2" w:rsidP="00AD3A47">
      <w:pPr>
        <w:widowControl/>
        <w:numPr>
          <w:ilvl w:val="0"/>
          <w:numId w:val="13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>Provide multi-layered support throughout the program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 xml:space="preserve"> like r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egular one-on-one check-ins with learners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>, p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eer study teams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>, a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dditional tutoring for challenging topics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>, or m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ental health and wellness resources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</w:p>
    <w:p w14:paraId="6CB93AD0" w14:textId="0639A785" w:rsidR="00CD7CF2" w:rsidRPr="00AD3A47" w:rsidRDefault="00CD7CF2" w:rsidP="00AD3A47">
      <w:pPr>
        <w:widowControl/>
        <w:numPr>
          <w:ilvl w:val="0"/>
          <w:numId w:val="13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AD3A47">
        <w:rPr>
          <w:rFonts w:asciiTheme="minorHAnsi" w:eastAsia="Times New Roman" w:hAnsiTheme="minorHAnsi" w:cstheme="minorHAnsi"/>
          <w:sz w:val="22"/>
          <w:szCs w:val="22"/>
        </w:rPr>
        <w:t xml:space="preserve">Foster a strong learning community: 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>e</w:t>
      </w:r>
      <w:r w:rsidRPr="00AD3A47">
        <w:rPr>
          <w:rFonts w:asciiTheme="minorHAnsi" w:eastAsia="Times New Roman" w:hAnsiTheme="minorHAnsi" w:cstheme="minorHAnsi"/>
          <w:sz w:val="22"/>
          <w:szCs w:val="22"/>
        </w:rPr>
        <w:t>ncourage peer-to-peer interaction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 xml:space="preserve">, plan </w:t>
      </w:r>
      <w:r w:rsidRPr="00AD3A47">
        <w:rPr>
          <w:rFonts w:asciiTheme="minorHAnsi" w:eastAsia="Times New Roman" w:hAnsiTheme="minorHAnsi" w:cstheme="minorHAnsi"/>
          <w:sz w:val="22"/>
          <w:szCs w:val="22"/>
        </w:rPr>
        <w:t>group projects and activities</w:t>
      </w:r>
      <w:r w:rsidR="00B37F3B">
        <w:rPr>
          <w:rFonts w:asciiTheme="minorHAnsi" w:eastAsia="Times New Roman" w:hAnsiTheme="minorHAnsi" w:cstheme="minorHAnsi"/>
          <w:sz w:val="22"/>
          <w:szCs w:val="22"/>
        </w:rPr>
        <w:t>,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 xml:space="preserve"> c</w:t>
      </w:r>
      <w:r w:rsidRPr="00AD3A47">
        <w:rPr>
          <w:rFonts w:asciiTheme="minorHAnsi" w:eastAsia="Times New Roman" w:hAnsiTheme="minorHAnsi" w:cstheme="minorHAnsi"/>
          <w:sz w:val="22"/>
          <w:szCs w:val="22"/>
        </w:rPr>
        <w:t>reate spaces for informal communication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>, and c</w:t>
      </w:r>
      <w:r w:rsidRPr="00AD3A47">
        <w:rPr>
          <w:rFonts w:asciiTheme="minorHAnsi" w:eastAsia="Times New Roman" w:hAnsiTheme="minorHAnsi" w:cstheme="minorHAnsi"/>
          <w:sz w:val="22"/>
          <w:szCs w:val="22"/>
        </w:rPr>
        <w:t>elebrate small wins and achievements</w:t>
      </w:r>
      <w:r w:rsidR="00AD3A47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191241AA" w14:textId="77777777" w:rsidR="00CD7CF2" w:rsidRPr="00B17145" w:rsidRDefault="00CD7CF2" w:rsidP="00B17145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B17145">
        <w:rPr>
          <w:rFonts w:asciiTheme="minorHAnsi" w:eastAsia="Times New Roman" w:hAnsiTheme="minorHAnsi" w:cstheme="minorHAnsi"/>
          <w:b/>
          <w:sz w:val="22"/>
          <w:szCs w:val="22"/>
        </w:rPr>
        <w:t>Quality Instruction and Content Delivery</w:t>
      </w:r>
    </w:p>
    <w:p w14:paraId="6C6DD339" w14:textId="0512D1EA" w:rsidR="00CD7CF2" w:rsidRPr="00CD7CF2" w:rsidRDefault="00CD7CF2" w:rsidP="00B17145">
      <w:pPr>
        <w:widowControl/>
        <w:numPr>
          <w:ilvl w:val="0"/>
          <w:numId w:val="14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>Ensure consistent high-quality instruction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 xml:space="preserve"> and b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alance between technical content and soft skills development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4C4D21F3" w14:textId="17B54CE1" w:rsidR="00CD7CF2" w:rsidRPr="00CD7CF2" w:rsidRDefault="00CD7CF2" w:rsidP="00CD7CF2">
      <w:pPr>
        <w:widowControl/>
        <w:numPr>
          <w:ilvl w:val="0"/>
          <w:numId w:val="14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Maintain engaging content delivery: 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m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ix theoretical and practical learning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, i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nclude real-world examples and case studies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 xml:space="preserve"> that relate to your community of learners, and i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ncorporate interactive elements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461C4503" w14:textId="77777777" w:rsidR="00CD7CF2" w:rsidRPr="00B17145" w:rsidRDefault="00CD7CF2" w:rsidP="00B17145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B17145">
        <w:rPr>
          <w:rFonts w:asciiTheme="minorHAnsi" w:eastAsia="Times New Roman" w:hAnsiTheme="minorHAnsi" w:cstheme="minorHAnsi"/>
          <w:b/>
          <w:sz w:val="22"/>
          <w:szCs w:val="22"/>
        </w:rPr>
        <w:t>Career Development Integration</w:t>
      </w:r>
    </w:p>
    <w:p w14:paraId="459066D8" w14:textId="12DDE271" w:rsidR="00CD7CF2" w:rsidRPr="00CD7CF2" w:rsidRDefault="00CD7CF2" w:rsidP="00B17145">
      <w:pPr>
        <w:widowControl/>
        <w:numPr>
          <w:ilvl w:val="0"/>
          <w:numId w:val="15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>Embed career-focused activities throughout the program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. This can be r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egular exposure to industry professionals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 xml:space="preserve"> or local events, c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ompany visits or virtual sessions with employers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="00B37F3B">
        <w:rPr>
          <w:rFonts w:asciiTheme="minorHAnsi" w:eastAsia="Times New Roman" w:hAnsiTheme="minorHAnsi" w:cstheme="minorHAnsi"/>
          <w:sz w:val="22"/>
          <w:szCs w:val="22"/>
        </w:rPr>
        <w:t>CV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building and interview preparation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, and t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echnical project portfolio development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4FC655BE" w14:textId="33F2E01A" w:rsidR="00CD7CF2" w:rsidRPr="00CD7CF2" w:rsidRDefault="00CD7CF2" w:rsidP="00CD7CF2">
      <w:pPr>
        <w:widowControl/>
        <w:numPr>
          <w:ilvl w:val="0"/>
          <w:numId w:val="15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>Connect training to job opportunities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 xml:space="preserve"> throughout the program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h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ighlight relevant job roles and career paths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, s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hare success stories from previous graduates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, o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rganize networking events with potential employers</w:t>
      </w:r>
      <w:r w:rsidR="009418BB">
        <w:rPr>
          <w:rFonts w:asciiTheme="minorHAnsi" w:eastAsia="Times New Roman" w:hAnsiTheme="minorHAnsi" w:cstheme="minorHAnsi"/>
          <w:sz w:val="22"/>
          <w:szCs w:val="22"/>
        </w:rPr>
        <w:t>, and promote learners’ attendance to career fairs and relevant sector events</w:t>
      </w:r>
      <w:r w:rsidR="00B17145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7D3B87C2" w14:textId="77777777" w:rsidR="00F8693E" w:rsidRDefault="00F8693E" w:rsidP="00F8693E">
      <w:pPr>
        <w:spacing w:line="276" w:lineRule="auto"/>
      </w:pPr>
    </w:p>
    <w:p w14:paraId="6FD423D2" w14:textId="77777777" w:rsidR="00F8693E" w:rsidRPr="00AA52B9" w:rsidRDefault="003F10FD" w:rsidP="00F8693E">
      <w:pPr>
        <w:pStyle w:val="Heading5"/>
        <w:spacing w:line="276" w:lineRule="auto"/>
        <w:rPr>
          <w:sz w:val="24"/>
          <w:szCs w:val="24"/>
        </w:rPr>
      </w:pPr>
      <w:bookmarkStart w:id="3" w:name="_Toc192067341"/>
      <w:r>
        <w:rPr>
          <w:sz w:val="24"/>
          <w:szCs w:val="24"/>
        </w:rPr>
        <w:t xml:space="preserve">4. </w:t>
      </w:r>
      <w:r w:rsidR="00A3174F">
        <w:rPr>
          <w:sz w:val="24"/>
          <w:szCs w:val="24"/>
        </w:rPr>
        <w:t>Measurement – Tracking and improving retention rates</w:t>
      </w:r>
      <w:bookmarkEnd w:id="3"/>
    </w:p>
    <w:p w14:paraId="386F235B" w14:textId="260EE720" w:rsidR="00CD7CF2" w:rsidRPr="00CD7CF2" w:rsidRDefault="00B37F3B" w:rsidP="00CD7CF2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</w:t>
      </w:r>
      <w:r w:rsidR="00CD7CF2" w:rsidRPr="00CD7CF2">
        <w:rPr>
          <w:rFonts w:eastAsia="Times New Roman"/>
          <w:sz w:val="22"/>
          <w:szCs w:val="22"/>
        </w:rPr>
        <w:t xml:space="preserve"> analysis of </w:t>
      </w:r>
      <w:r w:rsidR="00314F4A">
        <w:rPr>
          <w:rFonts w:eastAsia="Times New Roman"/>
          <w:sz w:val="22"/>
          <w:szCs w:val="22"/>
        </w:rPr>
        <w:t>learners’ retention</w:t>
      </w:r>
      <w:r w:rsidR="00CD7CF2" w:rsidRPr="00CD7CF2">
        <w:rPr>
          <w:rFonts w:eastAsia="Times New Roman"/>
          <w:sz w:val="22"/>
          <w:szCs w:val="22"/>
        </w:rPr>
        <w:t xml:space="preserve"> data enables </w:t>
      </w:r>
      <w:r w:rsidR="00314F4A">
        <w:rPr>
          <w:rFonts w:eastAsia="Times New Roman"/>
          <w:sz w:val="22"/>
          <w:szCs w:val="22"/>
        </w:rPr>
        <w:t>you</w:t>
      </w:r>
      <w:r w:rsidR="00CD7CF2" w:rsidRPr="00CD7CF2">
        <w:rPr>
          <w:rFonts w:eastAsia="Times New Roman"/>
          <w:sz w:val="22"/>
          <w:szCs w:val="22"/>
        </w:rPr>
        <w:t xml:space="preserve"> to make informed decisions and continuously improve </w:t>
      </w:r>
      <w:r w:rsidR="00314F4A">
        <w:rPr>
          <w:rFonts w:eastAsia="Times New Roman"/>
          <w:sz w:val="22"/>
          <w:szCs w:val="22"/>
        </w:rPr>
        <w:t>your</w:t>
      </w:r>
      <w:r w:rsidR="00CD7CF2" w:rsidRPr="00CD7CF2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delivery</w:t>
      </w:r>
      <w:r w:rsidR="00CD7CF2" w:rsidRPr="00CD7CF2">
        <w:rPr>
          <w:rFonts w:eastAsia="Times New Roman"/>
          <w:sz w:val="22"/>
          <w:szCs w:val="22"/>
        </w:rPr>
        <w:t xml:space="preserve">. </w:t>
      </w:r>
      <w:r w:rsidR="00736AF9">
        <w:rPr>
          <w:rFonts w:eastAsia="Times New Roman"/>
          <w:sz w:val="22"/>
          <w:szCs w:val="22"/>
        </w:rPr>
        <w:t xml:space="preserve">An outstanding track record of retention rates can also be used to support grant applications or attract more prospective future learners. </w:t>
      </w:r>
      <w:r w:rsidR="00CD7CF2" w:rsidRPr="00CD7CF2">
        <w:rPr>
          <w:rFonts w:eastAsia="Times New Roman"/>
          <w:sz w:val="22"/>
          <w:szCs w:val="22"/>
        </w:rPr>
        <w:t>Here</w:t>
      </w:r>
      <w:r w:rsidR="00314F4A">
        <w:rPr>
          <w:rFonts w:eastAsia="Times New Roman"/>
          <w:sz w:val="22"/>
          <w:szCs w:val="22"/>
        </w:rPr>
        <w:t xml:space="preserve"> are some proposals on</w:t>
      </w:r>
      <w:r w:rsidR="00CD7CF2" w:rsidRPr="00CD7CF2">
        <w:rPr>
          <w:rFonts w:eastAsia="Times New Roman"/>
          <w:sz w:val="22"/>
          <w:szCs w:val="22"/>
        </w:rPr>
        <w:t xml:space="preserve"> how to approach measurement systematically:</w:t>
      </w:r>
    </w:p>
    <w:p w14:paraId="1AAC1B79" w14:textId="77777777" w:rsidR="00CD7CF2" w:rsidRPr="00314F4A" w:rsidRDefault="00CD7CF2" w:rsidP="00314F4A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eastAsia="Times New Roman"/>
          <w:b/>
          <w:sz w:val="22"/>
          <w:szCs w:val="22"/>
        </w:rPr>
      </w:pPr>
      <w:r w:rsidRPr="00314F4A">
        <w:rPr>
          <w:rFonts w:eastAsia="Times New Roman"/>
          <w:b/>
          <w:sz w:val="22"/>
          <w:szCs w:val="22"/>
        </w:rPr>
        <w:t>Key Metrics to Track</w:t>
      </w:r>
    </w:p>
    <w:p w14:paraId="3249421B" w14:textId="1C556676" w:rsidR="00CD7CF2" w:rsidRPr="00736AF9" w:rsidRDefault="00CD7CF2" w:rsidP="00736AF9">
      <w:pPr>
        <w:widowControl/>
        <w:numPr>
          <w:ilvl w:val="0"/>
          <w:numId w:val="18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 xml:space="preserve">Core attrition indicators: </w:t>
      </w:r>
      <w:r w:rsidR="00736AF9">
        <w:rPr>
          <w:rFonts w:eastAsia="Times New Roman"/>
          <w:sz w:val="22"/>
          <w:szCs w:val="22"/>
        </w:rPr>
        <w:t>o</w:t>
      </w:r>
      <w:r w:rsidRPr="00CD7CF2">
        <w:rPr>
          <w:rFonts w:eastAsia="Times New Roman"/>
          <w:sz w:val="22"/>
          <w:szCs w:val="22"/>
        </w:rPr>
        <w:t>verall attrition rate</w:t>
      </w:r>
      <w:r w:rsidR="00736AF9">
        <w:rPr>
          <w:rFonts w:eastAsia="Times New Roman"/>
          <w:sz w:val="22"/>
          <w:szCs w:val="22"/>
        </w:rPr>
        <w:t xml:space="preserve"> (including detailed analysis by sub-groups like age or gender);</w:t>
      </w:r>
      <w:r w:rsidRPr="00CD7CF2">
        <w:rPr>
          <w:rFonts w:eastAsia="Times New Roman"/>
          <w:sz w:val="22"/>
          <w:szCs w:val="22"/>
        </w:rPr>
        <w:t xml:space="preserve"> </w:t>
      </w:r>
      <w:r w:rsidR="00736AF9">
        <w:rPr>
          <w:rFonts w:eastAsia="Times New Roman"/>
          <w:sz w:val="22"/>
          <w:szCs w:val="22"/>
        </w:rPr>
        <w:t>w</w:t>
      </w:r>
      <w:r w:rsidRPr="00CD7CF2">
        <w:rPr>
          <w:rFonts w:eastAsia="Times New Roman"/>
          <w:sz w:val="22"/>
          <w:szCs w:val="22"/>
        </w:rPr>
        <w:t>eek-by-week retention numbers</w:t>
      </w:r>
      <w:r w:rsidR="00736AF9">
        <w:rPr>
          <w:rFonts w:eastAsia="Times New Roman"/>
          <w:sz w:val="22"/>
          <w:szCs w:val="22"/>
        </w:rPr>
        <w:t>; c</w:t>
      </w:r>
      <w:r w:rsidRPr="00CD7CF2">
        <w:rPr>
          <w:rFonts w:eastAsia="Times New Roman"/>
          <w:sz w:val="22"/>
          <w:szCs w:val="22"/>
        </w:rPr>
        <w:t>ompletion of Knowledge Checks (KCs)</w:t>
      </w:r>
      <w:r w:rsidR="00736AF9">
        <w:rPr>
          <w:rFonts w:eastAsia="Times New Roman"/>
          <w:sz w:val="22"/>
          <w:szCs w:val="22"/>
        </w:rPr>
        <w:t xml:space="preserve"> and </w:t>
      </w:r>
      <w:r w:rsidRPr="00CD7CF2">
        <w:rPr>
          <w:rFonts w:eastAsia="Times New Roman"/>
          <w:sz w:val="22"/>
          <w:szCs w:val="22"/>
        </w:rPr>
        <w:t>Lab completion rates</w:t>
      </w:r>
      <w:r w:rsidR="00AC1127">
        <w:rPr>
          <w:rFonts w:eastAsia="Times New Roman"/>
          <w:sz w:val="22"/>
          <w:szCs w:val="22"/>
        </w:rPr>
        <w:t xml:space="preserve"> on week-by-week</w:t>
      </w:r>
      <w:r w:rsidR="00736AF9">
        <w:rPr>
          <w:rFonts w:eastAsia="Times New Roman"/>
          <w:sz w:val="22"/>
          <w:szCs w:val="22"/>
        </w:rPr>
        <w:t>.</w:t>
      </w:r>
    </w:p>
    <w:p w14:paraId="3F79CCFE" w14:textId="54DFAB8A" w:rsidR="00CD7CF2" w:rsidRPr="00CD7CF2" w:rsidRDefault="00CD7CF2" w:rsidP="00CD7CF2">
      <w:pPr>
        <w:widowControl/>
        <w:numPr>
          <w:ilvl w:val="0"/>
          <w:numId w:val="18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 xml:space="preserve">Cohort-specific metrics: </w:t>
      </w:r>
      <w:r w:rsidR="00736AF9">
        <w:rPr>
          <w:rFonts w:eastAsia="Times New Roman"/>
          <w:sz w:val="22"/>
          <w:szCs w:val="22"/>
        </w:rPr>
        <w:t>c</w:t>
      </w:r>
      <w:r w:rsidRPr="00CD7CF2">
        <w:rPr>
          <w:rFonts w:eastAsia="Times New Roman"/>
          <w:sz w:val="22"/>
          <w:szCs w:val="22"/>
        </w:rPr>
        <w:t>ohort size impact</w:t>
      </w:r>
      <w:r w:rsidR="00AC1127">
        <w:rPr>
          <w:rFonts w:eastAsia="Times New Roman"/>
          <w:sz w:val="22"/>
          <w:szCs w:val="22"/>
        </w:rPr>
        <w:t>, d</w:t>
      </w:r>
      <w:r w:rsidRPr="00CD7CF2">
        <w:rPr>
          <w:rFonts w:eastAsia="Times New Roman"/>
          <w:sz w:val="22"/>
          <w:szCs w:val="22"/>
        </w:rPr>
        <w:t>elivery format effectiveness</w:t>
      </w:r>
      <w:r w:rsidR="00B37F3B">
        <w:rPr>
          <w:rFonts w:eastAsia="Times New Roman"/>
          <w:sz w:val="22"/>
          <w:szCs w:val="22"/>
        </w:rPr>
        <w:t>,</w:t>
      </w:r>
      <w:r w:rsidR="00AC1127">
        <w:rPr>
          <w:rFonts w:eastAsia="Times New Roman"/>
          <w:sz w:val="22"/>
          <w:szCs w:val="22"/>
        </w:rPr>
        <w:t xml:space="preserve"> and</w:t>
      </w:r>
      <w:r w:rsidRPr="00CD7CF2">
        <w:rPr>
          <w:rFonts w:eastAsia="Times New Roman"/>
          <w:sz w:val="22"/>
          <w:szCs w:val="22"/>
        </w:rPr>
        <w:t xml:space="preserve"> </w:t>
      </w:r>
      <w:r w:rsidR="00AC1127">
        <w:rPr>
          <w:rFonts w:eastAsia="Times New Roman"/>
          <w:sz w:val="22"/>
          <w:szCs w:val="22"/>
        </w:rPr>
        <w:t>i</w:t>
      </w:r>
      <w:r w:rsidRPr="00CD7CF2">
        <w:rPr>
          <w:rFonts w:eastAsia="Times New Roman"/>
          <w:sz w:val="22"/>
          <w:szCs w:val="22"/>
        </w:rPr>
        <w:t>nstructor</w:t>
      </w:r>
      <w:r w:rsidR="00B37F3B">
        <w:rPr>
          <w:rFonts w:eastAsia="Times New Roman"/>
          <w:sz w:val="22"/>
          <w:szCs w:val="22"/>
        </w:rPr>
        <w:t xml:space="preserve"> and course coordinator</w:t>
      </w:r>
      <w:r w:rsidRPr="00CD7CF2">
        <w:rPr>
          <w:rFonts w:eastAsia="Times New Roman"/>
          <w:sz w:val="22"/>
          <w:szCs w:val="22"/>
        </w:rPr>
        <w:t xml:space="preserve"> performance</w:t>
      </w:r>
      <w:r w:rsidR="00AC1127">
        <w:rPr>
          <w:rFonts w:eastAsia="Times New Roman"/>
          <w:sz w:val="22"/>
          <w:szCs w:val="22"/>
        </w:rPr>
        <w:t>.</w:t>
      </w:r>
    </w:p>
    <w:p w14:paraId="3EB9F52E" w14:textId="77777777" w:rsidR="00CD7CF2" w:rsidRPr="00AC1127" w:rsidRDefault="00CD7CF2" w:rsidP="00AC1127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eastAsia="Times New Roman"/>
          <w:b/>
          <w:sz w:val="22"/>
          <w:szCs w:val="22"/>
        </w:rPr>
      </w:pPr>
      <w:r w:rsidRPr="00AC1127">
        <w:rPr>
          <w:rFonts w:eastAsia="Times New Roman"/>
          <w:b/>
          <w:sz w:val="22"/>
          <w:szCs w:val="22"/>
        </w:rPr>
        <w:t>Data Collection and Analysis</w:t>
      </w:r>
    </w:p>
    <w:p w14:paraId="7EFFB56E" w14:textId="53D80221" w:rsidR="00CD7CF2" w:rsidRPr="00CD7CF2" w:rsidRDefault="00CD7CF2" w:rsidP="00AC1127">
      <w:pPr>
        <w:widowControl/>
        <w:numPr>
          <w:ilvl w:val="0"/>
          <w:numId w:val="19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Implement systematic data collection</w:t>
      </w:r>
      <w:r w:rsidR="00B37F3B">
        <w:rPr>
          <w:rFonts w:eastAsia="Times New Roman"/>
          <w:sz w:val="22"/>
          <w:szCs w:val="22"/>
        </w:rPr>
        <w:t xml:space="preserve"> beyond cohort or attrition-specific metrics</w:t>
      </w:r>
      <w:r w:rsidRPr="00CD7CF2">
        <w:rPr>
          <w:rFonts w:eastAsia="Times New Roman"/>
          <w:sz w:val="22"/>
          <w:szCs w:val="22"/>
        </w:rPr>
        <w:t xml:space="preserve">: </w:t>
      </w:r>
      <w:r w:rsidR="00AC1127">
        <w:rPr>
          <w:rFonts w:eastAsia="Times New Roman"/>
          <w:sz w:val="22"/>
          <w:szCs w:val="22"/>
        </w:rPr>
        <w:t>r</w:t>
      </w:r>
      <w:r w:rsidRPr="00CD7CF2">
        <w:rPr>
          <w:rFonts w:eastAsia="Times New Roman"/>
          <w:sz w:val="22"/>
          <w:szCs w:val="22"/>
        </w:rPr>
        <w:t>egular attendance tracking</w:t>
      </w:r>
      <w:r w:rsidR="00AC1127">
        <w:rPr>
          <w:rFonts w:eastAsia="Times New Roman"/>
          <w:sz w:val="22"/>
          <w:szCs w:val="22"/>
        </w:rPr>
        <w:t>, l</w:t>
      </w:r>
      <w:r w:rsidRPr="00CD7CF2">
        <w:rPr>
          <w:rFonts w:eastAsia="Times New Roman"/>
          <w:sz w:val="22"/>
          <w:szCs w:val="22"/>
        </w:rPr>
        <w:t>earner feedback surveys</w:t>
      </w:r>
      <w:r w:rsidR="00B37F3B">
        <w:rPr>
          <w:rFonts w:eastAsia="Times New Roman"/>
          <w:sz w:val="22"/>
          <w:szCs w:val="22"/>
        </w:rPr>
        <w:t>,</w:t>
      </w:r>
      <w:r w:rsidR="00AC1127">
        <w:rPr>
          <w:rFonts w:eastAsia="Times New Roman"/>
          <w:sz w:val="22"/>
          <w:szCs w:val="22"/>
        </w:rPr>
        <w:t xml:space="preserve"> and e</w:t>
      </w:r>
      <w:r w:rsidRPr="00CD7CF2">
        <w:rPr>
          <w:rFonts w:eastAsia="Times New Roman"/>
          <w:sz w:val="22"/>
          <w:szCs w:val="22"/>
        </w:rPr>
        <w:t>xit interviews for departing learners</w:t>
      </w:r>
      <w:r w:rsidR="00AC1127">
        <w:rPr>
          <w:rFonts w:eastAsia="Times New Roman"/>
          <w:sz w:val="22"/>
          <w:szCs w:val="22"/>
        </w:rPr>
        <w:t>.</w:t>
      </w:r>
    </w:p>
    <w:p w14:paraId="32E0475B" w14:textId="67E50DD7" w:rsidR="00CD7CF2" w:rsidRDefault="00CD7CF2" w:rsidP="00CD7CF2">
      <w:pPr>
        <w:widowControl/>
        <w:numPr>
          <w:ilvl w:val="0"/>
          <w:numId w:val="19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t>Analyze patterns and trends</w:t>
      </w:r>
      <w:r w:rsidR="00AC1127">
        <w:rPr>
          <w:rFonts w:eastAsia="Times New Roman"/>
          <w:sz w:val="22"/>
          <w:szCs w:val="22"/>
        </w:rPr>
        <w:t xml:space="preserve"> like t</w:t>
      </w:r>
      <w:r w:rsidRPr="00CD7CF2">
        <w:rPr>
          <w:rFonts w:eastAsia="Times New Roman"/>
          <w:sz w:val="22"/>
          <w:szCs w:val="22"/>
        </w:rPr>
        <w:t>iming of dropouts</w:t>
      </w:r>
      <w:r w:rsidR="00AC1127">
        <w:rPr>
          <w:rFonts w:eastAsia="Times New Roman"/>
          <w:sz w:val="22"/>
          <w:szCs w:val="22"/>
        </w:rPr>
        <w:t>, c</w:t>
      </w:r>
      <w:r w:rsidRPr="00CD7CF2">
        <w:rPr>
          <w:rFonts w:eastAsia="Times New Roman"/>
          <w:sz w:val="22"/>
          <w:szCs w:val="22"/>
        </w:rPr>
        <w:t>ommon reasons for attrition</w:t>
      </w:r>
      <w:r w:rsidR="00AC1127">
        <w:rPr>
          <w:rFonts w:eastAsia="Times New Roman"/>
          <w:sz w:val="22"/>
          <w:szCs w:val="22"/>
        </w:rPr>
        <w:t>, c</w:t>
      </w:r>
      <w:r w:rsidRPr="00CD7CF2">
        <w:rPr>
          <w:rFonts w:eastAsia="Times New Roman"/>
          <w:sz w:val="22"/>
          <w:szCs w:val="22"/>
        </w:rPr>
        <w:t>orrelation with cohort characteristics</w:t>
      </w:r>
      <w:r w:rsidR="00AC1127">
        <w:rPr>
          <w:rFonts w:eastAsia="Times New Roman"/>
          <w:sz w:val="22"/>
          <w:szCs w:val="22"/>
        </w:rPr>
        <w:t>, and i</w:t>
      </w:r>
      <w:r w:rsidRPr="00CD7CF2">
        <w:rPr>
          <w:rFonts w:eastAsia="Times New Roman"/>
          <w:sz w:val="22"/>
          <w:szCs w:val="22"/>
        </w:rPr>
        <w:t>mpact of support interventions</w:t>
      </w:r>
      <w:r w:rsidR="00AC1127">
        <w:rPr>
          <w:rFonts w:eastAsia="Times New Roman"/>
          <w:sz w:val="22"/>
          <w:szCs w:val="22"/>
        </w:rPr>
        <w:t>.</w:t>
      </w:r>
    </w:p>
    <w:p w14:paraId="1500DE60" w14:textId="77777777" w:rsidR="00CD7CF2" w:rsidRPr="00AC1127" w:rsidRDefault="00CD7CF2" w:rsidP="00AC1127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eastAsia="Times New Roman"/>
          <w:b/>
          <w:sz w:val="22"/>
          <w:szCs w:val="22"/>
        </w:rPr>
      </w:pPr>
      <w:r w:rsidRPr="00AC1127">
        <w:rPr>
          <w:rFonts w:eastAsia="Times New Roman"/>
          <w:b/>
          <w:sz w:val="22"/>
          <w:szCs w:val="22"/>
        </w:rPr>
        <w:t>Continuous Improvement</w:t>
      </w:r>
    </w:p>
    <w:p w14:paraId="5D5FCF88" w14:textId="6C3432CB" w:rsidR="00CD7CF2" w:rsidRPr="00CD7CF2" w:rsidRDefault="00AC1127" w:rsidP="00AC1127">
      <w:pPr>
        <w:widowControl/>
        <w:numPr>
          <w:ilvl w:val="0"/>
          <w:numId w:val="21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Have in place r</w:t>
      </w:r>
      <w:r w:rsidR="00CD7CF2" w:rsidRPr="00CD7CF2">
        <w:rPr>
          <w:rFonts w:eastAsia="Times New Roman"/>
          <w:sz w:val="22"/>
          <w:szCs w:val="22"/>
        </w:rPr>
        <w:t xml:space="preserve">egular </w:t>
      </w:r>
      <w:r>
        <w:rPr>
          <w:rFonts w:eastAsia="Times New Roman"/>
          <w:sz w:val="22"/>
          <w:szCs w:val="22"/>
        </w:rPr>
        <w:t xml:space="preserve">internal and external </w:t>
      </w:r>
      <w:r w:rsidR="00CD7CF2" w:rsidRPr="00CD7CF2">
        <w:rPr>
          <w:rFonts w:eastAsia="Times New Roman"/>
          <w:sz w:val="22"/>
          <w:szCs w:val="22"/>
        </w:rPr>
        <w:t>review cycles</w:t>
      </w:r>
      <w:r>
        <w:rPr>
          <w:rFonts w:eastAsia="Times New Roman"/>
          <w:sz w:val="22"/>
          <w:szCs w:val="22"/>
        </w:rPr>
        <w:t xml:space="preserve"> like for example w</w:t>
      </w:r>
      <w:r w:rsidR="00CD7CF2" w:rsidRPr="00CD7CF2">
        <w:rPr>
          <w:rFonts w:eastAsia="Times New Roman"/>
          <w:sz w:val="22"/>
          <w:szCs w:val="22"/>
        </w:rPr>
        <w:t>eekly program team meetings</w:t>
      </w:r>
      <w:r>
        <w:rPr>
          <w:rFonts w:eastAsia="Times New Roman"/>
          <w:sz w:val="22"/>
          <w:szCs w:val="22"/>
        </w:rPr>
        <w:t>, m</w:t>
      </w:r>
      <w:r w:rsidR="00CD7CF2" w:rsidRPr="00CD7CF2">
        <w:rPr>
          <w:rFonts w:eastAsia="Times New Roman"/>
          <w:sz w:val="22"/>
          <w:szCs w:val="22"/>
        </w:rPr>
        <w:t>onthly performance assessments</w:t>
      </w:r>
      <w:r>
        <w:rPr>
          <w:rFonts w:eastAsia="Times New Roman"/>
          <w:sz w:val="22"/>
          <w:szCs w:val="22"/>
        </w:rPr>
        <w:t>, q</w:t>
      </w:r>
      <w:r w:rsidR="00CD7CF2" w:rsidRPr="00CD7CF2">
        <w:rPr>
          <w:rFonts w:eastAsia="Times New Roman"/>
          <w:sz w:val="22"/>
          <w:szCs w:val="22"/>
        </w:rPr>
        <w:t>uarterly trend analysis</w:t>
      </w:r>
      <w:r>
        <w:rPr>
          <w:rFonts w:eastAsia="Times New Roman"/>
          <w:sz w:val="22"/>
          <w:szCs w:val="22"/>
        </w:rPr>
        <w:t>, or a</w:t>
      </w:r>
      <w:r w:rsidR="00CD7CF2" w:rsidRPr="00CD7CF2">
        <w:rPr>
          <w:rFonts w:eastAsia="Times New Roman"/>
          <w:sz w:val="22"/>
          <w:szCs w:val="22"/>
        </w:rPr>
        <w:t>nnual strategic planning</w:t>
      </w:r>
      <w:r>
        <w:rPr>
          <w:rFonts w:eastAsia="Times New Roman"/>
          <w:sz w:val="22"/>
          <w:szCs w:val="22"/>
        </w:rPr>
        <w:t>.</w:t>
      </w:r>
    </w:p>
    <w:p w14:paraId="3FA97943" w14:textId="2E0DBC9E" w:rsidR="00CD7CF2" w:rsidRDefault="00CD7CF2" w:rsidP="00CD7CF2">
      <w:pPr>
        <w:widowControl/>
        <w:numPr>
          <w:ilvl w:val="0"/>
          <w:numId w:val="21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 w:rsidRPr="00CD7CF2">
        <w:rPr>
          <w:rFonts w:eastAsia="Times New Roman"/>
          <w:sz w:val="22"/>
          <w:szCs w:val="22"/>
        </w:rPr>
        <w:lastRenderedPageBreak/>
        <w:t xml:space="preserve">Action planning: </w:t>
      </w:r>
      <w:r w:rsidR="00AC1127">
        <w:rPr>
          <w:rFonts w:eastAsia="Times New Roman"/>
          <w:sz w:val="22"/>
          <w:szCs w:val="22"/>
        </w:rPr>
        <w:t>i</w:t>
      </w:r>
      <w:r w:rsidRPr="00CD7CF2">
        <w:rPr>
          <w:rFonts w:eastAsia="Times New Roman"/>
          <w:sz w:val="22"/>
          <w:szCs w:val="22"/>
        </w:rPr>
        <w:t>dentify areas for improvement</w:t>
      </w:r>
      <w:r w:rsidR="00AC1127">
        <w:rPr>
          <w:rFonts w:eastAsia="Times New Roman"/>
          <w:sz w:val="22"/>
          <w:szCs w:val="22"/>
        </w:rPr>
        <w:t>, d</w:t>
      </w:r>
      <w:r w:rsidRPr="00CD7CF2">
        <w:rPr>
          <w:rFonts w:eastAsia="Times New Roman"/>
          <w:sz w:val="22"/>
          <w:szCs w:val="22"/>
        </w:rPr>
        <w:t>evelop specific interventions</w:t>
      </w:r>
      <w:r w:rsidR="00AC1127">
        <w:rPr>
          <w:rFonts w:eastAsia="Times New Roman"/>
          <w:sz w:val="22"/>
          <w:szCs w:val="22"/>
        </w:rPr>
        <w:t>, s</w:t>
      </w:r>
      <w:r w:rsidRPr="00CD7CF2">
        <w:rPr>
          <w:rFonts w:eastAsia="Times New Roman"/>
          <w:sz w:val="22"/>
          <w:szCs w:val="22"/>
        </w:rPr>
        <w:t>et measurable goals</w:t>
      </w:r>
      <w:r w:rsidR="00AC1127">
        <w:rPr>
          <w:rFonts w:eastAsia="Times New Roman"/>
          <w:sz w:val="22"/>
          <w:szCs w:val="22"/>
        </w:rPr>
        <w:t>, m</w:t>
      </w:r>
      <w:r w:rsidRPr="00CD7CF2">
        <w:rPr>
          <w:rFonts w:eastAsia="Times New Roman"/>
          <w:sz w:val="22"/>
          <w:szCs w:val="22"/>
        </w:rPr>
        <w:t>onitor intervention effectiveness</w:t>
      </w:r>
      <w:r w:rsidR="00AC1127">
        <w:rPr>
          <w:rFonts w:eastAsia="Times New Roman"/>
          <w:sz w:val="22"/>
          <w:szCs w:val="22"/>
        </w:rPr>
        <w:t>.</w:t>
      </w:r>
    </w:p>
    <w:p w14:paraId="240AF445" w14:textId="06A0C3F0" w:rsidR="00F8693E" w:rsidRPr="00B37F3B" w:rsidRDefault="00AC1127" w:rsidP="00B37F3B">
      <w:pPr>
        <w:widowControl/>
        <w:numPr>
          <w:ilvl w:val="0"/>
          <w:numId w:val="21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Work with AWS re/Start team to understand how your performance compares with similar organizations in the region or other COs that server similar groups of learners.</w:t>
      </w:r>
    </w:p>
    <w:p w14:paraId="5349B104" w14:textId="77777777" w:rsidR="00F8693E" w:rsidRPr="00AA52B9" w:rsidRDefault="003F10FD" w:rsidP="00F8693E">
      <w:pPr>
        <w:pStyle w:val="Heading5"/>
        <w:spacing w:line="276" w:lineRule="auto"/>
        <w:rPr>
          <w:sz w:val="24"/>
          <w:szCs w:val="24"/>
        </w:rPr>
      </w:pPr>
      <w:bookmarkStart w:id="4" w:name="_Toc192067342"/>
      <w:r>
        <w:rPr>
          <w:sz w:val="24"/>
          <w:szCs w:val="24"/>
        </w:rPr>
        <w:t xml:space="preserve">5. </w:t>
      </w:r>
      <w:r w:rsidR="00A3174F">
        <w:rPr>
          <w:sz w:val="24"/>
          <w:szCs w:val="24"/>
        </w:rPr>
        <w:t>Tools and</w:t>
      </w:r>
      <w:r w:rsidR="00CD7CF2">
        <w:rPr>
          <w:sz w:val="24"/>
          <w:szCs w:val="24"/>
        </w:rPr>
        <w:t xml:space="preserve"> Resources – Recommended approache</w:t>
      </w:r>
      <w:r w:rsidR="002E118E">
        <w:rPr>
          <w:sz w:val="24"/>
          <w:szCs w:val="24"/>
        </w:rPr>
        <w:t>s</w:t>
      </w:r>
      <w:r w:rsidR="00CD7CF2">
        <w:rPr>
          <w:sz w:val="24"/>
          <w:szCs w:val="24"/>
        </w:rPr>
        <w:t xml:space="preserve"> and support systems</w:t>
      </w:r>
      <w:bookmarkEnd w:id="4"/>
      <w:r w:rsidR="00A3174F">
        <w:rPr>
          <w:sz w:val="24"/>
          <w:szCs w:val="24"/>
        </w:rPr>
        <w:t xml:space="preserve"> </w:t>
      </w:r>
    </w:p>
    <w:p w14:paraId="4D18B7E6" w14:textId="2F207C40" w:rsidR="00CD7CF2" w:rsidRPr="00CD7CF2" w:rsidRDefault="00CD7CF2" w:rsidP="00CD7CF2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>Successful attrition management requires the right combination of tools, systems, and resources</w:t>
      </w:r>
      <w:r w:rsidR="00A74208">
        <w:rPr>
          <w:rFonts w:asciiTheme="minorHAnsi" w:eastAsia="Times New Roman" w:hAnsiTheme="minorHAnsi" w:cstheme="minorHAnsi"/>
          <w:sz w:val="22"/>
          <w:szCs w:val="22"/>
        </w:rPr>
        <w:t xml:space="preserve"> applied throughout the three phases as indicated previously: “Preparation”, “Implementation” and “Measurement”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 w:rsidR="00A74208">
        <w:rPr>
          <w:rFonts w:asciiTheme="minorHAnsi" w:eastAsia="Times New Roman" w:hAnsiTheme="minorHAnsi" w:cstheme="minorHAnsi"/>
          <w:sz w:val="22"/>
          <w:szCs w:val="22"/>
        </w:rPr>
        <w:t>Below you can find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recommended approaches and support mechanisms that </w:t>
      </w:r>
      <w:r w:rsidR="00A74208">
        <w:rPr>
          <w:rFonts w:asciiTheme="minorHAnsi" w:eastAsia="Times New Roman" w:hAnsiTheme="minorHAnsi" w:cstheme="minorHAnsi"/>
          <w:sz w:val="22"/>
          <w:szCs w:val="22"/>
        </w:rPr>
        <w:t>you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can implement:</w:t>
      </w:r>
    </w:p>
    <w:p w14:paraId="4853DD67" w14:textId="77777777" w:rsidR="00CD7CF2" w:rsidRPr="006C1715" w:rsidRDefault="00CD7CF2" w:rsidP="006C1715">
      <w:pPr>
        <w:widowControl/>
        <w:tabs>
          <w:tab w:val="clear" w:pos="720"/>
        </w:tabs>
        <w:suppressAutoHyphens w:val="0"/>
        <w:autoSpaceDE/>
        <w:autoSpaceDN/>
        <w:adjustRightInd/>
        <w:spacing w:line="240" w:lineRule="auto"/>
        <w:textAlignment w:val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6C1715">
        <w:rPr>
          <w:rFonts w:asciiTheme="minorHAnsi" w:eastAsia="Times New Roman" w:hAnsiTheme="minorHAnsi" w:cstheme="minorHAnsi"/>
          <w:b/>
          <w:sz w:val="22"/>
          <w:szCs w:val="22"/>
        </w:rPr>
        <w:t>Assessment and Selection Tools</w:t>
      </w:r>
    </w:p>
    <w:p w14:paraId="54619301" w14:textId="24600DB6" w:rsidR="00CD7CF2" w:rsidRPr="00CD7CF2" w:rsidRDefault="00A74208" w:rsidP="006C1715">
      <w:pPr>
        <w:widowControl/>
        <w:numPr>
          <w:ilvl w:val="0"/>
          <w:numId w:val="23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You should have a clear and trackable l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earner intake assessment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that measures t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echnical aptitude</w:t>
      </w:r>
      <w:r>
        <w:rPr>
          <w:rFonts w:asciiTheme="minorHAnsi" w:eastAsia="Times New Roman" w:hAnsiTheme="minorHAnsi" w:cstheme="minorHAnsi"/>
          <w:sz w:val="22"/>
          <w:szCs w:val="22"/>
        </w:rPr>
        <w:t>, l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earning style</w:t>
      </w:r>
      <w:r>
        <w:rPr>
          <w:rFonts w:asciiTheme="minorHAnsi" w:eastAsia="Times New Roman" w:hAnsiTheme="minorHAnsi" w:cstheme="minorHAnsi"/>
          <w:sz w:val="22"/>
          <w:szCs w:val="22"/>
        </w:rPr>
        <w:t>, c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ommitment level</w:t>
      </w:r>
      <w:r>
        <w:rPr>
          <w:rFonts w:asciiTheme="minorHAnsi" w:eastAsia="Times New Roman" w:hAnsiTheme="minorHAnsi" w:cstheme="minorHAnsi"/>
          <w:sz w:val="22"/>
          <w:szCs w:val="22"/>
        </w:rPr>
        <w:t>. We have included some recommendations that you should tailor for your organization and learners’ community. You can also engage with other AWS re/Start COs to learn about their methodologies or used tools</w:t>
      </w:r>
      <w:r w:rsidR="00BC3C5D">
        <w:rPr>
          <w:rFonts w:asciiTheme="minorHAnsi" w:eastAsia="Times New Roman" w:hAnsiTheme="minorHAnsi" w:cstheme="minorHAnsi"/>
          <w:sz w:val="22"/>
          <w:szCs w:val="22"/>
        </w:rPr>
        <w:t xml:space="preserve"> like CRMs tailored for your type of organization and processes</w:t>
      </w:r>
      <w:r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3E517E5B" w14:textId="401C287B" w:rsidR="00CD7CF2" w:rsidRPr="00CD7CF2" w:rsidRDefault="00CD7CF2" w:rsidP="00CD7CF2">
      <w:pPr>
        <w:widowControl/>
        <w:numPr>
          <w:ilvl w:val="0"/>
          <w:numId w:val="23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Pre-program </w:t>
      </w:r>
      <w:r w:rsidR="00A74208">
        <w:rPr>
          <w:rFonts w:asciiTheme="minorHAnsi" w:eastAsia="Times New Roman" w:hAnsiTheme="minorHAnsi" w:cstheme="minorHAnsi"/>
          <w:sz w:val="22"/>
          <w:szCs w:val="22"/>
        </w:rPr>
        <w:t>activities support learners in better understanding if the course is right for them. You should include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Week 0 orientation </w:t>
      </w:r>
      <w:r w:rsidR="00A74208">
        <w:rPr>
          <w:rFonts w:asciiTheme="minorHAnsi" w:eastAsia="Times New Roman" w:hAnsiTheme="minorHAnsi" w:cstheme="minorHAnsi"/>
          <w:sz w:val="22"/>
          <w:szCs w:val="22"/>
        </w:rPr>
        <w:t>activities, a brochure on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A74208">
        <w:rPr>
          <w:rFonts w:asciiTheme="minorHAnsi" w:eastAsia="Times New Roman" w:hAnsiTheme="minorHAnsi" w:cstheme="minorHAnsi"/>
          <w:sz w:val="22"/>
          <w:szCs w:val="22"/>
        </w:rPr>
        <w:t>p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rogram expectations </w:t>
      </w:r>
      <w:r w:rsidR="00A74208">
        <w:rPr>
          <w:rFonts w:asciiTheme="minorHAnsi" w:eastAsia="Times New Roman" w:hAnsiTheme="minorHAnsi" w:cstheme="minorHAnsi"/>
          <w:sz w:val="22"/>
          <w:szCs w:val="22"/>
        </w:rPr>
        <w:t>with examples of successful stories, and s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uccess guidelines</w:t>
      </w:r>
      <w:r w:rsidR="00A74208">
        <w:rPr>
          <w:rFonts w:asciiTheme="minorHAnsi" w:eastAsia="Times New Roman" w:hAnsiTheme="minorHAnsi" w:cstheme="minorHAnsi"/>
          <w:sz w:val="22"/>
          <w:szCs w:val="22"/>
        </w:rPr>
        <w:t xml:space="preserve"> (based on past best practices and feedback from the learners.)</w:t>
      </w:r>
    </w:p>
    <w:p w14:paraId="57693F9A" w14:textId="77777777" w:rsidR="00CD7CF2" w:rsidRPr="006C1715" w:rsidRDefault="00CD7CF2" w:rsidP="006C1715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6C1715">
        <w:rPr>
          <w:rFonts w:asciiTheme="minorHAnsi" w:eastAsia="Times New Roman" w:hAnsiTheme="minorHAnsi" w:cstheme="minorHAnsi"/>
          <w:b/>
          <w:sz w:val="22"/>
          <w:szCs w:val="22"/>
        </w:rPr>
        <w:t>Monitoring and Tracking Systems</w:t>
      </w:r>
    </w:p>
    <w:p w14:paraId="7BB9C8EA" w14:textId="340F6540" w:rsidR="00CD7CF2" w:rsidRPr="00CD7CF2" w:rsidRDefault="00A74208" w:rsidP="006C1715">
      <w:pPr>
        <w:widowControl/>
        <w:numPr>
          <w:ilvl w:val="0"/>
          <w:numId w:val="24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Through AWS re/Start L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earning Management System</w:t>
      </w:r>
      <w:r w:rsidR="00B37F3B">
        <w:rPr>
          <w:rFonts w:asciiTheme="minorHAnsi" w:eastAsia="Times New Roman" w:hAnsiTheme="minorHAnsi" w:cstheme="minorHAnsi"/>
          <w:sz w:val="22"/>
          <w:szCs w:val="22"/>
        </w:rPr>
        <w:t xml:space="preserve"> (LMS)</w:t>
      </w:r>
      <w:r w:rsidR="002B0BE4">
        <w:rPr>
          <w:rFonts w:asciiTheme="minorHAnsi" w:eastAsia="Times New Roman" w:hAnsiTheme="minorHAnsi" w:cstheme="minorHAnsi"/>
          <w:sz w:val="22"/>
          <w:szCs w:val="22"/>
        </w:rPr>
        <w:t xml:space="preserve">, in the Canvas Gradebook, </w:t>
      </w:r>
      <w:bookmarkStart w:id="5" w:name="_GoBack"/>
      <w:bookmarkEnd w:id="5"/>
      <w:r>
        <w:rPr>
          <w:rFonts w:asciiTheme="minorHAnsi" w:eastAsia="Times New Roman" w:hAnsiTheme="minorHAnsi" w:cstheme="minorHAnsi"/>
          <w:sz w:val="22"/>
          <w:szCs w:val="22"/>
        </w:rPr>
        <w:t>you can track p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rogress</w:t>
      </w:r>
      <w:r>
        <w:rPr>
          <w:rFonts w:asciiTheme="minorHAnsi" w:eastAsia="Times New Roman" w:hAnsiTheme="minorHAnsi" w:cstheme="minorHAnsi"/>
          <w:sz w:val="22"/>
          <w:szCs w:val="22"/>
        </w:rPr>
        <w:t>, a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ssignment completion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="009F4F3A">
        <w:rPr>
          <w:rFonts w:asciiTheme="minorHAnsi" w:eastAsia="Times New Roman" w:hAnsiTheme="minorHAnsi" w:cstheme="minorHAnsi"/>
          <w:sz w:val="22"/>
          <w:szCs w:val="22"/>
        </w:rPr>
        <w:t>e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ngagement metrics</w:t>
      </w:r>
      <w:r w:rsidR="009F4F3A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Knowledge Check results</w:t>
      </w:r>
      <w:r w:rsidR="009F4F3A">
        <w:rPr>
          <w:rFonts w:asciiTheme="minorHAnsi" w:eastAsia="Times New Roman" w:hAnsiTheme="minorHAnsi" w:cstheme="minorHAnsi"/>
          <w:sz w:val="22"/>
          <w:szCs w:val="22"/>
        </w:rPr>
        <w:t>. This can comple</w:t>
      </w:r>
      <w:r w:rsidR="00BC3C5D">
        <w:rPr>
          <w:rFonts w:asciiTheme="minorHAnsi" w:eastAsia="Times New Roman" w:hAnsiTheme="minorHAnsi" w:cstheme="minorHAnsi"/>
          <w:sz w:val="22"/>
          <w:szCs w:val="22"/>
        </w:rPr>
        <w:t>ment</w:t>
      </w:r>
      <w:r w:rsidR="009F4F3A">
        <w:rPr>
          <w:rFonts w:asciiTheme="minorHAnsi" w:eastAsia="Times New Roman" w:hAnsiTheme="minorHAnsi" w:cstheme="minorHAnsi"/>
          <w:sz w:val="22"/>
          <w:szCs w:val="22"/>
        </w:rPr>
        <w:t xml:space="preserve"> other tracking tools you already have in place to spot early signs of future attrition.</w:t>
      </w:r>
    </w:p>
    <w:p w14:paraId="215DAE46" w14:textId="618E7B06" w:rsidR="00CD7CF2" w:rsidRPr="00CD7CF2" w:rsidRDefault="00CD7CF2" w:rsidP="00CD7CF2">
      <w:pPr>
        <w:widowControl/>
        <w:numPr>
          <w:ilvl w:val="0"/>
          <w:numId w:val="24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Attendance </w:t>
      </w:r>
      <w:r w:rsidR="009F4F3A">
        <w:rPr>
          <w:rFonts w:asciiTheme="minorHAnsi" w:eastAsia="Times New Roman" w:hAnsiTheme="minorHAnsi" w:cstheme="minorHAnsi"/>
          <w:sz w:val="22"/>
          <w:szCs w:val="22"/>
        </w:rPr>
        <w:t xml:space="preserve">and participation 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management tools</w:t>
      </w:r>
      <w:r w:rsidR="009F4F3A">
        <w:rPr>
          <w:rFonts w:asciiTheme="minorHAnsi" w:eastAsia="Times New Roman" w:hAnsiTheme="minorHAnsi" w:cstheme="minorHAnsi"/>
          <w:sz w:val="22"/>
          <w:szCs w:val="22"/>
        </w:rPr>
        <w:t xml:space="preserve"> also help you in detecting e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arly warning indicators</w:t>
      </w:r>
      <w:r w:rsidR="009F4F3A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20AEBA1E" w14:textId="77777777" w:rsidR="00CD7CF2" w:rsidRPr="006C1715" w:rsidRDefault="00CD7CF2" w:rsidP="006C1715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6C1715">
        <w:rPr>
          <w:rFonts w:asciiTheme="minorHAnsi" w:eastAsia="Times New Roman" w:hAnsiTheme="minorHAnsi" w:cstheme="minorHAnsi"/>
          <w:b/>
          <w:sz w:val="22"/>
          <w:szCs w:val="22"/>
        </w:rPr>
        <w:t>Communication Platforms</w:t>
      </w:r>
    </w:p>
    <w:p w14:paraId="6A26C32C" w14:textId="78CAF99E" w:rsidR="00CD7CF2" w:rsidRPr="00CD7CF2" w:rsidRDefault="0092185A" w:rsidP="006C1715">
      <w:pPr>
        <w:widowControl/>
        <w:numPr>
          <w:ilvl w:val="0"/>
          <w:numId w:val="26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Build a community around the program and </w:t>
      </w:r>
      <w:r w:rsidR="00BC3C5D">
        <w:rPr>
          <w:rFonts w:asciiTheme="minorHAnsi" w:eastAsia="Times New Roman" w:hAnsiTheme="minorHAnsi" w:cstheme="minorHAnsi"/>
          <w:sz w:val="22"/>
          <w:szCs w:val="22"/>
        </w:rPr>
        <w:t>promote peer support among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learners</w:t>
      </w:r>
      <w:r w:rsidR="00BC3C5D">
        <w:rPr>
          <w:rFonts w:asciiTheme="minorHAnsi" w:eastAsia="Times New Roman" w:hAnsiTheme="minorHAnsi" w:cstheme="minorHAnsi"/>
          <w:sz w:val="22"/>
          <w:szCs w:val="22"/>
        </w:rPr>
        <w:t>. For this you can use platforms than include features like virtual meeting platforms, discussion forums, messaging forums or announcement channels.</w:t>
      </w:r>
    </w:p>
    <w:p w14:paraId="6C1A6A9D" w14:textId="5B6A27D5" w:rsidR="00CD7CF2" w:rsidRPr="00CD7CF2" w:rsidRDefault="00CD7CF2" w:rsidP="00CD7CF2">
      <w:pPr>
        <w:widowControl/>
        <w:numPr>
          <w:ilvl w:val="0"/>
          <w:numId w:val="26"/>
        </w:numPr>
        <w:suppressAutoHyphens w:val="0"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CD7CF2">
        <w:rPr>
          <w:rFonts w:asciiTheme="minorHAnsi" w:eastAsia="Times New Roman" w:hAnsiTheme="minorHAnsi" w:cstheme="minorHAnsi"/>
          <w:sz w:val="22"/>
          <w:szCs w:val="22"/>
        </w:rPr>
        <w:t>Feedback mechanisms</w:t>
      </w:r>
      <w:r w:rsidR="00B37F3B">
        <w:rPr>
          <w:rFonts w:asciiTheme="minorHAnsi" w:eastAsia="Times New Roman" w:hAnsiTheme="minorHAnsi" w:cstheme="minorHAnsi"/>
          <w:sz w:val="22"/>
          <w:szCs w:val="22"/>
        </w:rPr>
        <w:t>, as already mentioned,</w:t>
      </w:r>
      <w:r w:rsidR="00BC3C5D">
        <w:rPr>
          <w:rFonts w:asciiTheme="minorHAnsi" w:eastAsia="Times New Roman" w:hAnsiTheme="minorHAnsi" w:cstheme="minorHAnsi"/>
          <w:sz w:val="22"/>
          <w:szCs w:val="22"/>
        </w:rPr>
        <w:t xml:space="preserve"> should be in place 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at</w:t>
      </w:r>
      <w:r w:rsidR="00BC3C5D">
        <w:rPr>
          <w:rFonts w:asciiTheme="minorHAnsi" w:eastAsia="Times New Roman" w:hAnsiTheme="minorHAnsi" w:cstheme="minorHAnsi"/>
          <w:sz w:val="22"/>
          <w:szCs w:val="22"/>
        </w:rPr>
        <w:t xml:space="preserve"> all stages of your activities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. Feedback can be collected through gro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u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p su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rvey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s, but also o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ne-on-one meeting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s, p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rogress review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s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or e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>xit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/placement</w:t>
      </w:r>
      <w:r w:rsidRPr="00CD7CF2">
        <w:rPr>
          <w:rFonts w:asciiTheme="minorHAnsi" w:eastAsia="Times New Roman" w:hAnsiTheme="minorHAnsi" w:cstheme="minorHAnsi"/>
          <w:sz w:val="22"/>
          <w:szCs w:val="22"/>
        </w:rPr>
        <w:t xml:space="preserve"> interview</w:t>
      </w:r>
      <w:r w:rsidR="0081110F">
        <w:rPr>
          <w:rFonts w:asciiTheme="minorHAnsi" w:eastAsia="Times New Roman" w:hAnsiTheme="minorHAnsi" w:cstheme="minorHAnsi"/>
          <w:sz w:val="22"/>
          <w:szCs w:val="22"/>
        </w:rPr>
        <w:t>s.</w:t>
      </w:r>
    </w:p>
    <w:p w14:paraId="5C987D44" w14:textId="77777777" w:rsidR="00CD7CF2" w:rsidRPr="006C1715" w:rsidRDefault="00CD7CF2" w:rsidP="006C1715">
      <w:pPr>
        <w:widowControl/>
        <w:tabs>
          <w:tab w:val="clear" w:pos="720"/>
        </w:tabs>
        <w:suppressAutoHyphens w:val="0"/>
        <w:autoSpaceDE/>
        <w:autoSpaceDN/>
        <w:adjustRightInd/>
        <w:spacing w:before="100" w:beforeAutospacing="1" w:line="240" w:lineRule="auto"/>
        <w:textAlignment w:val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6C1715">
        <w:rPr>
          <w:rFonts w:asciiTheme="minorHAnsi" w:eastAsia="Times New Roman" w:hAnsiTheme="minorHAnsi" w:cstheme="minorHAnsi"/>
          <w:b/>
          <w:sz w:val="22"/>
          <w:szCs w:val="22"/>
        </w:rPr>
        <w:t>Best Practice Resources</w:t>
      </w:r>
    </w:p>
    <w:p w14:paraId="2925ADA5" w14:textId="6D7C7890" w:rsidR="0081110F" w:rsidRDefault="0081110F" w:rsidP="006C1715">
      <w:pPr>
        <w:widowControl/>
        <w:numPr>
          <w:ilvl w:val="0"/>
          <w:numId w:val="28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As a global program we work proactively to learn, share and promote best practices among all our collaborating organizations. This is done through our </w:t>
      </w:r>
      <w:hyperlink r:id="rId9" w:history="1">
        <w:r w:rsidR="009418BB" w:rsidRPr="00F66550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 xml:space="preserve">AWS re/Start </w:t>
        </w:r>
        <w:r w:rsidRPr="00F66550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CO Portal</w:t>
        </w:r>
      </w:hyperlink>
      <w:r>
        <w:rPr>
          <w:rFonts w:asciiTheme="minorHAnsi" w:eastAsia="Times New Roman" w:hAnsiTheme="minorHAnsi" w:cstheme="minorHAnsi"/>
          <w:sz w:val="22"/>
          <w:szCs w:val="22"/>
        </w:rPr>
        <w:t xml:space="preserve"> resources like this document, global and regional CO sessions, peer learning opportunities and during your regular calls with our Program Managers.</w:t>
      </w:r>
    </w:p>
    <w:p w14:paraId="406BC2FB" w14:textId="42B66362" w:rsidR="00EE438E" w:rsidRPr="0081110F" w:rsidRDefault="0081110F" w:rsidP="0081110F">
      <w:pPr>
        <w:widowControl/>
        <w:numPr>
          <w:ilvl w:val="0"/>
          <w:numId w:val="28"/>
        </w:numPr>
        <w:suppressAutoHyphens w:val="0"/>
        <w:autoSpaceDE/>
        <w:autoSpaceDN/>
        <w:adjustRightInd/>
        <w:spacing w:after="100" w:afterAutospacing="1" w:line="240" w:lineRule="auto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In addition to this, you should promote internal best practices through p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rogram delivery guides</w:t>
      </w:r>
      <w:r>
        <w:rPr>
          <w:rFonts w:asciiTheme="minorHAnsi" w:eastAsia="Times New Roman" w:hAnsiTheme="minorHAnsi" w:cstheme="minorHAnsi"/>
          <w:sz w:val="22"/>
          <w:szCs w:val="22"/>
        </w:rPr>
        <w:t>. These can be i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nstructor handbooks</w:t>
      </w:r>
      <w:r>
        <w:rPr>
          <w:rFonts w:asciiTheme="minorHAnsi" w:eastAsia="Times New Roman" w:hAnsiTheme="minorHAnsi" w:cstheme="minorHAnsi"/>
          <w:sz w:val="22"/>
          <w:szCs w:val="22"/>
        </w:rPr>
        <w:t>, s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upport service protocols</w:t>
      </w:r>
      <w:r>
        <w:rPr>
          <w:rFonts w:asciiTheme="minorHAnsi" w:eastAsia="Times New Roman" w:hAnsiTheme="minorHAnsi" w:cstheme="minorHAnsi"/>
          <w:sz w:val="22"/>
          <w:szCs w:val="22"/>
        </w:rPr>
        <w:t>, i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ntervention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or pre-attrition mitigation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 xml:space="preserve"> strategies</w:t>
      </w:r>
      <w:r>
        <w:rPr>
          <w:rFonts w:asciiTheme="minorHAnsi" w:eastAsia="Times New Roman" w:hAnsiTheme="minorHAnsi" w:cstheme="minorHAnsi"/>
          <w:sz w:val="22"/>
          <w:szCs w:val="22"/>
        </w:rPr>
        <w:t>, or templates to share s</w:t>
      </w:r>
      <w:r w:rsidR="00CD7CF2" w:rsidRPr="00CD7CF2">
        <w:rPr>
          <w:rFonts w:asciiTheme="minorHAnsi" w:eastAsia="Times New Roman" w:hAnsiTheme="minorHAnsi" w:cstheme="minorHAnsi"/>
          <w:sz w:val="22"/>
          <w:szCs w:val="22"/>
        </w:rPr>
        <w:t>uccess stories and case studies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</w:p>
    <w:sectPr w:rsidR="00EE438E" w:rsidRPr="0081110F" w:rsidSect="00BF200B">
      <w:headerReference w:type="default" r:id="rId10"/>
      <w:footerReference w:type="default" r:id="rId11"/>
      <w:pgSz w:w="11900" w:h="16840"/>
      <w:pgMar w:top="1440" w:right="1440" w:bottom="1440" w:left="1440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2C479" w14:textId="77777777" w:rsidR="00BA0127" w:rsidRDefault="00BA0127" w:rsidP="00F8693E">
      <w:pPr>
        <w:spacing w:line="240" w:lineRule="auto"/>
      </w:pPr>
      <w:r>
        <w:separator/>
      </w:r>
    </w:p>
  </w:endnote>
  <w:endnote w:type="continuationSeparator" w:id="0">
    <w:p w14:paraId="3499E176" w14:textId="77777777" w:rsidR="00BA0127" w:rsidRDefault="00BA0127" w:rsidP="00F86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Kai C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650FB" w14:textId="24FCF6A7" w:rsidR="00471ACA" w:rsidRPr="00AA52B9" w:rsidRDefault="00501CCF" w:rsidP="003B7635">
    <w:pPr>
      <w:pStyle w:val="Footer"/>
      <w:tabs>
        <w:tab w:val="clear" w:pos="720"/>
        <w:tab w:val="clear" w:pos="9360"/>
        <w:tab w:val="left" w:pos="0"/>
        <w:tab w:val="right" w:pos="10800"/>
      </w:tabs>
      <w:jc w:val="right"/>
      <w:rPr>
        <w:rFonts w:ascii="Calibri Light" w:eastAsiaTheme="majorEastAsia" w:hAnsi="Calibri Light" w:cs="Calibri Light"/>
        <w:b/>
        <w:i/>
        <w:color w:val="36C2B4"/>
        <w:sz w:val="22"/>
        <w:szCs w:val="24"/>
      </w:rPr>
    </w:pPr>
    <w:r w:rsidRPr="00AA52B9">
      <w:rPr>
        <w:rFonts w:ascii="Calibri Light" w:hAnsi="Calibri Light" w:cs="Calibri Light"/>
        <w:b/>
        <w:i/>
        <w:noProof/>
        <w:color w:val="FFFFFF" w:themeColor="background1"/>
        <w:sz w:val="22"/>
        <w:szCs w:val="24"/>
      </w:rPr>
      <w:drawing>
        <wp:anchor distT="0" distB="0" distL="114300" distR="114300" simplePos="0" relativeHeight="251659264" behindDoc="1" locked="0" layoutInCell="1" allowOverlap="1" wp14:anchorId="3C081B74" wp14:editId="1E1214F3">
          <wp:simplePos x="0" y="0"/>
          <wp:positionH relativeFrom="page">
            <wp:align>right</wp:align>
          </wp:positionH>
          <wp:positionV relativeFrom="paragraph">
            <wp:posOffset>-21591</wp:posOffset>
          </wp:positionV>
          <wp:extent cx="7773035" cy="6534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653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52B9">
      <w:rPr>
        <w:rFonts w:ascii="Calibri Light" w:hAnsi="Calibri Light" w:cs="Calibri Light"/>
        <w:b/>
        <w:i/>
        <w:color w:val="FFFFFF" w:themeColor="background1"/>
        <w:sz w:val="22"/>
        <w:szCs w:val="24"/>
      </w:rPr>
      <w:t xml:space="preserve">Last updated </w:t>
    </w:r>
    <w:r w:rsidR="00BC3C5D">
      <w:rPr>
        <w:rFonts w:ascii="Calibri Light" w:hAnsi="Calibri Light" w:cs="Calibri Light"/>
        <w:b/>
        <w:i/>
        <w:color w:val="FFFFFF" w:themeColor="background1"/>
        <w:sz w:val="22"/>
        <w:szCs w:val="24"/>
      </w:rPr>
      <w:t>March</w:t>
    </w:r>
    <w:r w:rsidRPr="00AA52B9">
      <w:rPr>
        <w:rFonts w:ascii="Calibri Light" w:hAnsi="Calibri Light" w:cs="Calibri Light"/>
        <w:b/>
        <w:i/>
        <w:color w:val="FFFFFF" w:themeColor="background1"/>
        <w:sz w:val="22"/>
        <w:szCs w:val="24"/>
      </w:rPr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2432E" w14:textId="77777777" w:rsidR="00BA0127" w:rsidRDefault="00BA0127" w:rsidP="00F8693E">
      <w:pPr>
        <w:spacing w:line="240" w:lineRule="auto"/>
      </w:pPr>
      <w:r>
        <w:separator/>
      </w:r>
    </w:p>
  </w:footnote>
  <w:footnote w:type="continuationSeparator" w:id="0">
    <w:p w14:paraId="38559F7E" w14:textId="77777777" w:rsidR="00BA0127" w:rsidRDefault="00BA0127" w:rsidP="00F86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9617D" w14:textId="77777777" w:rsidR="00853FB6" w:rsidRDefault="00501CCF" w:rsidP="003B7635">
    <w:r>
      <w:rPr>
        <w:noProof/>
      </w:rPr>
      <w:drawing>
        <wp:inline distT="0" distB="0" distL="0" distR="0" wp14:anchorId="4CD5F8F8" wp14:editId="47BD162A">
          <wp:extent cx="2095500" cy="6509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9943" cy="655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5DA67F" w14:textId="77777777" w:rsidR="00AA52B9" w:rsidRPr="003B7635" w:rsidRDefault="001E4158" w:rsidP="003B76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705"/>
    <w:multiLevelType w:val="multilevel"/>
    <w:tmpl w:val="73D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5065F"/>
    <w:multiLevelType w:val="multilevel"/>
    <w:tmpl w:val="1D60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5266"/>
    <w:multiLevelType w:val="hybridMultilevel"/>
    <w:tmpl w:val="56A6B1D2"/>
    <w:lvl w:ilvl="0" w:tplc="7874790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06B5F"/>
    <w:multiLevelType w:val="multilevel"/>
    <w:tmpl w:val="D970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A6F27"/>
    <w:multiLevelType w:val="multilevel"/>
    <w:tmpl w:val="D16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2B5C"/>
    <w:multiLevelType w:val="multilevel"/>
    <w:tmpl w:val="62FA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43CDB"/>
    <w:multiLevelType w:val="multilevel"/>
    <w:tmpl w:val="A67E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553C0"/>
    <w:multiLevelType w:val="multilevel"/>
    <w:tmpl w:val="772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F6145"/>
    <w:multiLevelType w:val="multilevel"/>
    <w:tmpl w:val="E294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A1941"/>
    <w:multiLevelType w:val="multilevel"/>
    <w:tmpl w:val="2A26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A177F"/>
    <w:multiLevelType w:val="multilevel"/>
    <w:tmpl w:val="1C68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33752"/>
    <w:multiLevelType w:val="multilevel"/>
    <w:tmpl w:val="07A2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A707A"/>
    <w:multiLevelType w:val="multilevel"/>
    <w:tmpl w:val="A6F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257CE"/>
    <w:multiLevelType w:val="multilevel"/>
    <w:tmpl w:val="6CD8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57D47"/>
    <w:multiLevelType w:val="multilevel"/>
    <w:tmpl w:val="9AFE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B37D8"/>
    <w:multiLevelType w:val="multilevel"/>
    <w:tmpl w:val="55E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E428E"/>
    <w:multiLevelType w:val="multilevel"/>
    <w:tmpl w:val="1A5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E510C"/>
    <w:multiLevelType w:val="multilevel"/>
    <w:tmpl w:val="E3F0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94F82"/>
    <w:multiLevelType w:val="multilevel"/>
    <w:tmpl w:val="CD5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40C13"/>
    <w:multiLevelType w:val="multilevel"/>
    <w:tmpl w:val="C240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35E22"/>
    <w:multiLevelType w:val="multilevel"/>
    <w:tmpl w:val="208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4A7918"/>
    <w:multiLevelType w:val="multilevel"/>
    <w:tmpl w:val="ABC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22F9F"/>
    <w:multiLevelType w:val="multilevel"/>
    <w:tmpl w:val="571C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C66D6"/>
    <w:multiLevelType w:val="multilevel"/>
    <w:tmpl w:val="F6D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04A39"/>
    <w:multiLevelType w:val="multilevel"/>
    <w:tmpl w:val="46A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17811"/>
    <w:multiLevelType w:val="multilevel"/>
    <w:tmpl w:val="E7CC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D7054"/>
    <w:multiLevelType w:val="multilevel"/>
    <w:tmpl w:val="157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C6321"/>
    <w:multiLevelType w:val="multilevel"/>
    <w:tmpl w:val="635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15"/>
  </w:num>
  <w:num w:numId="5">
    <w:abstractNumId w:val="8"/>
  </w:num>
  <w:num w:numId="6">
    <w:abstractNumId w:val="23"/>
  </w:num>
  <w:num w:numId="7">
    <w:abstractNumId w:val="24"/>
  </w:num>
  <w:num w:numId="8">
    <w:abstractNumId w:val="16"/>
  </w:num>
  <w:num w:numId="9">
    <w:abstractNumId w:val="0"/>
  </w:num>
  <w:num w:numId="10">
    <w:abstractNumId w:val="14"/>
  </w:num>
  <w:num w:numId="11">
    <w:abstractNumId w:val="4"/>
  </w:num>
  <w:num w:numId="12">
    <w:abstractNumId w:val="3"/>
  </w:num>
  <w:num w:numId="13">
    <w:abstractNumId w:val="27"/>
  </w:num>
  <w:num w:numId="14">
    <w:abstractNumId w:val="11"/>
  </w:num>
  <w:num w:numId="15">
    <w:abstractNumId w:val="22"/>
  </w:num>
  <w:num w:numId="16">
    <w:abstractNumId w:val="18"/>
  </w:num>
  <w:num w:numId="17">
    <w:abstractNumId w:val="25"/>
  </w:num>
  <w:num w:numId="18">
    <w:abstractNumId w:val="26"/>
  </w:num>
  <w:num w:numId="19">
    <w:abstractNumId w:val="6"/>
  </w:num>
  <w:num w:numId="20">
    <w:abstractNumId w:val="21"/>
  </w:num>
  <w:num w:numId="21">
    <w:abstractNumId w:val="7"/>
  </w:num>
  <w:num w:numId="22">
    <w:abstractNumId w:val="12"/>
  </w:num>
  <w:num w:numId="23">
    <w:abstractNumId w:val="5"/>
  </w:num>
  <w:num w:numId="24">
    <w:abstractNumId w:val="10"/>
  </w:num>
  <w:num w:numId="25">
    <w:abstractNumId w:val="17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3E"/>
    <w:rsid w:val="00031BA7"/>
    <w:rsid w:val="00040211"/>
    <w:rsid w:val="00083E3D"/>
    <w:rsid w:val="00091FEA"/>
    <w:rsid w:val="00263D89"/>
    <w:rsid w:val="00283846"/>
    <w:rsid w:val="00291BF4"/>
    <w:rsid w:val="002B0BE4"/>
    <w:rsid w:val="002B1701"/>
    <w:rsid w:val="002B7A0E"/>
    <w:rsid w:val="002E118E"/>
    <w:rsid w:val="00314F4A"/>
    <w:rsid w:val="00327D27"/>
    <w:rsid w:val="003A63B3"/>
    <w:rsid w:val="003F10FD"/>
    <w:rsid w:val="004D74C4"/>
    <w:rsid w:val="00501CCF"/>
    <w:rsid w:val="00543BF0"/>
    <w:rsid w:val="00584347"/>
    <w:rsid w:val="005E07B5"/>
    <w:rsid w:val="00647B86"/>
    <w:rsid w:val="00675FFE"/>
    <w:rsid w:val="00690725"/>
    <w:rsid w:val="006919A6"/>
    <w:rsid w:val="006C1715"/>
    <w:rsid w:val="00736AF9"/>
    <w:rsid w:val="00760AE0"/>
    <w:rsid w:val="007C05F7"/>
    <w:rsid w:val="0080313E"/>
    <w:rsid w:val="0081110F"/>
    <w:rsid w:val="008E0A49"/>
    <w:rsid w:val="0092185A"/>
    <w:rsid w:val="009418BB"/>
    <w:rsid w:val="009526F1"/>
    <w:rsid w:val="0096368B"/>
    <w:rsid w:val="00980BC3"/>
    <w:rsid w:val="009922D6"/>
    <w:rsid w:val="009F4F3A"/>
    <w:rsid w:val="00A26787"/>
    <w:rsid w:val="00A3174F"/>
    <w:rsid w:val="00A53E06"/>
    <w:rsid w:val="00A5475F"/>
    <w:rsid w:val="00A74208"/>
    <w:rsid w:val="00AC1127"/>
    <w:rsid w:val="00AD3A47"/>
    <w:rsid w:val="00AE7A55"/>
    <w:rsid w:val="00B17145"/>
    <w:rsid w:val="00B37F3B"/>
    <w:rsid w:val="00BA0127"/>
    <w:rsid w:val="00BC3C5D"/>
    <w:rsid w:val="00C27165"/>
    <w:rsid w:val="00C54EDD"/>
    <w:rsid w:val="00C571B8"/>
    <w:rsid w:val="00C9284D"/>
    <w:rsid w:val="00CD7CF2"/>
    <w:rsid w:val="00CF6602"/>
    <w:rsid w:val="00D00D04"/>
    <w:rsid w:val="00D54EE8"/>
    <w:rsid w:val="00D6405C"/>
    <w:rsid w:val="00D8066B"/>
    <w:rsid w:val="00E9787A"/>
    <w:rsid w:val="00F66550"/>
    <w:rsid w:val="00F8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7E68"/>
  <w15:chartTrackingRefBased/>
  <w15:docId w15:val="{AFC27E10-4942-4D72-9C7C-1B4B8CCF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93E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0" w:line="360" w:lineRule="auto"/>
      <w:textAlignment w:val="center"/>
    </w:pPr>
    <w:rPr>
      <w:rFonts w:ascii="Calibri" w:eastAsiaTheme="minorEastAsia" w:hAnsi="Calibri" w:cs="Calibri"/>
      <w:sz w:val="20"/>
      <w:szCs w:val="20"/>
    </w:rPr>
  </w:style>
  <w:style w:type="paragraph" w:styleId="Heading5">
    <w:name w:val="heading 5"/>
    <w:basedOn w:val="Header"/>
    <w:next w:val="Normal"/>
    <w:link w:val="Heading5Char"/>
    <w:uiPriority w:val="9"/>
    <w:unhideWhenUsed/>
    <w:rsid w:val="00F8693E"/>
    <w:pPr>
      <w:tabs>
        <w:tab w:val="clear" w:pos="4419"/>
        <w:tab w:val="clear" w:pos="8838"/>
        <w:tab w:val="left" w:pos="720"/>
        <w:tab w:val="left" w:pos="2790"/>
        <w:tab w:val="center" w:pos="4320"/>
        <w:tab w:val="right" w:pos="8640"/>
      </w:tabs>
      <w:spacing w:after="200" w:line="320" w:lineRule="atLeast"/>
      <w:outlineLvl w:val="4"/>
    </w:pPr>
    <w:rPr>
      <w:rFonts w:eastAsia="Times New Roman" w:cs="Arial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693E"/>
    <w:rPr>
      <w:rFonts w:ascii="Calibri" w:eastAsia="Times New Roman" w:hAnsi="Calibri" w:cs="Arial"/>
      <w:b/>
      <w:iCs/>
      <w:sz w:val="28"/>
      <w:szCs w:val="20"/>
    </w:rPr>
  </w:style>
  <w:style w:type="character" w:styleId="Hyperlink">
    <w:name w:val="Hyperlink"/>
    <w:basedOn w:val="DefaultParagraphFont"/>
    <w:uiPriority w:val="99"/>
    <w:qFormat/>
    <w:rsid w:val="00F8693E"/>
    <w:rPr>
      <w:color w:val="0000FF"/>
      <w:u w:val="single"/>
    </w:rPr>
  </w:style>
  <w:style w:type="paragraph" w:styleId="ListParagraph">
    <w:name w:val="List Paragraph"/>
    <w:aliases w:val="List1"/>
    <w:basedOn w:val="Normal"/>
    <w:link w:val="ListParagraphChar"/>
    <w:autoRedefine/>
    <w:uiPriority w:val="34"/>
    <w:qFormat/>
    <w:rsid w:val="00F8693E"/>
    <w:pPr>
      <w:widowControl/>
      <w:numPr>
        <w:numId w:val="1"/>
      </w:numPr>
      <w:tabs>
        <w:tab w:val="clear" w:pos="720"/>
        <w:tab w:val="left" w:pos="450"/>
      </w:tabs>
      <w:suppressAutoHyphens w:val="0"/>
      <w:autoSpaceDE/>
      <w:autoSpaceDN/>
      <w:adjustRightInd/>
      <w:contextualSpacing/>
      <w:jc w:val="both"/>
      <w:textAlignment w:val="auto"/>
    </w:pPr>
    <w:rPr>
      <w:rFonts w:eastAsia="AR PL UKai CN"/>
      <w:sz w:val="22"/>
      <w:szCs w:val="22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86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3E"/>
    <w:rPr>
      <w:rFonts w:ascii="Calibri" w:eastAsiaTheme="minorEastAsia" w:hAnsi="Calibri" w:cs="Calibri"/>
      <w:sz w:val="20"/>
      <w:szCs w:val="20"/>
    </w:rPr>
  </w:style>
  <w:style w:type="character" w:customStyle="1" w:styleId="ListParagraphChar">
    <w:name w:val="List Paragraph Char"/>
    <w:aliases w:val="List1 Char"/>
    <w:basedOn w:val="DefaultParagraphFont"/>
    <w:link w:val="ListParagraph"/>
    <w:uiPriority w:val="34"/>
    <w:qFormat/>
    <w:locked/>
    <w:rsid w:val="00F8693E"/>
    <w:rPr>
      <w:rFonts w:ascii="Calibri" w:eastAsia="AR PL UKai CN" w:hAnsi="Calibri" w:cs="Calibri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8693E"/>
    <w:pPr>
      <w:tabs>
        <w:tab w:val="clear" w:pos="720"/>
      </w:tabs>
      <w:spacing w:before="240" w:after="120"/>
    </w:pPr>
    <w:rPr>
      <w:rFonts w:asciiTheme="minorHAnsi" w:hAnsiTheme="minorHAnsi" w:cstheme="minorHAnsi"/>
      <w:b/>
      <w:bCs/>
    </w:rPr>
  </w:style>
  <w:style w:type="paragraph" w:styleId="Header">
    <w:name w:val="header"/>
    <w:basedOn w:val="Normal"/>
    <w:link w:val="HeaderChar"/>
    <w:uiPriority w:val="99"/>
    <w:unhideWhenUsed/>
    <w:rsid w:val="00F8693E"/>
    <w:pPr>
      <w:tabs>
        <w:tab w:val="clear" w:pos="720"/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3E"/>
    <w:rPr>
      <w:rFonts w:ascii="Calibri" w:eastAsiaTheme="minorEastAsia" w:hAnsi="Calibri" w:cs="Calibr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7CF2"/>
    <w:pPr>
      <w:widowControl/>
      <w:tabs>
        <w:tab w:val="clear" w:pos="720"/>
      </w:tabs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E1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18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18E"/>
    <w:rPr>
      <w:rFonts w:ascii="Calibri" w:eastAsiaTheme="minorEastAsia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18E"/>
    <w:rPr>
      <w:rFonts w:ascii="Calibri" w:eastAsiaTheme="minorEastAsia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1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8E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57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org/amazon-web-services/badge/aws-educate-introduction-to-cloud-1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education/awseducate/?nc1=h_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wsrestartprogram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Lourinho Heleno Lopes, Carina</dc:creator>
  <cp:keywords/>
  <dc:description/>
  <cp:lastModifiedBy>Lourinho Heleno Lopes, Carina</cp:lastModifiedBy>
  <cp:revision>9</cp:revision>
  <cp:lastPrinted>2025-03-03T17:29:00Z</cp:lastPrinted>
  <dcterms:created xsi:type="dcterms:W3CDTF">2025-03-05T10:53:00Z</dcterms:created>
  <dcterms:modified xsi:type="dcterms:W3CDTF">2025-03-21T13:38:00Z</dcterms:modified>
</cp:coreProperties>
</file>