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5C9B0" w14:textId="093372B0" w:rsidR="00D242B6" w:rsidRDefault="00000000">
      <w:pPr>
        <w:pStyle w:val="Heading1"/>
        <w:spacing w:after="0"/>
        <w:ind w:left="0" w:firstLine="0"/>
        <w:jc w:val="center"/>
      </w:pPr>
      <w:r>
        <w:rPr>
          <w:b w:val="0"/>
          <w:color w:val="000000"/>
          <w:sz w:val="22"/>
        </w:rPr>
        <w:t xml:space="preserve">ASSESSMENT TOOL 1 </w:t>
      </w:r>
    </w:p>
    <w:p w14:paraId="3B67297F" w14:textId="77777777" w:rsidR="00D242B6" w:rsidRDefault="00000000">
      <w:pPr>
        <w:spacing w:after="228" w:line="259" w:lineRule="auto"/>
        <w:ind w:left="0" w:firstLine="0"/>
      </w:pPr>
      <w:r>
        <w:rPr>
          <w:rFonts w:ascii="Calibri" w:eastAsia="Calibri" w:hAnsi="Calibri" w:cs="Calibri"/>
          <w:noProof/>
          <w:sz w:val="22"/>
        </w:rPr>
        <mc:AlternateContent>
          <mc:Choice Requires="wpg">
            <w:drawing>
              <wp:inline distT="0" distB="0" distL="0" distR="0" wp14:anchorId="09B8F4E7" wp14:editId="1797F4B9">
                <wp:extent cx="6111600" cy="12700"/>
                <wp:effectExtent l="0" t="0" r="0" b="0"/>
                <wp:docPr id="3294" name="Group 3294"/>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8" name="Shape 8"/>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94" style="width:481.228pt;height:1pt;mso-position-horizontal-relative:char;mso-position-vertical-relative:line" coordsize="61116,127">
                <v:shape id="Shape 8" style="position:absolute;width:61116;height:0;left:0;top:0;" coordsize="6111600,0" path="m0,0l6111600,0">
                  <v:stroke weight="1pt" endcap="round" joinstyle="miter" miterlimit="10" on="true" color="#000000"/>
                  <v:fill on="false" color="#000000" opacity="0"/>
                </v:shape>
              </v:group>
            </w:pict>
          </mc:Fallback>
        </mc:AlternateContent>
      </w:r>
    </w:p>
    <w:p w14:paraId="7FAFCEB1" w14:textId="77777777" w:rsidR="00D242B6" w:rsidRDefault="00000000">
      <w:pPr>
        <w:spacing w:after="0" w:line="259" w:lineRule="auto"/>
        <w:jc w:val="center"/>
      </w:pPr>
      <w:r>
        <w:rPr>
          <w:b/>
          <w:sz w:val="24"/>
        </w:rPr>
        <w:t>Name: P SUDHARSHAN REDDY</w:t>
      </w:r>
    </w:p>
    <w:p w14:paraId="1699492D" w14:textId="77777777" w:rsidR="00D242B6" w:rsidRDefault="00000000">
      <w:pPr>
        <w:spacing w:after="42" w:line="259" w:lineRule="auto"/>
        <w:jc w:val="center"/>
      </w:pPr>
      <w:r>
        <w:rPr>
          <w:b/>
          <w:sz w:val="24"/>
        </w:rPr>
        <w:t>Register No: 192372204</w:t>
      </w:r>
    </w:p>
    <w:p w14:paraId="1198F3FB" w14:textId="77777777" w:rsidR="00D242B6" w:rsidRDefault="00000000">
      <w:pPr>
        <w:spacing w:after="37" w:line="259" w:lineRule="auto"/>
        <w:ind w:left="0" w:firstLine="0"/>
      </w:pPr>
      <w:r>
        <w:rPr>
          <w:b/>
          <w:sz w:val="22"/>
        </w:rPr>
        <w:t>Course Code &amp; Name: CSA16 - Data Warehousing and Data Mining</w:t>
      </w:r>
    </w:p>
    <w:p w14:paraId="33D4933D" w14:textId="77777777" w:rsidR="00D242B6" w:rsidRDefault="00000000">
      <w:pPr>
        <w:spacing w:after="0"/>
        <w:ind w:left="-5" w:right="4"/>
      </w:pPr>
      <w:r>
        <w:t>Course Outcome: CO4 - Examine the applicability of clustering algorithms in real-world scenarios, presenting findings through clear reports with effective visualizations.</w:t>
      </w:r>
    </w:p>
    <w:p w14:paraId="7D2167B1" w14:textId="77777777" w:rsidR="00D242B6" w:rsidRDefault="00000000">
      <w:pPr>
        <w:spacing w:after="348" w:line="259" w:lineRule="auto"/>
        <w:ind w:left="0" w:firstLine="0"/>
      </w:pPr>
      <w:r>
        <w:rPr>
          <w:rFonts w:ascii="Calibri" w:eastAsia="Calibri" w:hAnsi="Calibri" w:cs="Calibri"/>
          <w:noProof/>
          <w:sz w:val="22"/>
        </w:rPr>
        <mc:AlternateContent>
          <mc:Choice Requires="wpg">
            <w:drawing>
              <wp:inline distT="0" distB="0" distL="0" distR="0" wp14:anchorId="3B941687" wp14:editId="3B311129">
                <wp:extent cx="6111600" cy="12700"/>
                <wp:effectExtent l="0" t="0" r="0" b="0"/>
                <wp:docPr id="3295" name="Group 3295"/>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14" name="Shape 14"/>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95" style="width:481.228pt;height:1pt;mso-position-horizontal-relative:char;mso-position-vertical-relative:line" coordsize="61116,127">
                <v:shape id="Shape 14" style="position:absolute;width:61116;height:0;left:0;top:0;" coordsize="6111600,0" path="m0,0l6111600,0">
                  <v:stroke weight="1pt" endcap="round" joinstyle="miter" miterlimit="10" on="true" color="#000000"/>
                  <v:fill on="false" color="#000000" opacity="0"/>
                </v:shape>
              </v:group>
            </w:pict>
          </mc:Fallback>
        </mc:AlternateContent>
      </w:r>
    </w:p>
    <w:p w14:paraId="0593FE05" w14:textId="77777777" w:rsidR="00D242B6" w:rsidRPr="00CC425A" w:rsidRDefault="00000000" w:rsidP="00CC425A">
      <w:pPr>
        <w:pStyle w:val="Heading1"/>
        <w:ind w:left="-5"/>
        <w:jc w:val="both"/>
        <w:rPr>
          <w:rFonts w:ascii="Times New Roman" w:hAnsi="Times New Roman" w:cs="Times New Roman"/>
          <w:sz w:val="32"/>
          <w:szCs w:val="32"/>
        </w:rPr>
      </w:pPr>
      <w:r w:rsidRPr="00CC425A">
        <w:rPr>
          <w:rFonts w:ascii="Times New Roman" w:hAnsi="Times New Roman" w:cs="Times New Roman"/>
          <w:sz w:val="32"/>
          <w:szCs w:val="32"/>
        </w:rPr>
        <w:t>Q1. Hospital Patient Segmentation (BL4 - 8 Marks)</w:t>
      </w:r>
    </w:p>
    <w:p w14:paraId="1984BE17" w14:textId="77777777" w:rsidR="00D242B6" w:rsidRPr="00CC425A" w:rsidRDefault="00000000" w:rsidP="00CC425A">
      <w:pPr>
        <w:spacing w:after="172" w:line="292" w:lineRule="auto"/>
        <w:ind w:left="-5"/>
        <w:jc w:val="both"/>
        <w:rPr>
          <w:rFonts w:ascii="Times New Roman" w:hAnsi="Times New Roman" w:cs="Times New Roman"/>
          <w:sz w:val="32"/>
          <w:szCs w:val="32"/>
        </w:rPr>
      </w:pPr>
      <w:r w:rsidRPr="00CC425A">
        <w:rPr>
          <w:rFonts w:ascii="Times New Roman" w:hAnsi="Times New Roman" w:cs="Times New Roman"/>
          <w:i/>
          <w:sz w:val="32"/>
          <w:szCs w:val="32"/>
        </w:rPr>
        <w:t>Question: Interpret the elbow point from the given SSE values and determine the optimal number of clusters for K-Means. Discuss how the choice affects patient segmentation and healthcare decision-making.</w:t>
      </w:r>
    </w:p>
    <w:p w14:paraId="147D3BA5" w14:textId="77777777" w:rsidR="00D242B6" w:rsidRPr="00CC425A" w:rsidRDefault="00000000" w:rsidP="00CC425A">
      <w:pPr>
        <w:spacing w:after="0" w:line="259" w:lineRule="auto"/>
        <w:ind w:left="-5"/>
        <w:jc w:val="both"/>
        <w:rPr>
          <w:rFonts w:ascii="Times New Roman" w:hAnsi="Times New Roman" w:cs="Times New Roman"/>
          <w:sz w:val="32"/>
          <w:szCs w:val="32"/>
        </w:rPr>
      </w:pPr>
      <w:r w:rsidRPr="00CC425A">
        <w:rPr>
          <w:rFonts w:ascii="Times New Roman" w:hAnsi="Times New Roman" w:cs="Times New Roman"/>
          <w:b/>
          <w:sz w:val="32"/>
          <w:szCs w:val="32"/>
        </w:rPr>
        <w:t>Answer:</w:t>
      </w:r>
    </w:p>
    <w:tbl>
      <w:tblPr>
        <w:tblStyle w:val="TableGrid"/>
        <w:tblW w:w="6803" w:type="dxa"/>
        <w:tblInd w:w="1411" w:type="dxa"/>
        <w:tblCellMar>
          <w:top w:w="114" w:type="dxa"/>
          <w:left w:w="115" w:type="dxa"/>
          <w:bottom w:w="0" w:type="dxa"/>
          <w:right w:w="115" w:type="dxa"/>
        </w:tblCellMar>
        <w:tblLook w:val="04A0" w:firstRow="1" w:lastRow="0" w:firstColumn="1" w:lastColumn="0" w:noHBand="0" w:noVBand="1"/>
      </w:tblPr>
      <w:tblGrid>
        <w:gridCol w:w="1700"/>
        <w:gridCol w:w="1701"/>
        <w:gridCol w:w="3402"/>
      </w:tblGrid>
      <w:tr w:rsidR="00D242B6" w:rsidRPr="00CC425A" w14:paraId="0AD94D74" w14:textId="77777777">
        <w:trPr>
          <w:trHeight w:val="360"/>
        </w:trPr>
        <w:tc>
          <w:tcPr>
            <w:tcW w:w="1701" w:type="dxa"/>
            <w:tcBorders>
              <w:top w:val="single" w:sz="4" w:space="0" w:color="808080"/>
              <w:left w:val="single" w:sz="4" w:space="0" w:color="808080"/>
              <w:bottom w:val="single" w:sz="4" w:space="0" w:color="808080"/>
              <w:right w:val="single" w:sz="4" w:space="0" w:color="808080"/>
            </w:tcBorders>
            <w:shd w:val="clear" w:color="auto" w:fill="1A3A6B"/>
          </w:tcPr>
          <w:p w14:paraId="2365E0C4"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b/>
                <w:color w:val="FFFFFF"/>
                <w:sz w:val="32"/>
                <w:szCs w:val="32"/>
              </w:rPr>
              <w:t>K</w:t>
            </w:r>
          </w:p>
        </w:tc>
        <w:tc>
          <w:tcPr>
            <w:tcW w:w="1701" w:type="dxa"/>
            <w:tcBorders>
              <w:top w:val="single" w:sz="4" w:space="0" w:color="808080"/>
              <w:left w:val="single" w:sz="4" w:space="0" w:color="808080"/>
              <w:bottom w:val="single" w:sz="4" w:space="0" w:color="808080"/>
              <w:right w:val="single" w:sz="4" w:space="0" w:color="808080"/>
            </w:tcBorders>
            <w:shd w:val="clear" w:color="auto" w:fill="1A3A6B"/>
          </w:tcPr>
          <w:p w14:paraId="166C7F0B"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b/>
                <w:color w:val="FFFFFF"/>
                <w:sz w:val="32"/>
                <w:szCs w:val="32"/>
              </w:rPr>
              <w:t>SSE</w:t>
            </w:r>
          </w:p>
        </w:tc>
        <w:tc>
          <w:tcPr>
            <w:tcW w:w="3402" w:type="dxa"/>
            <w:tcBorders>
              <w:top w:val="single" w:sz="4" w:space="0" w:color="808080"/>
              <w:left w:val="single" w:sz="4" w:space="0" w:color="808080"/>
              <w:bottom w:val="single" w:sz="4" w:space="0" w:color="808080"/>
              <w:right w:val="single" w:sz="4" w:space="0" w:color="808080"/>
            </w:tcBorders>
            <w:shd w:val="clear" w:color="auto" w:fill="1A3A6B"/>
          </w:tcPr>
          <w:p w14:paraId="5B52998B"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b/>
                <w:color w:val="FFFFFF"/>
                <w:sz w:val="32"/>
                <w:szCs w:val="32"/>
              </w:rPr>
              <w:t>Drop from previous K</w:t>
            </w:r>
          </w:p>
        </w:tc>
      </w:tr>
      <w:tr w:rsidR="00D242B6" w:rsidRPr="00CC425A" w14:paraId="0A5D74BA" w14:textId="77777777">
        <w:trPr>
          <w:trHeight w:val="360"/>
        </w:trPr>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4D7D1A74"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1</w:t>
            </w:r>
          </w:p>
        </w:tc>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536CC0A3"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600</w:t>
            </w:r>
          </w:p>
        </w:tc>
        <w:tc>
          <w:tcPr>
            <w:tcW w:w="3402" w:type="dxa"/>
            <w:tcBorders>
              <w:top w:val="single" w:sz="4" w:space="0" w:color="808080"/>
              <w:left w:val="single" w:sz="4" w:space="0" w:color="808080"/>
              <w:bottom w:val="single" w:sz="4" w:space="0" w:color="808080"/>
              <w:right w:val="single" w:sz="4" w:space="0" w:color="808080"/>
            </w:tcBorders>
            <w:shd w:val="clear" w:color="auto" w:fill="FFFFFF"/>
          </w:tcPr>
          <w:p w14:paraId="0E2707A8"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w:t>
            </w:r>
          </w:p>
        </w:tc>
      </w:tr>
      <w:tr w:rsidR="00D242B6" w:rsidRPr="00CC425A" w14:paraId="3D61DC38" w14:textId="77777777">
        <w:trPr>
          <w:trHeight w:val="360"/>
        </w:trPr>
        <w:tc>
          <w:tcPr>
            <w:tcW w:w="1701" w:type="dxa"/>
            <w:tcBorders>
              <w:top w:val="single" w:sz="4" w:space="0" w:color="808080"/>
              <w:left w:val="single" w:sz="4" w:space="0" w:color="808080"/>
              <w:bottom w:val="single" w:sz="4" w:space="0" w:color="808080"/>
              <w:right w:val="single" w:sz="4" w:space="0" w:color="808080"/>
            </w:tcBorders>
            <w:shd w:val="clear" w:color="auto" w:fill="F2F2F2"/>
          </w:tcPr>
          <w:p w14:paraId="3E53BBFE"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2</w:t>
            </w:r>
          </w:p>
        </w:tc>
        <w:tc>
          <w:tcPr>
            <w:tcW w:w="1701" w:type="dxa"/>
            <w:tcBorders>
              <w:top w:val="single" w:sz="4" w:space="0" w:color="808080"/>
              <w:left w:val="single" w:sz="4" w:space="0" w:color="808080"/>
              <w:bottom w:val="single" w:sz="4" w:space="0" w:color="808080"/>
              <w:right w:val="single" w:sz="4" w:space="0" w:color="808080"/>
            </w:tcBorders>
            <w:shd w:val="clear" w:color="auto" w:fill="F2F2F2"/>
          </w:tcPr>
          <w:p w14:paraId="2D5FD07F"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350</w:t>
            </w:r>
          </w:p>
        </w:tc>
        <w:tc>
          <w:tcPr>
            <w:tcW w:w="3402" w:type="dxa"/>
            <w:tcBorders>
              <w:top w:val="single" w:sz="4" w:space="0" w:color="808080"/>
              <w:left w:val="single" w:sz="4" w:space="0" w:color="808080"/>
              <w:bottom w:val="single" w:sz="4" w:space="0" w:color="808080"/>
              <w:right w:val="single" w:sz="4" w:space="0" w:color="808080"/>
            </w:tcBorders>
            <w:shd w:val="clear" w:color="auto" w:fill="F2F2F2"/>
          </w:tcPr>
          <w:p w14:paraId="4FCE6E14"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250</w:t>
            </w:r>
          </w:p>
        </w:tc>
      </w:tr>
      <w:tr w:rsidR="00D242B6" w:rsidRPr="00CC425A" w14:paraId="18557A51" w14:textId="77777777">
        <w:trPr>
          <w:trHeight w:val="360"/>
        </w:trPr>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6E4A19D9"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3</w:t>
            </w:r>
          </w:p>
        </w:tc>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2BCE7AF1"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220</w:t>
            </w:r>
          </w:p>
        </w:tc>
        <w:tc>
          <w:tcPr>
            <w:tcW w:w="3402" w:type="dxa"/>
            <w:tcBorders>
              <w:top w:val="single" w:sz="4" w:space="0" w:color="808080"/>
              <w:left w:val="single" w:sz="4" w:space="0" w:color="808080"/>
              <w:bottom w:val="single" w:sz="4" w:space="0" w:color="808080"/>
              <w:right w:val="single" w:sz="4" w:space="0" w:color="808080"/>
            </w:tcBorders>
            <w:shd w:val="clear" w:color="auto" w:fill="FFFFFF"/>
          </w:tcPr>
          <w:p w14:paraId="2B4F329D"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130</w:t>
            </w:r>
          </w:p>
        </w:tc>
      </w:tr>
      <w:tr w:rsidR="00D242B6" w:rsidRPr="00CC425A" w14:paraId="7C30E305" w14:textId="77777777">
        <w:trPr>
          <w:trHeight w:val="360"/>
        </w:trPr>
        <w:tc>
          <w:tcPr>
            <w:tcW w:w="1701" w:type="dxa"/>
            <w:tcBorders>
              <w:top w:val="single" w:sz="4" w:space="0" w:color="808080"/>
              <w:left w:val="single" w:sz="4" w:space="0" w:color="808080"/>
              <w:bottom w:val="single" w:sz="4" w:space="0" w:color="808080"/>
              <w:right w:val="single" w:sz="4" w:space="0" w:color="808080"/>
            </w:tcBorders>
            <w:shd w:val="clear" w:color="auto" w:fill="F2F2F2"/>
          </w:tcPr>
          <w:p w14:paraId="224241A1"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4</w:t>
            </w:r>
          </w:p>
        </w:tc>
        <w:tc>
          <w:tcPr>
            <w:tcW w:w="1701" w:type="dxa"/>
            <w:tcBorders>
              <w:top w:val="single" w:sz="4" w:space="0" w:color="808080"/>
              <w:left w:val="single" w:sz="4" w:space="0" w:color="808080"/>
              <w:bottom w:val="single" w:sz="4" w:space="0" w:color="808080"/>
              <w:right w:val="single" w:sz="4" w:space="0" w:color="808080"/>
            </w:tcBorders>
            <w:shd w:val="clear" w:color="auto" w:fill="F2F2F2"/>
          </w:tcPr>
          <w:p w14:paraId="62DC8CE9"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200</w:t>
            </w:r>
          </w:p>
        </w:tc>
        <w:tc>
          <w:tcPr>
            <w:tcW w:w="3402" w:type="dxa"/>
            <w:tcBorders>
              <w:top w:val="single" w:sz="4" w:space="0" w:color="808080"/>
              <w:left w:val="single" w:sz="4" w:space="0" w:color="808080"/>
              <w:bottom w:val="single" w:sz="4" w:space="0" w:color="808080"/>
              <w:right w:val="single" w:sz="4" w:space="0" w:color="808080"/>
            </w:tcBorders>
            <w:shd w:val="clear" w:color="auto" w:fill="F2F2F2"/>
          </w:tcPr>
          <w:p w14:paraId="4216B52A"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20</w:t>
            </w:r>
          </w:p>
        </w:tc>
      </w:tr>
      <w:tr w:rsidR="00D242B6" w:rsidRPr="00CC425A" w14:paraId="36FB03D1" w14:textId="77777777">
        <w:trPr>
          <w:trHeight w:val="360"/>
        </w:trPr>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7A82440E"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5</w:t>
            </w:r>
          </w:p>
        </w:tc>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7279B60F"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190</w:t>
            </w:r>
          </w:p>
        </w:tc>
        <w:tc>
          <w:tcPr>
            <w:tcW w:w="3402" w:type="dxa"/>
            <w:tcBorders>
              <w:top w:val="single" w:sz="4" w:space="0" w:color="808080"/>
              <w:left w:val="single" w:sz="4" w:space="0" w:color="808080"/>
              <w:bottom w:val="single" w:sz="4" w:space="0" w:color="808080"/>
              <w:right w:val="single" w:sz="4" w:space="0" w:color="808080"/>
            </w:tcBorders>
            <w:shd w:val="clear" w:color="auto" w:fill="FFFFFF"/>
          </w:tcPr>
          <w:p w14:paraId="424A49B9"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10</w:t>
            </w:r>
          </w:p>
        </w:tc>
      </w:tr>
    </w:tbl>
    <w:p w14:paraId="56CE38F3" w14:textId="77777777" w:rsidR="00D242B6" w:rsidRPr="00CC425A" w:rsidRDefault="00000000" w:rsidP="00CC425A">
      <w:pPr>
        <w:ind w:left="-5" w:right="4"/>
        <w:jc w:val="both"/>
        <w:rPr>
          <w:rFonts w:ascii="Times New Roman" w:hAnsi="Times New Roman" w:cs="Times New Roman"/>
          <w:sz w:val="32"/>
          <w:szCs w:val="32"/>
        </w:rPr>
      </w:pPr>
      <w:r w:rsidRPr="00CC425A">
        <w:rPr>
          <w:rFonts w:ascii="Times New Roman" w:hAnsi="Times New Roman" w:cs="Times New Roman"/>
          <w:sz w:val="32"/>
          <w:szCs w:val="32"/>
        </w:rPr>
        <w:t xml:space="preserve">The SSE drops sharply from K=1 to K=2 (250) and from K=2 to K=3 (130), but the reduction slows considerably after K=3 (only 20 from K=3 to K=4, and 10 from K=4 to K=5). This bend in the curve, where adding more clusters gives diminishing returns, marks the elbow point at </w:t>
      </w:r>
      <w:r w:rsidRPr="00CC425A">
        <w:rPr>
          <w:rFonts w:ascii="Times New Roman" w:hAnsi="Times New Roman" w:cs="Times New Roman"/>
          <w:b/>
          <w:sz w:val="32"/>
          <w:szCs w:val="32"/>
        </w:rPr>
        <w:t>K = 3</w:t>
      </w:r>
      <w:r w:rsidRPr="00CC425A">
        <w:rPr>
          <w:rFonts w:ascii="Times New Roman" w:hAnsi="Times New Roman" w:cs="Times New Roman"/>
          <w:sz w:val="32"/>
          <w:szCs w:val="32"/>
        </w:rPr>
        <w:t>. Beyond this point, additional clusters only reduce SSE marginally while increasing model complexity, so K=3 is the optimal number of clusters.</w:t>
      </w:r>
    </w:p>
    <w:p w14:paraId="406B9BD1" w14:textId="77777777" w:rsidR="00D242B6" w:rsidRPr="00CC425A" w:rsidRDefault="00000000" w:rsidP="00CC425A">
      <w:pPr>
        <w:spacing w:after="310"/>
        <w:ind w:left="-5" w:right="4"/>
        <w:jc w:val="both"/>
        <w:rPr>
          <w:rFonts w:ascii="Times New Roman" w:hAnsi="Times New Roman" w:cs="Times New Roman"/>
          <w:sz w:val="32"/>
          <w:szCs w:val="32"/>
        </w:rPr>
      </w:pPr>
      <w:r w:rsidRPr="00CC425A">
        <w:rPr>
          <w:rFonts w:ascii="Times New Roman" w:hAnsi="Times New Roman" w:cs="Times New Roman"/>
          <w:sz w:val="32"/>
          <w:szCs w:val="32"/>
        </w:rPr>
        <w:t xml:space="preserve">Applying K=3 to the patient data naturally separates patients into three meaningful groups: young patients with low medical expense but high health risk (P1, P4), a middle-aged patient with high expense and high risk (P3), and older patients with high expense but comparatively lower risk (P2, P5). Choosing too few clusters (K=1 or 2) would merge distinct risk profiles together, causing the hospital to apply generic care plans to patients who actually need very different interventions. Choosing too many clusters (K=4 </w:t>
      </w:r>
      <w:r w:rsidRPr="00CC425A">
        <w:rPr>
          <w:rFonts w:ascii="Times New Roman" w:hAnsi="Times New Roman" w:cs="Times New Roman"/>
          <w:sz w:val="32"/>
          <w:szCs w:val="32"/>
        </w:rPr>
        <w:lastRenderedPageBreak/>
        <w:t>or 5) would over-segment the small patient base into artificial groups with little practical difference, wasting administrative effort. With K=3, the hospital can design targeted programs preventive care and monitoring for the high-risk/low-expense group, cost-management review for the high-expense/high-risk group, and chronic-care management for the high-expense/low-risk group leading to more efficient resource allocation and better clinical decision-making.</w:t>
      </w:r>
    </w:p>
    <w:p w14:paraId="7B457D16" w14:textId="77777777" w:rsidR="00D242B6" w:rsidRPr="00CC425A" w:rsidRDefault="00000000" w:rsidP="00CC425A">
      <w:pPr>
        <w:pStyle w:val="Heading1"/>
        <w:ind w:left="-5"/>
        <w:jc w:val="both"/>
        <w:rPr>
          <w:rFonts w:ascii="Times New Roman" w:hAnsi="Times New Roman" w:cs="Times New Roman"/>
          <w:sz w:val="32"/>
          <w:szCs w:val="32"/>
        </w:rPr>
      </w:pPr>
      <w:r w:rsidRPr="00CC425A">
        <w:rPr>
          <w:rFonts w:ascii="Times New Roman" w:hAnsi="Times New Roman" w:cs="Times New Roman"/>
          <w:sz w:val="32"/>
          <w:szCs w:val="32"/>
        </w:rPr>
        <w:t>Q2. E-Commerce Order Analysis (BL4 - 8 Marks)</w:t>
      </w:r>
    </w:p>
    <w:p w14:paraId="33DC9EDE" w14:textId="77777777" w:rsidR="00D242B6" w:rsidRPr="00CC425A" w:rsidRDefault="00000000" w:rsidP="00CC425A">
      <w:pPr>
        <w:spacing w:after="4" w:line="292" w:lineRule="auto"/>
        <w:ind w:left="-5"/>
        <w:jc w:val="both"/>
        <w:rPr>
          <w:rFonts w:ascii="Times New Roman" w:hAnsi="Times New Roman" w:cs="Times New Roman"/>
          <w:sz w:val="32"/>
          <w:szCs w:val="32"/>
        </w:rPr>
      </w:pPr>
      <w:r w:rsidRPr="00CC425A">
        <w:rPr>
          <w:rFonts w:ascii="Times New Roman" w:hAnsi="Times New Roman" w:cs="Times New Roman"/>
          <w:i/>
          <w:sz w:val="32"/>
          <w:szCs w:val="32"/>
        </w:rPr>
        <w:t>Question: Interpret how the dendrogram clusters are formed and identify the appropriate number of clusters.</w:t>
      </w:r>
    </w:p>
    <w:p w14:paraId="31C77773" w14:textId="77777777" w:rsidR="00D242B6" w:rsidRPr="00CC425A" w:rsidRDefault="00000000" w:rsidP="00CC425A">
      <w:pPr>
        <w:spacing w:after="172" w:line="292" w:lineRule="auto"/>
        <w:ind w:left="-5"/>
        <w:jc w:val="both"/>
        <w:rPr>
          <w:rFonts w:ascii="Times New Roman" w:hAnsi="Times New Roman" w:cs="Times New Roman"/>
          <w:sz w:val="32"/>
          <w:szCs w:val="32"/>
        </w:rPr>
      </w:pPr>
      <w:r w:rsidRPr="00CC425A">
        <w:rPr>
          <w:rFonts w:ascii="Times New Roman" w:hAnsi="Times New Roman" w:cs="Times New Roman"/>
          <w:i/>
          <w:sz w:val="32"/>
          <w:szCs w:val="32"/>
        </w:rPr>
        <w:t xml:space="preserve">Explain the significance of the selected clusters in understanding customer purchasing </w:t>
      </w:r>
      <w:proofErr w:type="spellStart"/>
      <w:r w:rsidRPr="00CC425A">
        <w:rPr>
          <w:rFonts w:ascii="Times New Roman" w:hAnsi="Times New Roman" w:cs="Times New Roman"/>
          <w:i/>
          <w:sz w:val="32"/>
          <w:szCs w:val="32"/>
        </w:rPr>
        <w:t>behaviour</w:t>
      </w:r>
      <w:proofErr w:type="spellEnd"/>
      <w:r w:rsidRPr="00CC425A">
        <w:rPr>
          <w:rFonts w:ascii="Times New Roman" w:hAnsi="Times New Roman" w:cs="Times New Roman"/>
          <w:i/>
          <w:sz w:val="32"/>
          <w:szCs w:val="32"/>
        </w:rPr>
        <w:t>.</w:t>
      </w:r>
    </w:p>
    <w:p w14:paraId="4C3E5796" w14:textId="77777777" w:rsidR="00D242B6" w:rsidRPr="00CC425A" w:rsidRDefault="00000000" w:rsidP="00CC425A">
      <w:pPr>
        <w:spacing w:after="59" w:line="259" w:lineRule="auto"/>
        <w:ind w:left="-5"/>
        <w:jc w:val="both"/>
        <w:rPr>
          <w:rFonts w:ascii="Times New Roman" w:hAnsi="Times New Roman" w:cs="Times New Roman"/>
          <w:sz w:val="32"/>
          <w:szCs w:val="32"/>
        </w:rPr>
      </w:pPr>
      <w:r w:rsidRPr="00CC425A">
        <w:rPr>
          <w:rFonts w:ascii="Times New Roman" w:hAnsi="Times New Roman" w:cs="Times New Roman"/>
          <w:b/>
          <w:sz w:val="32"/>
          <w:szCs w:val="32"/>
        </w:rPr>
        <w:t>Answer:</w:t>
      </w:r>
    </w:p>
    <w:p w14:paraId="0EB2E30C" w14:textId="77777777" w:rsidR="00D242B6" w:rsidRPr="00CC425A" w:rsidRDefault="00000000" w:rsidP="00CC425A">
      <w:pPr>
        <w:spacing w:after="159"/>
        <w:ind w:left="-5" w:right="4"/>
        <w:jc w:val="both"/>
        <w:rPr>
          <w:rFonts w:ascii="Times New Roman" w:hAnsi="Times New Roman" w:cs="Times New Roman"/>
          <w:sz w:val="32"/>
          <w:szCs w:val="32"/>
        </w:rPr>
      </w:pPr>
      <w:r w:rsidRPr="00CC425A">
        <w:rPr>
          <w:rFonts w:ascii="Times New Roman" w:hAnsi="Times New Roman" w:cs="Times New Roman"/>
          <w:sz w:val="32"/>
          <w:szCs w:val="32"/>
        </w:rPr>
        <w:t>In hierarchical agglomerative clustering, each order starts as its own cluster and the two closest orders (by order value) are merged first. O1 (Rs. 55,000) and O3 (Rs. 57,000) are the closest pair (difference of Rs. 2,000) and merge early into a high-value "Electronics" cluster. Similarly, O2 (Rs. 25,000) and O5 (Rs. 27,000) are close (difference of Rs. 2,000) and merge into a low-value cluster. O4 (Rs. 30,000, Furniture) is nearest to the O2-O5 group and merges with it next, since its value gap to that cluster is much smaller than its gap to the electronics cluster. Finally, at the top (root) of the dendrogram, the high-value electronics cluster merges with the low/mid-value clothing-furniture cluster.</w:t>
      </w:r>
    </w:p>
    <w:p w14:paraId="7FBCF6C2" w14:textId="77777777" w:rsidR="00D242B6" w:rsidRPr="00CC425A" w:rsidRDefault="00000000" w:rsidP="00CC425A">
      <w:pPr>
        <w:spacing w:after="310"/>
        <w:ind w:left="-5" w:right="4"/>
        <w:jc w:val="both"/>
        <w:rPr>
          <w:rFonts w:ascii="Times New Roman" w:hAnsi="Times New Roman" w:cs="Times New Roman"/>
          <w:sz w:val="32"/>
          <w:szCs w:val="32"/>
        </w:rPr>
      </w:pPr>
      <w:r w:rsidRPr="00CC425A">
        <w:rPr>
          <w:rFonts w:ascii="Times New Roman" w:hAnsi="Times New Roman" w:cs="Times New Roman"/>
          <w:sz w:val="32"/>
          <w:szCs w:val="32"/>
        </w:rPr>
        <w:t xml:space="preserve">Cutting the dendrogram at a height that keeps these two main branches separate gives </w:t>
      </w:r>
      <w:r w:rsidRPr="00CC425A">
        <w:rPr>
          <w:rFonts w:ascii="Times New Roman" w:hAnsi="Times New Roman" w:cs="Times New Roman"/>
          <w:b/>
          <w:sz w:val="32"/>
          <w:szCs w:val="32"/>
        </w:rPr>
        <w:t>2 clusters</w:t>
      </w:r>
      <w:r w:rsidRPr="00CC425A">
        <w:rPr>
          <w:rFonts w:ascii="Times New Roman" w:hAnsi="Times New Roman" w:cs="Times New Roman"/>
          <w:sz w:val="32"/>
          <w:szCs w:val="32"/>
        </w:rPr>
        <w:t xml:space="preserve">: (1) a high-value Electronics cluster {O1, O3}, and (2) a low-to-mid value Clothing/Furniture cluster {O2, O4, O5}. This split is significant because it reveals two distinct purchasing </w:t>
      </w:r>
      <w:proofErr w:type="spellStart"/>
      <w:r w:rsidRPr="00CC425A">
        <w:rPr>
          <w:rFonts w:ascii="Times New Roman" w:hAnsi="Times New Roman" w:cs="Times New Roman"/>
          <w:sz w:val="32"/>
          <w:szCs w:val="32"/>
        </w:rPr>
        <w:t>behaviours</w:t>
      </w:r>
      <w:proofErr w:type="spellEnd"/>
      <w:r w:rsidRPr="00CC425A">
        <w:rPr>
          <w:rFonts w:ascii="Times New Roman" w:hAnsi="Times New Roman" w:cs="Times New Roman"/>
          <w:sz w:val="32"/>
          <w:szCs w:val="32"/>
        </w:rPr>
        <w:t xml:space="preserve"> - customers buying premium electronics with high order value, and customers buying lower-cost clothing and furniture items. The retailer can use this insight to design separate marketing strategies (e.g., premium bundles and EMI </w:t>
      </w:r>
      <w:proofErr w:type="gramStart"/>
      <w:r w:rsidRPr="00CC425A">
        <w:rPr>
          <w:rFonts w:ascii="Times New Roman" w:hAnsi="Times New Roman" w:cs="Times New Roman"/>
          <w:sz w:val="32"/>
          <w:szCs w:val="32"/>
        </w:rPr>
        <w:t>offers</w:t>
      </w:r>
      <w:proofErr w:type="gramEnd"/>
      <w:r w:rsidRPr="00CC425A">
        <w:rPr>
          <w:rFonts w:ascii="Times New Roman" w:hAnsi="Times New Roman" w:cs="Times New Roman"/>
          <w:sz w:val="32"/>
          <w:szCs w:val="32"/>
        </w:rPr>
        <w:t xml:space="preserve"> for the electronics segment, and discount/combo offers for the clothing-furniture segment), improving inventory planning and targeted promotions.</w:t>
      </w:r>
    </w:p>
    <w:p w14:paraId="0F53618C" w14:textId="77777777" w:rsidR="00D242B6" w:rsidRPr="00CC425A" w:rsidRDefault="00000000" w:rsidP="00CC425A">
      <w:pPr>
        <w:pStyle w:val="Heading1"/>
        <w:ind w:left="-5"/>
        <w:jc w:val="both"/>
        <w:rPr>
          <w:rFonts w:ascii="Times New Roman" w:hAnsi="Times New Roman" w:cs="Times New Roman"/>
          <w:sz w:val="32"/>
          <w:szCs w:val="32"/>
        </w:rPr>
      </w:pPr>
      <w:r w:rsidRPr="00CC425A">
        <w:rPr>
          <w:rFonts w:ascii="Times New Roman" w:hAnsi="Times New Roman" w:cs="Times New Roman"/>
          <w:sz w:val="32"/>
          <w:szCs w:val="32"/>
        </w:rPr>
        <w:t xml:space="preserve">Q3. Mobile App User </w:t>
      </w:r>
      <w:proofErr w:type="spellStart"/>
      <w:r w:rsidRPr="00CC425A">
        <w:rPr>
          <w:rFonts w:ascii="Times New Roman" w:hAnsi="Times New Roman" w:cs="Times New Roman"/>
          <w:sz w:val="32"/>
          <w:szCs w:val="32"/>
        </w:rPr>
        <w:t>Behaviour</w:t>
      </w:r>
      <w:proofErr w:type="spellEnd"/>
      <w:r w:rsidRPr="00CC425A">
        <w:rPr>
          <w:rFonts w:ascii="Times New Roman" w:hAnsi="Times New Roman" w:cs="Times New Roman"/>
          <w:sz w:val="32"/>
          <w:szCs w:val="32"/>
        </w:rPr>
        <w:t xml:space="preserve"> (BL5 - 8 Marks)</w:t>
      </w:r>
    </w:p>
    <w:p w14:paraId="0CD1EF16" w14:textId="77777777" w:rsidR="00D242B6" w:rsidRPr="00CC425A" w:rsidRDefault="00000000" w:rsidP="00CC425A">
      <w:pPr>
        <w:spacing w:after="172" w:line="292" w:lineRule="auto"/>
        <w:ind w:left="-5"/>
        <w:jc w:val="both"/>
        <w:rPr>
          <w:rFonts w:ascii="Times New Roman" w:hAnsi="Times New Roman" w:cs="Times New Roman"/>
          <w:sz w:val="32"/>
          <w:szCs w:val="32"/>
        </w:rPr>
      </w:pPr>
      <w:r w:rsidRPr="00CC425A">
        <w:rPr>
          <w:rFonts w:ascii="Times New Roman" w:hAnsi="Times New Roman" w:cs="Times New Roman"/>
          <w:i/>
          <w:sz w:val="32"/>
          <w:szCs w:val="32"/>
        </w:rPr>
        <w:t xml:space="preserve">Question: Interpret how users are assigned to clusters using probability-based membership values. Discuss the advantages of soft clustering over hard clustering for customer </w:t>
      </w:r>
      <w:proofErr w:type="spellStart"/>
      <w:r w:rsidRPr="00CC425A">
        <w:rPr>
          <w:rFonts w:ascii="Times New Roman" w:hAnsi="Times New Roman" w:cs="Times New Roman"/>
          <w:i/>
          <w:sz w:val="32"/>
          <w:szCs w:val="32"/>
        </w:rPr>
        <w:t>behaviour</w:t>
      </w:r>
      <w:proofErr w:type="spellEnd"/>
      <w:r w:rsidRPr="00CC425A">
        <w:rPr>
          <w:rFonts w:ascii="Times New Roman" w:hAnsi="Times New Roman" w:cs="Times New Roman"/>
          <w:i/>
          <w:sz w:val="32"/>
          <w:szCs w:val="32"/>
        </w:rPr>
        <w:t xml:space="preserve"> analysis.</w:t>
      </w:r>
    </w:p>
    <w:p w14:paraId="6CCDCD72" w14:textId="77777777" w:rsidR="00D242B6" w:rsidRPr="00CC425A" w:rsidRDefault="00000000" w:rsidP="00CC425A">
      <w:pPr>
        <w:spacing w:after="59" w:line="259" w:lineRule="auto"/>
        <w:ind w:left="-5"/>
        <w:jc w:val="both"/>
        <w:rPr>
          <w:rFonts w:ascii="Times New Roman" w:hAnsi="Times New Roman" w:cs="Times New Roman"/>
          <w:sz w:val="32"/>
          <w:szCs w:val="32"/>
        </w:rPr>
      </w:pPr>
      <w:r w:rsidRPr="00CC425A">
        <w:rPr>
          <w:rFonts w:ascii="Times New Roman" w:hAnsi="Times New Roman" w:cs="Times New Roman"/>
          <w:b/>
          <w:sz w:val="32"/>
          <w:szCs w:val="32"/>
        </w:rPr>
        <w:t>Answer:</w:t>
      </w:r>
    </w:p>
    <w:p w14:paraId="2E4F7FEF" w14:textId="77777777" w:rsidR="00D242B6" w:rsidRPr="00CC425A" w:rsidRDefault="00000000" w:rsidP="00CC425A">
      <w:pPr>
        <w:ind w:left="-5" w:right="4"/>
        <w:jc w:val="both"/>
        <w:rPr>
          <w:rFonts w:ascii="Times New Roman" w:hAnsi="Times New Roman" w:cs="Times New Roman"/>
          <w:sz w:val="32"/>
          <w:szCs w:val="32"/>
        </w:rPr>
      </w:pPr>
      <w:r w:rsidRPr="00CC425A">
        <w:rPr>
          <w:rFonts w:ascii="Times New Roman" w:hAnsi="Times New Roman" w:cs="Times New Roman"/>
          <w:sz w:val="32"/>
          <w:szCs w:val="32"/>
        </w:rPr>
        <w:t xml:space="preserve">The user data shows two natural </w:t>
      </w:r>
      <w:proofErr w:type="spellStart"/>
      <w:r w:rsidRPr="00CC425A">
        <w:rPr>
          <w:rFonts w:ascii="Times New Roman" w:hAnsi="Times New Roman" w:cs="Times New Roman"/>
          <w:sz w:val="32"/>
          <w:szCs w:val="32"/>
        </w:rPr>
        <w:t>behaviour</w:t>
      </w:r>
      <w:proofErr w:type="spellEnd"/>
      <w:r w:rsidRPr="00CC425A">
        <w:rPr>
          <w:rFonts w:ascii="Times New Roman" w:hAnsi="Times New Roman" w:cs="Times New Roman"/>
          <w:sz w:val="32"/>
          <w:szCs w:val="32"/>
        </w:rPr>
        <w:t xml:space="preserve"> patterns: high-engagement users with long usage time and frequent logins but low in-app purchase (U1, U3, U5), and low-engagement users with short usage time, infrequent logins but high in-app purchase (U2, U4). Unlike a purely hard hierarchical assignment (HAC), a soft/fuzzy clustering approach assigns each user a </w:t>
      </w:r>
      <w:r w:rsidRPr="00CC425A">
        <w:rPr>
          <w:rFonts w:ascii="Times New Roman" w:hAnsi="Times New Roman" w:cs="Times New Roman"/>
          <w:b/>
          <w:sz w:val="32"/>
          <w:szCs w:val="32"/>
        </w:rPr>
        <w:t>membership probability</w:t>
      </w:r>
      <w:r w:rsidRPr="00CC425A">
        <w:rPr>
          <w:rFonts w:ascii="Times New Roman" w:hAnsi="Times New Roman" w:cs="Times New Roman"/>
          <w:sz w:val="32"/>
          <w:szCs w:val="32"/>
        </w:rPr>
        <w:t xml:space="preserve"> for every cluster instead of placing them strictly into one group. For example, U1 (120 min usage, 18 logins, Rs. 2,000 purchase) may get a membership of about 0.80 in the "high-engagement" cluster and 0.20 in the "high-spender" cluster, reflecting that the user is mostly an engagement-driven user but shows some purchasing </w:t>
      </w:r>
      <w:proofErr w:type="spellStart"/>
      <w:r w:rsidRPr="00CC425A">
        <w:rPr>
          <w:rFonts w:ascii="Times New Roman" w:hAnsi="Times New Roman" w:cs="Times New Roman"/>
          <w:sz w:val="32"/>
          <w:szCs w:val="32"/>
        </w:rPr>
        <w:t>behaviour</w:t>
      </w:r>
      <w:proofErr w:type="spellEnd"/>
      <w:r w:rsidRPr="00CC425A">
        <w:rPr>
          <w:rFonts w:ascii="Times New Roman" w:hAnsi="Times New Roman" w:cs="Times New Roman"/>
          <w:sz w:val="32"/>
          <w:szCs w:val="32"/>
        </w:rPr>
        <w:t xml:space="preserve"> too. Users near the boundary between groups, would show membership values close to 0.5 for both clusters, capturing their mixed </w:t>
      </w:r>
      <w:proofErr w:type="spellStart"/>
      <w:r w:rsidRPr="00CC425A">
        <w:rPr>
          <w:rFonts w:ascii="Times New Roman" w:hAnsi="Times New Roman" w:cs="Times New Roman"/>
          <w:sz w:val="32"/>
          <w:szCs w:val="32"/>
        </w:rPr>
        <w:t>behaviour</w:t>
      </w:r>
      <w:proofErr w:type="spellEnd"/>
      <w:r w:rsidRPr="00CC425A">
        <w:rPr>
          <w:rFonts w:ascii="Times New Roman" w:hAnsi="Times New Roman" w:cs="Times New Roman"/>
          <w:sz w:val="32"/>
          <w:szCs w:val="32"/>
        </w:rPr>
        <w:t xml:space="preserve"> rather than forcing an arbitrary hard label.</w:t>
      </w:r>
    </w:p>
    <w:p w14:paraId="3AEBAE7E" w14:textId="77777777" w:rsidR="00D242B6" w:rsidRPr="00CC425A" w:rsidRDefault="00000000" w:rsidP="00CC425A">
      <w:pPr>
        <w:spacing w:after="310"/>
        <w:ind w:left="-5" w:right="4"/>
        <w:jc w:val="both"/>
        <w:rPr>
          <w:rFonts w:ascii="Times New Roman" w:hAnsi="Times New Roman" w:cs="Times New Roman"/>
          <w:sz w:val="32"/>
          <w:szCs w:val="32"/>
        </w:rPr>
      </w:pPr>
      <w:r w:rsidRPr="00CC425A">
        <w:rPr>
          <w:rFonts w:ascii="Times New Roman" w:hAnsi="Times New Roman" w:cs="Times New Roman"/>
          <w:sz w:val="32"/>
          <w:szCs w:val="32"/>
        </w:rPr>
        <w:t xml:space="preserve">Soft clustering has several advantages over hard clustering for </w:t>
      </w:r>
      <w:proofErr w:type="spellStart"/>
      <w:r w:rsidRPr="00CC425A">
        <w:rPr>
          <w:rFonts w:ascii="Times New Roman" w:hAnsi="Times New Roman" w:cs="Times New Roman"/>
          <w:sz w:val="32"/>
          <w:szCs w:val="32"/>
        </w:rPr>
        <w:t>behaviour</w:t>
      </w:r>
      <w:proofErr w:type="spellEnd"/>
      <w:r w:rsidRPr="00CC425A">
        <w:rPr>
          <w:rFonts w:ascii="Times New Roman" w:hAnsi="Times New Roman" w:cs="Times New Roman"/>
          <w:sz w:val="32"/>
          <w:szCs w:val="32"/>
        </w:rPr>
        <w:t xml:space="preserve"> analysis: (1) it captures users whose </w:t>
      </w:r>
      <w:proofErr w:type="spellStart"/>
      <w:r w:rsidRPr="00CC425A">
        <w:rPr>
          <w:rFonts w:ascii="Times New Roman" w:hAnsi="Times New Roman" w:cs="Times New Roman"/>
          <w:sz w:val="32"/>
          <w:szCs w:val="32"/>
        </w:rPr>
        <w:t>behaviour</w:t>
      </w:r>
      <w:proofErr w:type="spellEnd"/>
      <w:r w:rsidRPr="00CC425A">
        <w:rPr>
          <w:rFonts w:ascii="Times New Roman" w:hAnsi="Times New Roman" w:cs="Times New Roman"/>
          <w:sz w:val="32"/>
          <w:szCs w:val="32"/>
        </w:rPr>
        <w:t xml:space="preserve"> overlaps multiple segments instead of forcing a single rigid label; (2) it provides richer information (a full membership profile) that supports more nuanced, </w:t>
      </w:r>
      <w:proofErr w:type="spellStart"/>
      <w:r w:rsidRPr="00CC425A">
        <w:rPr>
          <w:rFonts w:ascii="Times New Roman" w:hAnsi="Times New Roman" w:cs="Times New Roman"/>
          <w:sz w:val="32"/>
          <w:szCs w:val="32"/>
        </w:rPr>
        <w:t>personalised</w:t>
      </w:r>
      <w:proofErr w:type="spellEnd"/>
      <w:r w:rsidRPr="00CC425A">
        <w:rPr>
          <w:rFonts w:ascii="Times New Roman" w:hAnsi="Times New Roman" w:cs="Times New Roman"/>
          <w:sz w:val="32"/>
          <w:szCs w:val="32"/>
        </w:rPr>
        <w:t xml:space="preserve"> marketing and app engagement strategies; (3) it is more robust to noisy or borderline data points, since a small change in </w:t>
      </w:r>
      <w:proofErr w:type="spellStart"/>
      <w:r w:rsidRPr="00CC425A">
        <w:rPr>
          <w:rFonts w:ascii="Times New Roman" w:hAnsi="Times New Roman" w:cs="Times New Roman"/>
          <w:sz w:val="32"/>
          <w:szCs w:val="32"/>
        </w:rPr>
        <w:t>behaviour</w:t>
      </w:r>
      <w:proofErr w:type="spellEnd"/>
      <w:r w:rsidRPr="00CC425A">
        <w:rPr>
          <w:rFonts w:ascii="Times New Roman" w:hAnsi="Times New Roman" w:cs="Times New Roman"/>
          <w:sz w:val="32"/>
          <w:szCs w:val="32"/>
        </w:rPr>
        <w:t xml:space="preserve"> does not suddenly flip a user from one hard cluster to another; and (4) it better reflects real-world user </w:t>
      </w:r>
      <w:proofErr w:type="spellStart"/>
      <w:r w:rsidRPr="00CC425A">
        <w:rPr>
          <w:rFonts w:ascii="Times New Roman" w:hAnsi="Times New Roman" w:cs="Times New Roman"/>
          <w:sz w:val="32"/>
          <w:szCs w:val="32"/>
        </w:rPr>
        <w:t>behaviour</w:t>
      </w:r>
      <w:proofErr w:type="spellEnd"/>
      <w:r w:rsidRPr="00CC425A">
        <w:rPr>
          <w:rFonts w:ascii="Times New Roman" w:hAnsi="Times New Roman" w:cs="Times New Roman"/>
          <w:sz w:val="32"/>
          <w:szCs w:val="32"/>
        </w:rPr>
        <w:t>, which rarely falls into perfectly separated categories.</w:t>
      </w:r>
    </w:p>
    <w:p w14:paraId="7E91FA3A" w14:textId="77777777" w:rsidR="00D242B6" w:rsidRPr="00CC425A" w:rsidRDefault="00000000" w:rsidP="00CC425A">
      <w:pPr>
        <w:pStyle w:val="Heading1"/>
        <w:ind w:left="-5"/>
        <w:jc w:val="both"/>
        <w:rPr>
          <w:rFonts w:ascii="Times New Roman" w:hAnsi="Times New Roman" w:cs="Times New Roman"/>
          <w:sz w:val="32"/>
          <w:szCs w:val="32"/>
        </w:rPr>
      </w:pPr>
      <w:r w:rsidRPr="00CC425A">
        <w:rPr>
          <w:rFonts w:ascii="Times New Roman" w:hAnsi="Times New Roman" w:cs="Times New Roman"/>
          <w:sz w:val="32"/>
          <w:szCs w:val="32"/>
        </w:rPr>
        <w:t>Q4. Agricultural Crop Monitoring (BL4 - 8 Marks)</w:t>
      </w:r>
    </w:p>
    <w:p w14:paraId="413976D6" w14:textId="77777777" w:rsidR="00D242B6" w:rsidRPr="00CC425A" w:rsidRDefault="00000000" w:rsidP="00CC425A">
      <w:pPr>
        <w:spacing w:after="172" w:line="292" w:lineRule="auto"/>
        <w:ind w:left="-5"/>
        <w:jc w:val="both"/>
        <w:rPr>
          <w:rFonts w:ascii="Times New Roman" w:hAnsi="Times New Roman" w:cs="Times New Roman"/>
          <w:sz w:val="32"/>
          <w:szCs w:val="32"/>
        </w:rPr>
      </w:pPr>
      <w:r w:rsidRPr="00CC425A">
        <w:rPr>
          <w:rFonts w:ascii="Times New Roman" w:hAnsi="Times New Roman" w:cs="Times New Roman"/>
          <w:i/>
          <w:sz w:val="32"/>
          <w:szCs w:val="32"/>
        </w:rPr>
        <w:t>Question: Interpret the differences observed in clustering results before and after normalization. Explain how normalization influences cluster formation and improves reliability of agricultural data analysis.</w:t>
      </w:r>
    </w:p>
    <w:p w14:paraId="5490BBA5" w14:textId="77777777" w:rsidR="00D242B6" w:rsidRPr="00CC425A" w:rsidRDefault="00000000" w:rsidP="00CC425A">
      <w:pPr>
        <w:spacing w:after="59" w:line="259" w:lineRule="auto"/>
        <w:ind w:left="-5"/>
        <w:jc w:val="both"/>
        <w:rPr>
          <w:rFonts w:ascii="Times New Roman" w:hAnsi="Times New Roman" w:cs="Times New Roman"/>
          <w:sz w:val="32"/>
          <w:szCs w:val="32"/>
        </w:rPr>
      </w:pPr>
      <w:r w:rsidRPr="00CC425A">
        <w:rPr>
          <w:rFonts w:ascii="Times New Roman" w:hAnsi="Times New Roman" w:cs="Times New Roman"/>
          <w:b/>
          <w:sz w:val="32"/>
          <w:szCs w:val="32"/>
        </w:rPr>
        <w:t>Answer:</w:t>
      </w:r>
    </w:p>
    <w:p w14:paraId="4F7B82DB" w14:textId="77777777" w:rsidR="00D242B6" w:rsidRPr="00CC425A" w:rsidRDefault="00000000" w:rsidP="00CC425A">
      <w:pPr>
        <w:ind w:left="-5" w:right="4"/>
        <w:jc w:val="both"/>
        <w:rPr>
          <w:rFonts w:ascii="Times New Roman" w:hAnsi="Times New Roman" w:cs="Times New Roman"/>
          <w:sz w:val="32"/>
          <w:szCs w:val="32"/>
        </w:rPr>
      </w:pPr>
      <w:r w:rsidRPr="00CC425A">
        <w:rPr>
          <w:rFonts w:ascii="Times New Roman" w:hAnsi="Times New Roman" w:cs="Times New Roman"/>
          <w:sz w:val="32"/>
          <w:szCs w:val="32"/>
        </w:rPr>
        <w:t>The three attributes are on very different scales: Rainfall ranges from 280-520 mm, Soil Fertility Score ranges only from 3-9, and Crop Yield ranges from 65-90 tons. Before normalization, Euclidean distance calculations are dominated by the attribute with the largest numeric range - here, Rainfall. As a result, clustering before normalization would essentially group farms only by rainfall amount, for example {F1, F3, F4} (rainfall 280-400 mm) versus {F2, F5} (rainfall 500-520 mm), while almost ignoring the differences in soil fertility, even though fertility strongly affects yield.</w:t>
      </w:r>
    </w:p>
    <w:p w14:paraId="5057E433" w14:textId="77777777" w:rsidR="00D242B6" w:rsidRPr="00CC425A" w:rsidRDefault="00000000" w:rsidP="00CC425A">
      <w:pPr>
        <w:spacing w:after="349"/>
        <w:ind w:left="-5" w:right="4"/>
        <w:jc w:val="both"/>
        <w:rPr>
          <w:rFonts w:ascii="Times New Roman" w:hAnsi="Times New Roman" w:cs="Times New Roman"/>
          <w:sz w:val="32"/>
          <w:szCs w:val="32"/>
        </w:rPr>
      </w:pPr>
      <w:r w:rsidRPr="00CC425A">
        <w:rPr>
          <w:rFonts w:ascii="Times New Roman" w:hAnsi="Times New Roman" w:cs="Times New Roman"/>
          <w:sz w:val="32"/>
          <w:szCs w:val="32"/>
        </w:rPr>
        <w:t>After normalization (e.g., min-max scaling each attribute to a 0-1 range), all three attributes contribute proportionally to the distance calculation. Now the clustering reflects the true agronomic profile of each farm: farms with high fertility and high yield (F1, F3, F4) form one cluster, and farms with low fertility and low yield (F2, F5) form another - this time because of a combined pattern across rainfall, fertility and yield, not rainfall alone. Normalization therefore prevents any single large-scale feature from dominating the distance metric, ensures that low-magnitude but agronomically important features like soil fertility are properly weighted, and produces clusters that genuinely represent similar farming conditions. This makes the clustering results more reliable and meaningful for agricultural decision-making, such as recommending fertilizer strategy or irrigation planning by cluster.</w:t>
      </w:r>
    </w:p>
    <w:p w14:paraId="56DA4DCB" w14:textId="77777777" w:rsidR="00D242B6" w:rsidRPr="00CC425A" w:rsidRDefault="00000000" w:rsidP="00CC425A">
      <w:pPr>
        <w:pStyle w:val="Heading1"/>
        <w:ind w:left="-5"/>
        <w:jc w:val="both"/>
        <w:rPr>
          <w:rFonts w:ascii="Times New Roman" w:hAnsi="Times New Roman" w:cs="Times New Roman"/>
          <w:sz w:val="32"/>
          <w:szCs w:val="32"/>
        </w:rPr>
      </w:pPr>
      <w:r w:rsidRPr="00CC425A">
        <w:rPr>
          <w:rFonts w:ascii="Times New Roman" w:hAnsi="Times New Roman" w:cs="Times New Roman"/>
          <w:sz w:val="32"/>
          <w:szCs w:val="32"/>
        </w:rPr>
        <w:t>Q5. Employee Performance Evaluation (BL5 - 8 Marks)</w:t>
      </w:r>
    </w:p>
    <w:p w14:paraId="0FE759B6" w14:textId="77777777" w:rsidR="00D242B6" w:rsidRPr="00CC425A" w:rsidRDefault="00000000" w:rsidP="00CC425A">
      <w:pPr>
        <w:spacing w:after="172" w:line="292" w:lineRule="auto"/>
        <w:ind w:left="-5"/>
        <w:jc w:val="both"/>
        <w:rPr>
          <w:rFonts w:ascii="Times New Roman" w:hAnsi="Times New Roman" w:cs="Times New Roman"/>
          <w:sz w:val="32"/>
          <w:szCs w:val="32"/>
        </w:rPr>
      </w:pPr>
      <w:r w:rsidRPr="00CC425A">
        <w:rPr>
          <w:rFonts w:ascii="Times New Roman" w:hAnsi="Times New Roman" w:cs="Times New Roman"/>
          <w:i/>
          <w:sz w:val="32"/>
          <w:szCs w:val="32"/>
        </w:rPr>
        <w:t xml:space="preserve">Question: </w:t>
      </w:r>
      <w:proofErr w:type="spellStart"/>
      <w:r w:rsidRPr="00CC425A">
        <w:rPr>
          <w:rFonts w:ascii="Times New Roman" w:hAnsi="Times New Roman" w:cs="Times New Roman"/>
          <w:i/>
          <w:sz w:val="32"/>
          <w:szCs w:val="32"/>
        </w:rPr>
        <w:t>Analyse</w:t>
      </w:r>
      <w:proofErr w:type="spellEnd"/>
      <w:r w:rsidRPr="00CC425A">
        <w:rPr>
          <w:rFonts w:ascii="Times New Roman" w:hAnsi="Times New Roman" w:cs="Times New Roman"/>
          <w:i/>
          <w:sz w:val="32"/>
          <w:szCs w:val="32"/>
        </w:rPr>
        <w:t xml:space="preserve"> the silhouette scores for different clustering models and determine the most suitable number of clusters. Justify your answer and explain how the selected model contributes to effective employee performance evaluation.</w:t>
      </w:r>
    </w:p>
    <w:p w14:paraId="39696359" w14:textId="77777777" w:rsidR="00D242B6" w:rsidRPr="00CC425A" w:rsidRDefault="00000000" w:rsidP="00CC425A">
      <w:pPr>
        <w:spacing w:after="0" w:line="259" w:lineRule="auto"/>
        <w:ind w:left="-5"/>
        <w:jc w:val="both"/>
        <w:rPr>
          <w:rFonts w:ascii="Times New Roman" w:hAnsi="Times New Roman" w:cs="Times New Roman"/>
          <w:sz w:val="32"/>
          <w:szCs w:val="32"/>
        </w:rPr>
      </w:pPr>
      <w:r w:rsidRPr="00CC425A">
        <w:rPr>
          <w:rFonts w:ascii="Times New Roman" w:hAnsi="Times New Roman" w:cs="Times New Roman"/>
          <w:b/>
          <w:sz w:val="32"/>
          <w:szCs w:val="32"/>
        </w:rPr>
        <w:t>Answer:</w:t>
      </w:r>
    </w:p>
    <w:tbl>
      <w:tblPr>
        <w:tblStyle w:val="TableGrid"/>
        <w:tblW w:w="4535" w:type="dxa"/>
        <w:tblInd w:w="2545" w:type="dxa"/>
        <w:tblCellMar>
          <w:top w:w="114" w:type="dxa"/>
          <w:left w:w="115" w:type="dxa"/>
          <w:bottom w:w="0" w:type="dxa"/>
          <w:right w:w="115" w:type="dxa"/>
        </w:tblCellMar>
        <w:tblLook w:val="04A0" w:firstRow="1" w:lastRow="0" w:firstColumn="1" w:lastColumn="0" w:noHBand="0" w:noVBand="1"/>
      </w:tblPr>
      <w:tblGrid>
        <w:gridCol w:w="2267"/>
        <w:gridCol w:w="2268"/>
      </w:tblGrid>
      <w:tr w:rsidR="00D242B6" w:rsidRPr="00CC425A" w14:paraId="337D4CBC" w14:textId="77777777">
        <w:trPr>
          <w:trHeight w:val="360"/>
        </w:trPr>
        <w:tc>
          <w:tcPr>
            <w:tcW w:w="2268" w:type="dxa"/>
            <w:tcBorders>
              <w:top w:val="single" w:sz="4" w:space="0" w:color="808080"/>
              <w:left w:val="single" w:sz="4" w:space="0" w:color="808080"/>
              <w:bottom w:val="single" w:sz="4" w:space="0" w:color="808080"/>
              <w:right w:val="single" w:sz="4" w:space="0" w:color="808080"/>
            </w:tcBorders>
            <w:shd w:val="clear" w:color="auto" w:fill="1A3A6B"/>
          </w:tcPr>
          <w:p w14:paraId="1B152B12"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b/>
                <w:color w:val="FFFFFF"/>
                <w:sz w:val="32"/>
                <w:szCs w:val="32"/>
              </w:rPr>
              <w:t>Model</w:t>
            </w:r>
          </w:p>
        </w:tc>
        <w:tc>
          <w:tcPr>
            <w:tcW w:w="2268" w:type="dxa"/>
            <w:tcBorders>
              <w:top w:val="single" w:sz="4" w:space="0" w:color="808080"/>
              <w:left w:val="single" w:sz="4" w:space="0" w:color="808080"/>
              <w:bottom w:val="single" w:sz="4" w:space="0" w:color="808080"/>
              <w:right w:val="single" w:sz="4" w:space="0" w:color="808080"/>
            </w:tcBorders>
            <w:shd w:val="clear" w:color="auto" w:fill="1A3A6B"/>
          </w:tcPr>
          <w:p w14:paraId="16220DEF"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b/>
                <w:color w:val="FFFFFF"/>
                <w:sz w:val="32"/>
                <w:szCs w:val="32"/>
              </w:rPr>
              <w:t>Silhouette Score</w:t>
            </w:r>
          </w:p>
        </w:tc>
      </w:tr>
      <w:tr w:rsidR="00D242B6" w:rsidRPr="00CC425A" w14:paraId="79631FDF" w14:textId="77777777">
        <w:trPr>
          <w:trHeight w:val="360"/>
        </w:trPr>
        <w:tc>
          <w:tcPr>
            <w:tcW w:w="2268" w:type="dxa"/>
            <w:tcBorders>
              <w:top w:val="single" w:sz="4" w:space="0" w:color="808080"/>
              <w:left w:val="single" w:sz="4" w:space="0" w:color="808080"/>
              <w:bottom w:val="single" w:sz="4" w:space="0" w:color="808080"/>
              <w:right w:val="single" w:sz="4" w:space="0" w:color="808080"/>
            </w:tcBorders>
            <w:shd w:val="clear" w:color="auto" w:fill="FFFFFF"/>
          </w:tcPr>
          <w:p w14:paraId="68F5AA00"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K = 2</w:t>
            </w:r>
          </w:p>
        </w:tc>
        <w:tc>
          <w:tcPr>
            <w:tcW w:w="2268" w:type="dxa"/>
            <w:tcBorders>
              <w:top w:val="single" w:sz="4" w:space="0" w:color="808080"/>
              <w:left w:val="single" w:sz="4" w:space="0" w:color="808080"/>
              <w:bottom w:val="single" w:sz="4" w:space="0" w:color="808080"/>
              <w:right w:val="single" w:sz="4" w:space="0" w:color="808080"/>
            </w:tcBorders>
            <w:shd w:val="clear" w:color="auto" w:fill="FFFFFF"/>
          </w:tcPr>
          <w:p w14:paraId="3387BCCF"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0.48</w:t>
            </w:r>
          </w:p>
        </w:tc>
      </w:tr>
      <w:tr w:rsidR="00D242B6" w:rsidRPr="00CC425A" w14:paraId="34931488" w14:textId="77777777">
        <w:trPr>
          <w:trHeight w:val="360"/>
        </w:trPr>
        <w:tc>
          <w:tcPr>
            <w:tcW w:w="2268" w:type="dxa"/>
            <w:tcBorders>
              <w:top w:val="single" w:sz="4" w:space="0" w:color="808080"/>
              <w:left w:val="single" w:sz="4" w:space="0" w:color="808080"/>
              <w:bottom w:val="single" w:sz="4" w:space="0" w:color="808080"/>
              <w:right w:val="single" w:sz="4" w:space="0" w:color="808080"/>
            </w:tcBorders>
            <w:shd w:val="clear" w:color="auto" w:fill="F2F2F2"/>
          </w:tcPr>
          <w:p w14:paraId="6ACAA392"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K = 3</w:t>
            </w:r>
          </w:p>
        </w:tc>
        <w:tc>
          <w:tcPr>
            <w:tcW w:w="2268" w:type="dxa"/>
            <w:tcBorders>
              <w:top w:val="single" w:sz="4" w:space="0" w:color="808080"/>
              <w:left w:val="single" w:sz="4" w:space="0" w:color="808080"/>
              <w:bottom w:val="single" w:sz="4" w:space="0" w:color="808080"/>
              <w:right w:val="single" w:sz="4" w:space="0" w:color="808080"/>
            </w:tcBorders>
            <w:shd w:val="clear" w:color="auto" w:fill="F2F2F2"/>
          </w:tcPr>
          <w:p w14:paraId="7AF21817"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0.68</w:t>
            </w:r>
          </w:p>
        </w:tc>
      </w:tr>
      <w:tr w:rsidR="00D242B6" w:rsidRPr="00CC425A" w14:paraId="42CC16AC" w14:textId="77777777">
        <w:trPr>
          <w:trHeight w:val="360"/>
        </w:trPr>
        <w:tc>
          <w:tcPr>
            <w:tcW w:w="2268" w:type="dxa"/>
            <w:tcBorders>
              <w:top w:val="single" w:sz="4" w:space="0" w:color="808080"/>
              <w:left w:val="single" w:sz="4" w:space="0" w:color="808080"/>
              <w:bottom w:val="single" w:sz="4" w:space="0" w:color="808080"/>
              <w:right w:val="single" w:sz="4" w:space="0" w:color="808080"/>
            </w:tcBorders>
            <w:shd w:val="clear" w:color="auto" w:fill="FFFFFF"/>
          </w:tcPr>
          <w:p w14:paraId="098767B9"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K = 4</w:t>
            </w:r>
          </w:p>
        </w:tc>
        <w:tc>
          <w:tcPr>
            <w:tcW w:w="2268" w:type="dxa"/>
            <w:tcBorders>
              <w:top w:val="single" w:sz="4" w:space="0" w:color="808080"/>
              <w:left w:val="single" w:sz="4" w:space="0" w:color="808080"/>
              <w:bottom w:val="single" w:sz="4" w:space="0" w:color="808080"/>
              <w:right w:val="single" w:sz="4" w:space="0" w:color="808080"/>
            </w:tcBorders>
            <w:shd w:val="clear" w:color="auto" w:fill="FFFFFF"/>
          </w:tcPr>
          <w:p w14:paraId="2AA2CE2B" w14:textId="77777777" w:rsidR="00D242B6" w:rsidRPr="00CC425A" w:rsidRDefault="00000000" w:rsidP="00CC425A">
            <w:pPr>
              <w:spacing w:after="0" w:line="259" w:lineRule="auto"/>
              <w:ind w:left="0" w:firstLine="0"/>
              <w:jc w:val="both"/>
              <w:rPr>
                <w:rFonts w:ascii="Times New Roman" w:hAnsi="Times New Roman" w:cs="Times New Roman"/>
                <w:sz w:val="32"/>
                <w:szCs w:val="32"/>
              </w:rPr>
            </w:pPr>
            <w:r w:rsidRPr="00CC425A">
              <w:rPr>
                <w:rFonts w:ascii="Times New Roman" w:hAnsi="Times New Roman" w:cs="Times New Roman"/>
                <w:sz w:val="32"/>
                <w:szCs w:val="32"/>
              </w:rPr>
              <w:t>0.52</w:t>
            </w:r>
          </w:p>
        </w:tc>
      </w:tr>
    </w:tbl>
    <w:p w14:paraId="2A8E902A" w14:textId="77777777" w:rsidR="00D242B6" w:rsidRPr="00CC425A" w:rsidRDefault="00000000" w:rsidP="00CC425A">
      <w:pPr>
        <w:ind w:left="-5" w:right="4"/>
        <w:jc w:val="both"/>
        <w:rPr>
          <w:rFonts w:ascii="Times New Roman" w:hAnsi="Times New Roman" w:cs="Times New Roman"/>
          <w:sz w:val="32"/>
          <w:szCs w:val="32"/>
        </w:rPr>
      </w:pPr>
      <w:r w:rsidRPr="00CC425A">
        <w:rPr>
          <w:rFonts w:ascii="Times New Roman" w:hAnsi="Times New Roman" w:cs="Times New Roman"/>
          <w:sz w:val="32"/>
          <w:szCs w:val="32"/>
        </w:rPr>
        <w:t xml:space="preserve">The silhouette score measures how well-separated and internally cohesive the clusters are - values closer to 1 indicate tighter, more distinct clusters. Among the three models, K=3 has the highest silhouette score (0.68), clearly outperforming K=2 (0.48) and K=4 (0.52). This means </w:t>
      </w:r>
      <w:r w:rsidRPr="00CC425A">
        <w:rPr>
          <w:rFonts w:ascii="Times New Roman" w:hAnsi="Times New Roman" w:cs="Times New Roman"/>
          <w:b/>
          <w:sz w:val="32"/>
          <w:szCs w:val="32"/>
        </w:rPr>
        <w:t>K = 3</w:t>
      </w:r>
      <w:r w:rsidRPr="00CC425A">
        <w:rPr>
          <w:rFonts w:ascii="Times New Roman" w:hAnsi="Times New Roman" w:cs="Times New Roman"/>
          <w:sz w:val="32"/>
          <w:szCs w:val="32"/>
        </w:rPr>
        <w:t xml:space="preserve"> is the most suitable number of clusters for this employee dataset.</w:t>
      </w:r>
    </w:p>
    <w:p w14:paraId="3A3D6044" w14:textId="77777777" w:rsidR="00D242B6" w:rsidRPr="00CC425A" w:rsidRDefault="00000000" w:rsidP="00CC425A">
      <w:pPr>
        <w:spacing w:after="0"/>
        <w:ind w:left="-5" w:right="4"/>
        <w:jc w:val="both"/>
        <w:rPr>
          <w:rFonts w:ascii="Times New Roman" w:hAnsi="Times New Roman" w:cs="Times New Roman"/>
          <w:sz w:val="32"/>
          <w:szCs w:val="32"/>
        </w:rPr>
      </w:pPr>
      <w:r w:rsidRPr="00CC425A">
        <w:rPr>
          <w:rFonts w:ascii="Times New Roman" w:hAnsi="Times New Roman" w:cs="Times New Roman"/>
          <w:sz w:val="32"/>
          <w:szCs w:val="32"/>
        </w:rPr>
        <w:t xml:space="preserve">K=2 scores lower because it is too coarse - it merges employees with genuinely different performance levels (e.g., mid-performers like E3 get grouped with either high or low performers), reducing cluster cohesion. K=4 also scores lower than K=3 because </w:t>
      </w:r>
      <w:proofErr w:type="gramStart"/>
      <w:r w:rsidRPr="00CC425A">
        <w:rPr>
          <w:rFonts w:ascii="Times New Roman" w:hAnsi="Times New Roman" w:cs="Times New Roman"/>
          <w:sz w:val="32"/>
          <w:szCs w:val="32"/>
        </w:rPr>
        <w:t>it</w:t>
      </w:r>
      <w:proofErr w:type="gramEnd"/>
      <w:r w:rsidRPr="00CC425A">
        <w:rPr>
          <w:rFonts w:ascii="Times New Roman" w:hAnsi="Times New Roman" w:cs="Times New Roman"/>
          <w:sz w:val="32"/>
          <w:szCs w:val="32"/>
        </w:rPr>
        <w:t xml:space="preserve"> over-segments the data into more groups than the natural structure supports, splitting genuinely similar employees apart and reducing separation quality. K=3 strikes the right balance, producing three well-separated, meaningful groups: high performers (E1,</w:t>
      </w:r>
    </w:p>
    <w:p w14:paraId="5FA2F5B4" w14:textId="77777777" w:rsidR="00D242B6" w:rsidRPr="00CC425A" w:rsidRDefault="00000000" w:rsidP="00CC425A">
      <w:pPr>
        <w:ind w:left="-5" w:right="4"/>
        <w:jc w:val="both"/>
        <w:rPr>
          <w:rFonts w:ascii="Times New Roman" w:hAnsi="Times New Roman" w:cs="Times New Roman"/>
          <w:sz w:val="32"/>
          <w:szCs w:val="32"/>
        </w:rPr>
      </w:pPr>
      <w:r w:rsidRPr="00CC425A">
        <w:rPr>
          <w:rFonts w:ascii="Times New Roman" w:hAnsi="Times New Roman" w:cs="Times New Roman"/>
          <w:sz w:val="32"/>
          <w:szCs w:val="32"/>
        </w:rPr>
        <w:t xml:space="preserve">E5 - high productivity, attendance and skill scores), a moderate performer (E3), and low performers (E2, E4). This three-tier model is highly useful for effective performance evaluation: it allows the company to identify top talent for rewards and promotion, flag moderate performers for targeted coaching, and design improvement plans for low performers, resulting in fairer and more data-driven HR decisions than a </w:t>
      </w:r>
      <w:proofErr w:type="gramStart"/>
      <w:r w:rsidRPr="00CC425A">
        <w:rPr>
          <w:rFonts w:ascii="Times New Roman" w:hAnsi="Times New Roman" w:cs="Times New Roman"/>
          <w:sz w:val="32"/>
          <w:szCs w:val="32"/>
        </w:rPr>
        <w:t>coarser</w:t>
      </w:r>
      <w:proofErr w:type="gramEnd"/>
      <w:r w:rsidRPr="00CC425A">
        <w:rPr>
          <w:rFonts w:ascii="Times New Roman" w:hAnsi="Times New Roman" w:cs="Times New Roman"/>
          <w:sz w:val="32"/>
          <w:szCs w:val="32"/>
        </w:rPr>
        <w:t xml:space="preserve"> 2-cluster or an overly fragmented 4-cluster model.</w:t>
      </w:r>
    </w:p>
    <w:sectPr w:rsidR="00D242B6" w:rsidRPr="00CC425A">
      <w:pgSz w:w="11906" w:h="16838"/>
      <w:pgMar w:top="1030" w:right="1140" w:bottom="1094"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2B6"/>
    <w:rsid w:val="0095003C"/>
    <w:rsid w:val="00CC425A"/>
    <w:rsid w:val="00D24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A4DB9"/>
  <w15:docId w15:val="{9408DA12-047A-4549-A760-89E807BCA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98"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22" w:line="259" w:lineRule="auto"/>
      <w:ind w:left="10" w:hanging="10"/>
      <w:outlineLvl w:val="0"/>
    </w:pPr>
    <w:rPr>
      <w:rFonts w:ascii="Arial" w:eastAsia="Arial" w:hAnsi="Arial" w:cs="Arial"/>
      <w:b/>
      <w:color w:val="1A3A6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A3A6B"/>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1331</Words>
  <Characters>7588</Characters>
  <Application>Microsoft Office Word</Application>
  <DocSecurity>0</DocSecurity>
  <Lines>63</Lines>
  <Paragraphs>17</Paragraphs>
  <ScaleCrop>false</ScaleCrop>
  <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SUDHARSHAN REDDY PANGA</cp:lastModifiedBy>
  <cp:revision>2</cp:revision>
  <dcterms:created xsi:type="dcterms:W3CDTF">2026-08-22T06:24:00Z</dcterms:created>
  <dcterms:modified xsi:type="dcterms:W3CDTF">2026-08-22T06:24:00Z</dcterms:modified>
</cp:coreProperties>
</file>