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6622E"/>
          <w:sz w:val="80"/>
        </w:rPr>
        <w:t>SoilGuard-CG</w:t>
      </w:r>
    </w:p>
    <w:p>
      <w:pPr>
        <w:jc w:val="center"/>
      </w:pPr>
      <w:r>
        <w:rPr>
          <w:b/>
          <w:color w:val="111827"/>
          <w:sz w:val="44"/>
        </w:rPr>
        <w:t>Project Overview &amp; Pitch</w:t>
      </w:r>
    </w:p>
    <w:p>
      <w:pPr>
        <w:jc w:val="center"/>
      </w:pPr>
      <w:r>
        <w:rPr>
          <w:i/>
          <w:color w:val="0E74BC"/>
          <w:sz w:val="26"/>
        </w:rPr>
        <w:t>What SoilGuard-CG is, the problem it solves, and why judges should care</w:t>
      </w:r>
    </w:p>
    <w:p/>
    <w:p>
      <w:pPr>
        <w:jc w:val="center"/>
      </w:pPr>
      <w:r>
        <w:rPr>
          <w:color w:val="555B66"/>
          <w:sz w:val="22"/>
        </w:rPr>
        <w:t>The 3-pillar story: Detect → Prioritize → Remediate</w:t>
      </w:r>
    </w:p>
    <w:p>
      <w:r>
        <w:br w:type="page"/>
      </w:r>
    </w:p>
    <w:p>
      <w:pPr>
        <w:pStyle w:val="Heading1"/>
      </w:pPr>
      <w:r>
        <w:rPr>
          <w:color w:val="16622E"/>
        </w:rPr>
        <w:t>1. What is SoilGuard-CG?</w:t>
      </w:r>
    </w:p>
    <w:p>
      <w:r>
        <w:rPr>
          <w:b w:val="0"/>
          <w:i w:val="0"/>
        </w:rPr>
        <w:t>SoilGuard-CG is a terminal-native, fully offline geospatial Machine Learning platform for the Chhattisgarh rice belt ('Dhan ka Katora'). It converts 10m Sentinel-2 satellite imagery and SoilGrids topsoil properties into:</w:t>
      </w:r>
    </w:p>
    <w:p>
      <w:pPr>
        <w:pStyle w:val="ListBullet"/>
      </w:pPr>
      <w:r>
        <w:t>Continuous Soil Organic Carbon (SOC) Deficiency risk maps (score 0.0–1.0 at 10m resolution).</w:t>
      </w:r>
    </w:p>
    <w:p>
      <w:pPr>
        <w:pStyle w:val="ListBullet"/>
      </w:pPr>
      <w:r>
        <w:t>A 5×5 zonal priority grid that ranks 25 agricultural sectors by intervention urgency.</w:t>
      </w:r>
    </w:p>
    <w:p>
      <w:pPr>
        <w:pStyle w:val="ListBullet"/>
      </w:pPr>
      <w:r>
        <w:t>Clay-sensitive regenerative advisory packages (FYM dosage, green manuring, zero-tillage, lime/gypsum).</w:t>
      </w:r>
    </w:p>
    <w:p>
      <w:pPr>
        <w:pStyle w:val="Heading1"/>
      </w:pPr>
      <w:r>
        <w:rPr>
          <w:color w:val="16622E"/>
        </w:rPr>
        <w:t>2. The three core pillars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3216"/>
            <w:shd w:val="clear" w:fill="16622E"/>
          </w:tcPr>
          <w:p>
            <w:r/>
            <w:r>
              <w:rPr>
                <w:b/>
                <w:color w:val="FFFFFF"/>
                <w:sz w:val="19"/>
              </w:rPr>
              <w:t>Pillar</w:t>
            </w:r>
          </w:p>
        </w:tc>
        <w:tc>
          <w:tcPr>
            <w:tcW w:type="dxa" w:w="3216"/>
            <w:shd w:val="clear" w:fill="16622E"/>
          </w:tcPr>
          <w:p>
            <w:r/>
            <w:r>
              <w:rPr>
                <w:b/>
                <w:color w:val="FFFFFF"/>
                <w:sz w:val="19"/>
              </w:rPr>
              <w:t>What it does</w:t>
            </w:r>
          </w:p>
        </w:tc>
        <w:tc>
          <w:tcPr>
            <w:tcW w:type="dxa" w:w="3216"/>
            <w:shd w:val="clear" w:fill="16622E"/>
          </w:tcPr>
          <w:p>
            <w:r/>
            <w:r>
              <w:rPr>
                <w:b/>
                <w:color w:val="FFFFFF"/>
                <w:sz w:val="19"/>
              </w:rPr>
              <w:t>Why it matters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  <w:sz w:val="19"/>
              </w:rPr>
              <w:t>Detect</w:t>
            </w:r>
          </w:p>
        </w:tc>
        <w:tc>
          <w:tcPr>
            <w:tcW w:type="dxa" w:w="3216"/>
          </w:tcPr>
          <w:p>
            <w:r/>
            <w:r>
              <w:rPr>
                <w:sz w:val="19"/>
              </w:rPr>
              <w:t>Evaluates 2.27 million bare-soil pixels at 10m resolution via satellite optical physics</w:t>
            </w:r>
          </w:p>
        </w:tc>
        <w:tc>
          <w:tcPr>
            <w:tcW w:type="dxa" w:w="3216"/>
          </w:tcPr>
          <w:p>
            <w:r/>
            <w:r>
              <w:rPr>
                <w:sz w:val="19"/>
              </w:rPr>
              <w:t>Fills the spatial gap left by 1 sample / 10 ha / 3 yrs soil health cards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  <w:sz w:val="19"/>
              </w:rPr>
              <w:t>Prioritize</w:t>
            </w:r>
          </w:p>
        </w:tc>
        <w:tc>
          <w:tcPr>
            <w:tcW w:type="dxa" w:w="3216"/>
          </w:tcPr>
          <w:p>
            <w:r/>
            <w:r>
              <w:rPr>
                <w:sz w:val="19"/>
              </w:rPr>
              <w:t>Overlays a 5×5 administrative grid and ranks 25 sectors by mean deficiency + high-risk area</w:t>
            </w:r>
          </w:p>
        </w:tc>
        <w:tc>
          <w:tcPr>
            <w:tcW w:type="dxa" w:w="3216"/>
          </w:tcPr>
          <w:p>
            <w:r/>
            <w:r>
              <w:rPr>
                <w:sz w:val="19"/>
              </w:rPr>
              <w:t>Officers know exactly which block to fund first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  <w:sz w:val="19"/>
              </w:rPr>
              <w:t>Remediate</w:t>
            </w:r>
          </w:p>
        </w:tc>
        <w:tc>
          <w:tcPr>
            <w:tcW w:type="dxa" w:w="3216"/>
          </w:tcPr>
          <w:p>
            <w:r/>
            <w:r>
              <w:rPr>
                <w:sz w:val="19"/>
              </w:rPr>
              <w:t>Generates site-specific prescriptions using clay %, pH and BSI rules</w:t>
            </w:r>
          </w:p>
        </w:tc>
        <w:tc>
          <w:tcPr>
            <w:tcW w:type="dxa" w:w="3216"/>
          </w:tcPr>
          <w:p>
            <w:r/>
            <w:r>
              <w:rPr>
                <w:sz w:val="19"/>
              </w:rPr>
              <w:t>Farmers get exact FYM tonnes/ha, not vague advice</w:t>
            </w:r>
          </w:p>
        </w:tc>
      </w:tr>
    </w:tbl>
    <w:p/>
    <w:p>
      <w:pPr>
        <w:pStyle w:val="Heading1"/>
      </w:pPr>
      <w:r>
        <w:rPr>
          <w:color w:val="16622E"/>
        </w:rPr>
        <w:t>3. The problem (Chhattisgarh context)</w:t>
      </w:r>
    </w:p>
    <w:p>
      <w:pPr>
        <w:pStyle w:val="ListBullet"/>
      </w:pPr>
      <w:r>
        <w:t>Paddy mono-cropping + intense summer heat (42°C+) + stubble burning drive topsoil SOC depletion.</w:t>
      </w:r>
    </w:p>
    <w:p>
      <w:pPr>
        <w:pStyle w:val="ListBullet"/>
      </w:pPr>
      <w:r>
        <w:rPr>
          <w:b/>
        </w:rPr>
        <w:t xml:space="preserve">Crisis: </w:t>
      </w:r>
      <w:r>
        <w:t>Over 52% of regional agricultural grids have SOC below the critical 0.50% threshold.</w:t>
      </w:r>
    </w:p>
    <w:p>
      <w:pPr>
        <w:pStyle w:val="ListBullet"/>
      </w:pPr>
      <w:r>
        <w:rPr>
          <w:b/>
        </w:rPr>
        <w:t xml:space="preserve">Gap: </w:t>
      </w:r>
      <w:r>
        <w:t>Traditional Soil Health Cards sample 1 physical point per 10 ha once every 3 years — ₹2,000–3,000 per sample, missing intra-field variability.</w:t>
      </w:r>
    </w:p>
    <w:p>
      <w:pPr>
        <w:pStyle w:val="ListBullet"/>
      </w:pPr>
      <w:r>
        <w:rPr>
          <w:b/>
        </w:rPr>
        <w:t xml:space="preserve">Cost: </w:t>
      </w:r>
      <w:r>
        <w:t>Physical sampling cannot track micro-spatial degradation or give timely post-harvest advice.</w:t>
      </w:r>
    </w:p>
    <w:p>
      <w:pPr>
        <w:pStyle w:val="Heading1"/>
      </w:pPr>
      <w:r>
        <w:rPr>
          <w:color w:val="16622E"/>
        </w:rPr>
        <w:t>4. The solution (our system)</w:t>
      </w:r>
    </w:p>
    <w:p>
      <w:r>
        <w:rPr>
          <w:b w:val="0"/>
          <w:i w:val="0"/>
        </w:rPr>
        <w:t>Evaluate every 10m × 10m grid cell (0.01 ha) using free, open-access Sentinel-2 data refreshed every 5 days — at zero physical sampling cost. Output is directly usable by district collectors, agriculture officers, and carbon-credit programmes.</w:t>
      </w:r>
    </w:p>
    <w:p>
      <w:pPr>
        <w:pStyle w:val="Heading1"/>
      </w:pPr>
      <w:r>
        <w:rPr>
          <w:color w:val="16622E"/>
        </w:rPr>
        <w:t>5. Unique selling propositions (USPs)</w:t>
      </w:r>
    </w:p>
    <w:p>
      <w:pPr>
        <w:pStyle w:val="ListBullet"/>
      </w:pPr>
      <w:r>
        <w:rPr>
          <w:b/>
        </w:rPr>
        <w:t xml:space="preserve">⚡ Zero internet dependency: </w:t>
      </w:r>
      <w:r>
        <w:t>Runs 100% offline on cached windowed Cloud-Optimized GeoTIFFs — works in remote district offices.</w:t>
      </w:r>
    </w:p>
    <w:p>
      <w:pPr>
        <w:pStyle w:val="ListBullet"/>
      </w:pPr>
      <w:r>
        <w:rPr>
          <w:b/>
        </w:rPr>
        <w:t xml:space="preserve">🛡️ Zero target leakage: </w:t>
      </w:r>
      <w:r>
        <w:t>Raw SoilGrids SOC is excluded from model features X — the model learns genuine spectral physics, not memorized maps.</w:t>
      </w:r>
    </w:p>
    <w:p>
      <w:pPr>
        <w:pStyle w:val="ListBullet"/>
      </w:pPr>
      <w:r>
        <w:rPr>
          <w:b/>
        </w:rPr>
        <w:t xml:space="preserve">🎯 Clay-sensitive advisories: </w:t>
      </w:r>
      <w:r>
        <w:t>FYM/tillage guidance adjusts for Vertisol clay vs light sandy soils (10–12 vs 8–10 t/ha).</w:t>
      </w:r>
    </w:p>
    <w:p>
      <w:pPr>
        <w:pStyle w:val="ListBullet"/>
      </w:pPr>
      <w:r>
        <w:rPr>
          <w:b/>
        </w:rPr>
        <w:t xml:space="preserve">⏱️ Ultra-fast: </w:t>
      </w:r>
      <w:r>
        <w:t>Full pipeline (load → mask → train → map → report) in roughly 30–45 seconds on a standard laptop.</w:t>
      </w:r>
    </w:p>
    <w:p>
      <w:pPr>
        <w:pStyle w:val="Heading1"/>
      </w:pPr>
      <w:r>
        <w:rPr>
          <w:color w:val="16622E"/>
        </w:rPr>
        <w:t>6. Tech stack (honest)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</w:trPr>
        <w:tc>
          <w:tcPr>
            <w:tcW w:type="dxa" w:w="2448"/>
            <w:shd w:val="clear" w:fill="16622E"/>
          </w:tcPr>
          <w:p>
            <w:r/>
            <w:r>
              <w:rPr>
                <w:b/>
                <w:color w:val="FFFFFF"/>
                <w:sz w:val="19"/>
              </w:rPr>
              <w:t>Layer</w:t>
            </w:r>
          </w:p>
        </w:tc>
        <w:tc>
          <w:tcPr>
            <w:tcW w:type="dxa" w:w="6912"/>
            <w:shd w:val="clear" w:fill="16622E"/>
          </w:tcPr>
          <w:p>
            <w:r/>
            <w:r>
              <w:rPr>
                <w:b/>
                <w:color w:val="FFFFFF"/>
                <w:sz w:val="19"/>
              </w:rPr>
              <w:t>Technology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19"/>
              </w:rPr>
              <w:t>Language</w:t>
            </w:r>
          </w:p>
        </w:tc>
        <w:tc>
          <w:tcPr>
            <w:tcW w:type="dxa" w:w="6912"/>
          </w:tcPr>
          <w:p>
            <w:r/>
            <w:r>
              <w:rPr>
                <w:sz w:val="19"/>
              </w:rPr>
              <w:t>Python 3.11, TypeScript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19"/>
              </w:rPr>
              <w:t>ML</w:t>
            </w:r>
          </w:p>
        </w:tc>
        <w:tc>
          <w:tcPr>
            <w:tcW w:type="dxa" w:w="6912"/>
          </w:tcPr>
          <w:p>
            <w:r/>
            <w:r>
              <w:rPr>
                <w:sz w:val="19"/>
              </w:rPr>
              <w:t>scikit-learn Random Forest Regressor (150 trees)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19"/>
              </w:rPr>
              <w:t>Geospatial</w:t>
            </w:r>
          </w:p>
        </w:tc>
        <w:tc>
          <w:tcPr>
            <w:tcW w:type="dxa" w:w="6912"/>
          </w:tcPr>
          <w:p>
            <w:r/>
            <w:r>
              <w:rPr>
                <w:sz w:val="19"/>
              </w:rPr>
              <w:t>rasterio, geopandas, shapely, pystac-client, GDAL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19"/>
              </w:rPr>
              <w:t>Data</w:t>
            </w:r>
          </w:p>
        </w:tc>
        <w:tc>
          <w:tcPr>
            <w:tcW w:type="dxa" w:w="6912"/>
          </w:tcPr>
          <w:p>
            <w:r/>
            <w:r>
              <w:rPr>
                <w:sz w:val="19"/>
              </w:rPr>
              <w:t>Sentinel-2 L2A (B02/B04/B08/B11), SoilGrids (SOC, clay, pH)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19"/>
              </w:rPr>
              <w:t>Visuals</w:t>
            </w:r>
          </w:p>
        </w:tc>
        <w:tc>
          <w:tcPr>
            <w:tcW w:type="dxa" w:w="6912"/>
          </w:tcPr>
          <w:p>
            <w:r/>
            <w:r>
              <w:rPr>
                <w:sz w:val="19"/>
              </w:rPr>
              <w:t>matplotlib 300 DPI maps, rich CLI dashboard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19"/>
              </w:rPr>
              <w:t>API</w:t>
            </w:r>
          </w:p>
        </w:tc>
        <w:tc>
          <w:tcPr>
            <w:tcW w:type="dxa" w:w="6912"/>
          </w:tcPr>
          <w:p>
            <w:r/>
            <w:r>
              <w:rPr>
                <w:sz w:val="19"/>
              </w:rPr>
              <w:t>ISRO Bhuvan LULC &amp; Village Geocoding (urllib)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19"/>
              </w:rPr>
              <w:t>Frontend</w:t>
            </w:r>
          </w:p>
        </w:tc>
        <w:tc>
          <w:tcPr>
            <w:tcW w:type="dxa" w:w="6912"/>
          </w:tcPr>
          <w:p>
            <w:r/>
            <w:r>
              <w:rPr>
                <w:sz w:val="19"/>
              </w:rPr>
              <w:t>Next.js dashboard (port 3001) + map visualizer (port 5000)</w:t>
            </w:r>
          </w:p>
        </w:tc>
      </w:tr>
    </w:tbl>
    <w:p/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