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6622E"/>
          <w:sz w:val="80"/>
        </w:rPr>
        <w:t>SoilGuard-CG</w:t>
      </w:r>
    </w:p>
    <w:p>
      <w:pPr>
        <w:jc w:val="center"/>
      </w:pPr>
      <w:r>
        <w:rPr>
          <w:b/>
          <w:color w:val="111827"/>
          <w:sz w:val="44"/>
        </w:rPr>
        <w:t>Presentation Script</w:t>
      </w:r>
    </w:p>
    <w:p>
      <w:pPr>
        <w:jc w:val="center"/>
      </w:pPr>
      <w:r>
        <w:rPr>
          <w:i/>
          <w:color w:val="0E74BC"/>
          <w:sz w:val="26"/>
        </w:rPr>
        <w:t>A timed, slide-by-slide pitch script (2-minute and 5-minute versions)</w:t>
      </w:r>
    </w:p>
    <w:p/>
    <w:p>
      <w:pPr>
        <w:jc w:val="center"/>
      </w:pPr>
      <w:r>
        <w:rPr>
          <w:color w:val="555B66"/>
          <w:sz w:val="22"/>
        </w:rPr>
        <w:t>Hook → Problem → Solution → Results → Impact</w:t>
      </w:r>
    </w:p>
    <w:p>
      <w:r>
        <w:br w:type="page"/>
      </w:r>
    </w:p>
    <w:p>
      <w:pPr>
        <w:pStyle w:val="Heading1"/>
      </w:pPr>
      <w:r>
        <w:rPr>
          <w:color w:val="16622E"/>
        </w:rPr>
        <w:t>1. The 5-slide deck skeleton</w:t>
      </w:r>
    </w:p>
    <w:tbl>
      <w:tblPr>
        <w:tblStyle w:val="LightGrid-Accent1"/>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val="clear" w:fill="16622E"/>
          </w:tcPr>
          <w:p>
            <w:r/>
            <w:r>
              <w:rPr>
                <w:b/>
                <w:color w:val="FFFFFF"/>
                <w:sz w:val="19"/>
              </w:rPr>
              <w:t>Slide</w:t>
            </w:r>
          </w:p>
        </w:tc>
        <w:tc>
          <w:tcPr>
            <w:tcW w:type="dxa" w:w="2412"/>
            <w:shd w:val="clear" w:fill="16622E"/>
          </w:tcPr>
          <w:p>
            <w:r/>
            <w:r>
              <w:rPr>
                <w:b/>
                <w:color w:val="FFFFFF"/>
                <w:sz w:val="19"/>
              </w:rPr>
              <w:t>Title</w:t>
            </w:r>
          </w:p>
        </w:tc>
        <w:tc>
          <w:tcPr>
            <w:tcW w:type="dxa" w:w="2412"/>
            <w:shd w:val="clear" w:fill="16622E"/>
          </w:tcPr>
          <w:p>
            <w:r/>
            <w:r>
              <w:rPr>
                <w:b/>
                <w:color w:val="FFFFFF"/>
                <w:sz w:val="19"/>
              </w:rPr>
              <w:t>Content / visual</w:t>
            </w:r>
          </w:p>
        </w:tc>
        <w:tc>
          <w:tcPr>
            <w:tcW w:type="dxa" w:w="2412"/>
            <w:shd w:val="clear" w:fill="16622E"/>
          </w:tcPr>
          <w:p>
            <w:r/>
            <w:r>
              <w:rPr>
                <w:b/>
                <w:color w:val="FFFFFF"/>
                <w:sz w:val="19"/>
              </w:rPr>
              <w:t>Time</w:t>
            </w:r>
          </w:p>
        </w:tc>
      </w:tr>
      <w:tr>
        <w:tc>
          <w:tcPr>
            <w:tcW w:type="dxa" w:w="2412"/>
          </w:tcPr>
          <w:p>
            <w:r/>
            <w:r>
              <w:rPr>
                <w:b/>
                <w:sz w:val="19"/>
              </w:rPr>
              <w:t>1</w:t>
            </w:r>
          </w:p>
        </w:tc>
        <w:tc>
          <w:tcPr>
            <w:tcW w:type="dxa" w:w="2412"/>
          </w:tcPr>
          <w:p>
            <w:r/>
            <w:r>
              <w:rPr>
                <w:sz w:val="19"/>
              </w:rPr>
              <w:t>Title &amp; Problem</w:t>
            </w:r>
          </w:p>
        </w:tc>
        <w:tc>
          <w:tcPr>
            <w:tcW w:type="dxa" w:w="2412"/>
          </w:tcPr>
          <w:p>
            <w:r/>
            <w:r>
              <w:rPr>
                <w:sz w:val="19"/>
              </w:rPr>
              <w:t>Chhattisgarh SOC crisis, stubble burning, SHC gap</w:t>
            </w:r>
          </w:p>
        </w:tc>
        <w:tc>
          <w:tcPr>
            <w:tcW w:type="dxa" w:w="2412"/>
          </w:tcPr>
          <w:p>
            <w:r/>
            <w:r>
              <w:rPr>
                <w:sz w:val="19"/>
              </w:rPr>
              <w:t>0:00–0:30</w:t>
            </w:r>
          </w:p>
        </w:tc>
      </w:tr>
      <w:tr>
        <w:tc>
          <w:tcPr>
            <w:tcW w:type="dxa" w:w="2412"/>
          </w:tcPr>
          <w:p>
            <w:r/>
            <w:r>
              <w:rPr>
                <w:b/>
                <w:sz w:val="19"/>
              </w:rPr>
              <w:t>2</w:t>
            </w:r>
          </w:p>
        </w:tc>
        <w:tc>
          <w:tcPr>
            <w:tcW w:type="dxa" w:w="2412"/>
          </w:tcPr>
          <w:p>
            <w:r/>
            <w:r>
              <w:rPr>
                <w:sz w:val="19"/>
              </w:rPr>
              <w:t>Methodology</w:t>
            </w:r>
          </w:p>
        </w:tc>
        <w:tc>
          <w:tcPr>
            <w:tcW w:type="dxa" w:w="2412"/>
          </w:tcPr>
          <w:p>
            <w:r/>
            <w:r>
              <w:rPr>
                <w:sz w:val="19"/>
              </w:rPr>
              <w:t>Sentinel-2 → NDVI/BSI mask → RF (no leakage) → 10m map</w:t>
            </w:r>
          </w:p>
        </w:tc>
        <w:tc>
          <w:tcPr>
            <w:tcW w:type="dxa" w:w="2412"/>
          </w:tcPr>
          <w:p>
            <w:r/>
            <w:r>
              <w:rPr>
                <w:sz w:val="19"/>
              </w:rPr>
              <w:t>0:30–1:15</w:t>
            </w:r>
          </w:p>
        </w:tc>
      </w:tr>
      <w:tr>
        <w:tc>
          <w:tcPr>
            <w:tcW w:type="dxa" w:w="2412"/>
          </w:tcPr>
          <w:p>
            <w:r/>
            <w:r>
              <w:rPr>
                <w:b/>
                <w:sz w:val="19"/>
              </w:rPr>
              <w:t>3</w:t>
            </w:r>
          </w:p>
        </w:tc>
        <w:tc>
          <w:tcPr>
            <w:tcW w:type="dxa" w:w="2412"/>
          </w:tcPr>
          <w:p>
            <w:r/>
            <w:r>
              <w:rPr>
                <w:sz w:val="19"/>
              </w:rPr>
              <w:t>Results</w:t>
            </w:r>
          </w:p>
        </w:tc>
        <w:tc>
          <w:tcPr>
            <w:tcW w:type="dxa" w:w="2412"/>
          </w:tcPr>
          <w:p>
            <w:r/>
            <w:r>
              <w:rPr>
                <w:sz w:val="19"/>
              </w:rPr>
              <w:t>22,702 ha evaluated · 4,441 ha high deficiency · maps</w:t>
            </w:r>
          </w:p>
        </w:tc>
        <w:tc>
          <w:tcPr>
            <w:tcW w:type="dxa" w:w="2412"/>
          </w:tcPr>
          <w:p>
            <w:r/>
            <w:r>
              <w:rPr>
                <w:sz w:val="19"/>
              </w:rPr>
              <w:t>1:15–1:45</w:t>
            </w:r>
          </w:p>
        </w:tc>
      </w:tr>
      <w:tr>
        <w:tc>
          <w:tcPr>
            <w:tcW w:type="dxa" w:w="2412"/>
          </w:tcPr>
          <w:p>
            <w:r/>
            <w:r>
              <w:rPr>
                <w:b/>
                <w:sz w:val="19"/>
              </w:rPr>
              <w:t>4</w:t>
            </w:r>
          </w:p>
        </w:tc>
        <w:tc>
          <w:tcPr>
            <w:tcW w:type="dxa" w:w="2412"/>
          </w:tcPr>
          <w:p>
            <w:r/>
            <w:r>
              <w:rPr>
                <w:sz w:val="19"/>
              </w:rPr>
              <w:t>Advisory</w:t>
            </w:r>
          </w:p>
        </w:tc>
        <w:tc>
          <w:tcPr>
            <w:tcW w:type="dxa" w:w="2412"/>
          </w:tcPr>
          <w:p>
            <w:r/>
            <w:r>
              <w:rPr>
                <w:sz w:val="19"/>
              </w:rPr>
              <w:t>Top sectors + clay-sensitive FYM dosages</w:t>
            </w:r>
          </w:p>
        </w:tc>
        <w:tc>
          <w:tcPr>
            <w:tcW w:type="dxa" w:w="2412"/>
          </w:tcPr>
          <w:p>
            <w:r/>
            <w:r>
              <w:rPr>
                <w:sz w:val="19"/>
              </w:rPr>
              <w:t>1:45–2:15</w:t>
            </w:r>
          </w:p>
        </w:tc>
      </w:tr>
      <w:tr>
        <w:tc>
          <w:tcPr>
            <w:tcW w:type="dxa" w:w="2412"/>
          </w:tcPr>
          <w:p>
            <w:r/>
            <w:r>
              <w:rPr>
                <w:b/>
                <w:sz w:val="19"/>
              </w:rPr>
              <w:t>5</w:t>
            </w:r>
          </w:p>
        </w:tc>
        <w:tc>
          <w:tcPr>
            <w:tcW w:type="dxa" w:w="2412"/>
          </w:tcPr>
          <w:p>
            <w:r/>
            <w:r>
              <w:rPr>
                <w:sz w:val="19"/>
              </w:rPr>
              <w:t>Validation &amp; Impact</w:t>
            </w:r>
          </w:p>
        </w:tc>
        <w:tc>
          <w:tcPr>
            <w:tcW w:type="dxa" w:w="2412"/>
          </w:tcPr>
          <w:p>
            <w:r/>
            <w:r>
              <w:rPr>
                <w:sz w:val="19"/>
              </w:rPr>
              <w:t>Bhuvan LULC 82.4% · offline · societal benefit</w:t>
            </w:r>
          </w:p>
        </w:tc>
        <w:tc>
          <w:tcPr>
            <w:tcW w:type="dxa" w:w="2412"/>
          </w:tcPr>
          <w:p>
            <w:r/>
            <w:r>
              <w:rPr>
                <w:sz w:val="19"/>
              </w:rPr>
              <w:t>2:15–3:00</w:t>
            </w:r>
          </w:p>
        </w:tc>
      </w:tr>
    </w:tbl>
    <w:p/>
    <w:p>
      <w:pPr>
        <w:pStyle w:val="Heading1"/>
      </w:pPr>
      <w:r>
        <w:rPr>
          <w:color w:val="16622E"/>
        </w:rPr>
        <w:t>2. The 2-minute pitch (word-for-word)</w:t>
      </w:r>
    </w:p>
    <w:p>
      <w:r>
        <w:rPr>
          <w:b/>
          <w:i w:val="0"/>
        </w:rPr>
        <w:t>[0:00–0:30] Hook &amp; crisis:</w:t>
      </w:r>
    </w:p>
    <w:p>
      <w:r>
        <w:rPr>
          <w:b w:val="0"/>
          <w:i w:val="0"/>
        </w:rPr>
        <w:t>"Respected judges, Chhattisgarh is the rice bowl of India. But after every harvest, millions of hectares of topsoil lose organic carbon to summer heat and stubble burning. Traditional soil cards sample just one point per 10 hectares every three years — farmers stay blind to degradation."</w:t>
      </w:r>
    </w:p>
    <w:p>
      <w:r>
        <w:rPr>
          <w:b/>
          <w:i w:val="0"/>
        </w:rPr>
        <w:t>[0:30–1:15] Solution &amp; demo:</w:t>
      </w:r>
    </w:p>
    <w:p>
      <w:r>
        <w:rPr>
          <w:b w:val="0"/>
          <w:i w:val="0"/>
        </w:rPr>
        <w:t>"SoilGuard-CG fixes this with one terminal command. It ingests 10m Sentinel-2 imagery, filters 2.27 million bare-soil pixels, trains a leakage-free Random Forest, and renders SOC deficiency maps in about a minute — 100% offline."</w:t>
      </w:r>
    </w:p>
    <w:p>
      <w:r>
        <w:rPr>
          <w:b/>
          <w:i w:val="0"/>
        </w:rPr>
        <w:t>[1:15–1:45] Results:</w:t>
      </w:r>
    </w:p>
    <w:p>
      <w:r>
        <w:rPr>
          <w:b w:val="0"/>
          <w:i w:val="0"/>
        </w:rPr>
        <w:t>"Across 22,700 hectares we found 19.6% of topsoil — over 4,400 hectares — in critical SOC deficiency, concentrated in Arang and Abhanpur blocks. The map shows exactly where."</w:t>
      </w:r>
    </w:p>
    <w:p>
      <w:r>
        <w:rPr>
          <w:b/>
          <w:i w:val="0"/>
        </w:rPr>
        <w:t>[1:45–2:00] Impact &amp; close:</w:t>
      </w:r>
    </w:p>
    <w:p>
      <w:r>
        <w:rPr>
          <w:b w:val="0"/>
          <w:i w:val="0"/>
        </w:rPr>
        <w:t>"We then attach clay-sensitive advisories — 10–12 tonnes of FYM per hectare — and validate against ISRO Bhuvan baselines. Space data, offline, in farmers' hands. Thank you."</w:t>
      </w:r>
    </w:p>
    <w:p>
      <w:pPr>
        <w:pStyle w:val="Heading1"/>
      </w:pPr>
      <w:r>
        <w:rPr>
          <w:color w:val="16622E"/>
        </w:rPr>
        <w:t>3. The 5-minute version (add these segments)</w:t>
      </w:r>
    </w:p>
    <w:p>
      <w:pPr>
        <w:pStyle w:val="ListBullet"/>
      </w:pPr>
      <w:r>
        <w:t>Add the SHC cost argument: ₹2,000–3,000 per sample vs zero-cost satellite revisits every 5 days.</w:t>
      </w:r>
    </w:p>
    <w:p>
      <w:pPr>
        <w:pStyle w:val="ListBullet"/>
      </w:pPr>
      <w:r>
        <w:t>Whiteboard the formulas: NDVI, BSI, and y = 0.60·(1−SOC) + 0.40·BSI.</w:t>
      </w:r>
    </w:p>
    <w:p>
      <w:pPr>
        <w:pStyle w:val="ListBullet"/>
      </w:pPr>
      <w:r>
        <w:t>Explain the zero-leakage design and the R² = 0.45 literature benchmark (Castaldi 2019, Vaudour 2019, Gholizadeh 2018).</w:t>
      </w:r>
    </w:p>
    <w:p>
      <w:pPr>
        <w:pStyle w:val="ListBullet"/>
      </w:pPr>
      <w:r>
        <w:t>Walk one sector end-to-end: Arang B-1 → risk 0.66 → high-def 946 ha → 10–12 t/ha FYM prescription.</w:t>
      </w:r>
    </w:p>
    <w:p>
      <w:pPr>
        <w:pStyle w:val="ListBullet"/>
      </w:pPr>
      <w:r>
        <w:t>Demo the live pipeline (demo.bat) during the methodology segment.</w:t>
      </w:r>
    </w:p>
    <w:p>
      <w:pPr>
        <w:pStyle w:val="Heading1"/>
      </w:pPr>
      <w:r>
        <w:rPr>
          <w:color w:val="16622E"/>
        </w:rPr>
        <w:t>4. Delivery tips</w:t>
      </w:r>
    </w:p>
    <w:p>
      <w:pPr>
        <w:pStyle w:val="ListBullet"/>
      </w:pPr>
      <w:r>
        <w:t>Open with the crisis, not the tech. Tech impresses after the problem is felt.</w:t>
      </w:r>
    </w:p>
    <w:p>
      <w:pPr>
        <w:pStyle w:val="ListBullet"/>
      </w:pPr>
      <w:r>
        <w:t>When showing the map, point at the red (high-deficiency) zones — make it visual.</w:t>
      </w:r>
    </w:p>
    <w:p>
      <w:pPr>
        <w:pStyle w:val="ListBullet"/>
      </w:pPr>
      <w:r>
        <w:t>If asked about R²: smile and call it 'honest physics' — see the Q&amp;A doc.</w:t>
      </w:r>
    </w:p>
    <w:p>
      <w:pPr>
        <w:pStyle w:val="ListBullet"/>
      </w:pPr>
      <w:r>
        <w:t>Finish with the offline capability: 'a district officer can run this on a basic laptop, no internet.'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