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6622E"/>
          <w:sz w:val="80"/>
        </w:rPr>
        <w:t>SoilGuard-CG</w:t>
      </w:r>
    </w:p>
    <w:p>
      <w:pPr>
        <w:jc w:val="center"/>
      </w:pPr>
      <w:r>
        <w:rPr>
          <w:b/>
          <w:color w:val="111827"/>
          <w:sz w:val="44"/>
        </w:rPr>
        <w:t>Judges Q&amp;A Masterclass</w:t>
      </w:r>
    </w:p>
    <w:p>
      <w:pPr>
        <w:jc w:val="center"/>
      </w:pPr>
      <w:r>
        <w:rPr>
          <w:i/>
          <w:color w:val="0E74BC"/>
          <w:sz w:val="26"/>
        </w:rPr>
        <w:t>The 12 hardest questions, with winning answers</w:t>
      </w:r>
    </w:p>
    <w:p/>
    <w:p>
      <w:pPr>
        <w:jc w:val="center"/>
      </w:pPr>
      <w:r>
        <w:rPr>
          <w:color w:val="555B66"/>
          <w:sz w:val="22"/>
        </w:rPr>
        <w:t>From the master study guide — updated with live pipeline numbers</w:t>
      </w:r>
    </w:p>
    <w:p>
      <w:r>
        <w:br w:type="page"/>
      </w:r>
    </w:p>
    <w:p>
      <w:pPr>
        <w:pStyle w:val="Heading2"/>
      </w:pPr>
      <w:r>
        <w:rPr>
          <w:color w:val="111827"/>
        </w:rPr>
        <w:t>Q1 · In simple terms, what does your model predict?</w:t>
      </w:r>
    </w:p>
    <w:p>
      <w:r>
        <w:rPr>
          <w:b w:val="0"/>
          <w:i w:val="0"/>
        </w:rPr>
        <w:t>A continuous SOC Deficiency Index (0.0–1.0) at 10m resolution. Near 1.0 = severe organic-carbon depletion and thermal-oxidation risk; near 0.0 = stable carbon-rich soil. It pinpoints exactly where topsoil organic matter is missing so officers know where to apply FYM.</w:t>
      </w:r>
    </w:p>
    <w:p>
      <w:pPr>
        <w:pStyle w:val="Heading2"/>
      </w:pPr>
      <w:r>
        <w:rPr>
          <w:color w:val="111827"/>
        </w:rPr>
        <w:t>Q2 · Why SOC instead of generic 'soil health'?</w:t>
      </w:r>
    </w:p>
    <w:p>
      <w:r>
        <w:rPr>
          <w:b w:val="0"/>
          <w:i w:val="0"/>
        </w:rPr>
        <w:t>Generic soil health is too vague to fund. SOC is the single most critical indicator of fertility, moisture retention and structure in Chhattisgarh, and it aligns with National Carbon Credit &amp; Green Credit initiatives. It lets us give exact dosages (10–12 t/ha FYM).</w:t>
      </w:r>
    </w:p>
    <w:p>
      <w:pPr>
        <w:pStyle w:val="Heading2"/>
      </w:pPr>
      <w:r>
        <w:rPr>
          <w:color w:val="111827"/>
        </w:rPr>
        <w:t>Q3 · How is this better than government Soil Health Cards?</w:t>
      </w:r>
    </w:p>
    <w:p>
      <w:r>
        <w:rPr>
          <w:b w:val="0"/>
          <w:i w:val="0"/>
        </w:rPr>
        <w:t>SHC samples 1 point per 10 ha every 3 years at ₹2,000–3,000/sample. We evaluate every 10m × 10m cell using free Sentinel-2 data refreshed every 5 days — a satellite guidance system that tells sampling teams exactly where to go. We complement, not replace, lab testing.</w:t>
      </w:r>
    </w:p>
    <w:p>
      <w:pPr>
        <w:pStyle w:val="Heading2"/>
      </w:pPr>
      <w:r>
        <w:rPr>
          <w:color w:val="111827"/>
        </w:rPr>
        <w:t>Q4 · Optical satellites only see the surface. How do you measure SOC?</w:t>
      </w:r>
    </w:p>
    <w:p>
      <w:r>
        <w:rPr>
          <w:b w:val="0"/>
          <w:i w:val="0"/>
        </w:rPr>
        <w:t>Crucial distinction: we model topsoil (0–15 cm) deficiency via SWIR1/B11 optical reflectance — carbon-rich soils absorb SWIR, depleted bare soils reflect it. We target dry post-harvest windows when fields are bare.</w:t>
      </w:r>
    </w:p>
    <w:p>
      <w:pPr>
        <w:pStyle w:val="Heading2"/>
      </w:pPr>
      <w:r>
        <w:rPr>
          <w:color w:val="111827"/>
        </w:rPr>
        <w:t>Q5 · What is your ground truth, and did you avoid target leakage?</w:t>
      </w:r>
    </w:p>
    <w:p>
      <w:r>
        <w:rPr>
          <w:b w:val="0"/>
          <w:i w:val="0"/>
        </w:rPr>
        <w:t>Ground truth = SoilGrids SOC deficit (60%) blended with satellite BSI exposure (40%). Raw SoilGrids SOC is 100% excluded from features X; the model trains on 9 spectral inputs only, forcing it to learn true optical physics instead of memorising static maps.</w:t>
      </w:r>
    </w:p>
    <w:p>
      <w:pPr>
        <w:pStyle w:val="Heading2"/>
      </w:pPr>
      <w:r>
        <w:rPr>
          <w:color w:val="111827"/>
        </w:rPr>
        <w:t>Q6 · Can this run in remote district offices without internet?</w:t>
      </w:r>
    </w:p>
    <w:p>
      <w:r>
        <w:rPr>
          <w:b w:val="0"/>
          <w:i w:val="0"/>
        </w:rPr>
        <w:t>Yes — the pipeline is 100% offline-first: cached Cloud-Optimized GeoTIFFs, local ML inference, maps and reports generated in under a minute on a basic laptop.</w:t>
      </w:r>
    </w:p>
    <w:p>
      <w:pPr>
        <w:pStyle w:val="Heading2"/>
      </w:pPr>
      <w:r>
        <w:rPr>
          <w:color w:val="111827"/>
        </w:rPr>
        <w:t>Q7 · What are your main limitations?</w:t>
      </w:r>
    </w:p>
    <w:p>
      <w:r>
        <w:rPr>
          <w:b w:val="0"/>
          <w:i w:val="0"/>
        </w:rPr>
        <w:t>Three honest ones: (1) requires bare/sparse soil (NDVI ≤ 0.30) — best in post-harvest windows; (2) optical sensing covers topsoil 0–15 cm, not deep carbon (needs radar/cores); (3) it is a spatial-prioritisation proxy, not a replacement for wet-chemistry assays.</w:t>
      </w:r>
    </w:p>
    <w:p>
      <w:pPr>
        <w:pStyle w:val="Heading2"/>
      </w:pPr>
      <w:r>
        <w:rPr>
          <w:color w:val="111827"/>
        </w:rPr>
        <w:t>Q8 · Why Random Forest and not deep learning / CNN?</w:t>
      </w:r>
    </w:p>
    <w:p>
      <w:r>
        <w:rPr>
          <w:b w:val="0"/>
          <w:i w:val="0"/>
        </w:rPr>
        <w:t>For tabular pixel-level multispectral data over a regional extent, RF avoids overfitting, runs in seconds, and gives explicit feature-importance interpretability (SWIR1 dominates). It runs offline on low-spec field computers — CNNs would need heavy GPUs.</w:t>
      </w:r>
    </w:p>
    <w:p>
      <w:pPr>
        <w:pStyle w:val="Heading2"/>
      </w:pPr>
      <w:r>
        <w:rPr>
          <w:color w:val="111827"/>
        </w:rPr>
        <w:t>Q9 · How would a district collector actually use the output?</w:t>
      </w:r>
    </w:p>
    <w:p>
      <w:r>
        <w:rPr>
          <w:b w:val="0"/>
          <w:i w:val="0"/>
        </w:rPr>
        <w:t>Two artifacts: the Zonal Priority Ranking CSV (which block first — e.g., Arang B-1) and the Advisory CSV (how many tonnes of FYM/biochar to distribute in each block under PMKSY/RKVY).</w:t>
      </w:r>
    </w:p>
    <w:p>
      <w:pPr>
        <w:pStyle w:val="Heading2"/>
      </w:pPr>
      <w:r>
        <w:rPr>
          <w:color w:val="111827"/>
        </w:rPr>
        <w:t>Q10 · How does this align with ISRO's mission and National Space Day?</w:t>
      </w:r>
    </w:p>
    <w:p>
      <w:r>
        <w:rPr>
          <w:b w:val="0"/>
          <w:i w:val="0"/>
        </w:rPr>
        <w:t>It turns open Earth Observation data into operational agricultural intelligence — exactly ISRO's EO-for-society goal: protecting topsoil health, climate resilience, and farmer livelihoods.</w:t>
      </w:r>
    </w:p>
    <w:p>
      <w:pPr>
        <w:pStyle w:val="Heading2"/>
      </w:pPr>
      <w:r>
        <w:rPr>
          <w:color w:val="111827"/>
        </w:rPr>
        <w:t>Q11 · Is R² ≈ 0.45 too low? Why not 0.90+?</w:t>
      </w:r>
    </w:p>
    <w:p>
      <w:r>
        <w:rPr>
          <w:b w:val="0"/>
          <w:i w:val="0"/>
        </w:rPr>
        <w:t>No — the peer-reviewed benchmark for un-leakaged optical topsoil-carbon regression is R² ∈ [0.35, 0.55] (Castaldi 2019; Vaudour 2019; Gholizadeh 2018). Claims of R² ≥ 0.90 usually leak the target into X. Our R² is honest, generalising optical physics.</w:t>
      </w:r>
    </w:p>
    <w:p>
      <w:pPr>
        <w:pStyle w:val="Heading2"/>
      </w:pPr>
      <w:r>
        <w:rPr>
          <w:color w:val="111827"/>
        </w:rPr>
        <w:t>Q12 · How do you cross-validate against official ISRO data?</w:t>
      </w:r>
    </w:p>
    <w:p>
      <w:r>
        <w:rPr>
          <w:b w:val="0"/>
          <w:i w:val="0"/>
        </w:rPr>
        <w:t>We validate the 48.96% bare-soil share against ISRO Bhuvan 1:50,000 LULC cropland baselines (≈82.4% agricultural cropland), and use Bhuvan Village Geocoding to attach advisories to official Gram Panchayats (Chandkhuri, Kendri, Nawapara).</w:t>
      </w:r>
    </w:p>
    <w:p>
      <w:pPr>
        <w:pStyle w:val="Heading1"/>
      </w:pPr>
      <w:r>
        <w:rPr>
          <w:color w:val="16622E"/>
        </w:rPr>
        <w:t>Bonus: follow-up one-liners</w:t>
      </w:r>
    </w:p>
    <w:p>
      <w:pPr>
        <w:pStyle w:val="ListBullet"/>
      </w:pPr>
      <w:r>
        <w:t>"How long did training take?"  →  Full pipeline ≈41 s recorded; training itself is seconds on 100k samples (first run may take ~1–2 min on a laptop).</w:t>
      </w:r>
    </w:p>
    <w:p>
      <w:pPr>
        <w:pStyle w:val="ListBullet"/>
      </w:pPr>
      <w:r>
        <w:t>"What would you add next?"  →  Multi-date compositing, SAR for deep carbon, and an API/field app.</w:t>
      </w:r>
    </w:p>
    <w:p>
      <w:pPr>
        <w:pStyle w:val="ListBullet"/>
      </w:pPr>
      <w:r>
        <w:t>"Is the data real?"  →  Yes — Sentinel-2 L2A and SoilGrids, cached offline in data/golden/.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