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674D4" w14:textId="77777777" w:rsidR="00AA0C4B" w:rsidRPr="00A96CD9" w:rsidRDefault="00A63361" w:rsidP="00B32C4C">
      <w:pPr>
        <w:spacing w:after="40"/>
        <w:jc w:val="center"/>
        <w:rPr>
          <w:sz w:val="20"/>
          <w:szCs w:val="24"/>
        </w:rPr>
      </w:pPr>
      <w:r w:rsidRPr="00A96CD9">
        <w:rPr>
          <w:b/>
          <w:color w:val="1B365D"/>
          <w:sz w:val="36"/>
          <w:szCs w:val="24"/>
        </w:rPr>
        <w:t>EXECUTIVE BUSINESS PERFORMANCE SUMMARY</w:t>
      </w:r>
    </w:p>
    <w:p w14:paraId="453CC57B" w14:textId="432B17CF" w:rsidR="00AA0C4B" w:rsidRPr="00A96CD9" w:rsidRDefault="00AA0C4B" w:rsidP="00A63361">
      <w:pPr>
        <w:spacing w:after="160"/>
        <w:rPr>
          <w:sz w:val="20"/>
          <w:szCs w:val="24"/>
        </w:rPr>
      </w:pPr>
    </w:p>
    <w:p w14:paraId="4770CFB5" w14:textId="77777777" w:rsidR="00AA0C4B" w:rsidRPr="00A96CD9" w:rsidRDefault="00A63361" w:rsidP="00A63361">
      <w:pPr>
        <w:spacing w:after="160" w:line="360" w:lineRule="auto"/>
        <w:rPr>
          <w:sz w:val="20"/>
          <w:szCs w:val="24"/>
        </w:rPr>
      </w:pPr>
      <w:r w:rsidRPr="00A96CD9">
        <w:rPr>
          <w:sz w:val="20"/>
          <w:szCs w:val="24"/>
        </w:rPr>
        <w:t>This report outlines core financial performance and operational metrics across catalog lines and geographic sales regions. While top-line gross revenue demonstrates stable customer demand at $1,305,340.64, company net profit of $286,013.82 (21.91% net margin) reflects severe margin compression caused by unconstrained discounting in specific sub-categories and territories.</w:t>
      </w:r>
    </w:p>
    <w:p w14:paraId="4DDD2C4B" w14:textId="77777777" w:rsidR="00AA0C4B" w:rsidRPr="00A96CD9" w:rsidRDefault="00A63361" w:rsidP="00A63361">
      <w:pPr>
        <w:spacing w:before="80" w:after="80" w:line="360" w:lineRule="auto"/>
        <w:rPr>
          <w:sz w:val="20"/>
          <w:szCs w:val="24"/>
        </w:rPr>
      </w:pPr>
      <w:r w:rsidRPr="00A96CD9">
        <w:rPr>
          <w:b/>
          <w:color w:val="1B365D"/>
          <w:sz w:val="24"/>
          <w:szCs w:val="24"/>
        </w:rPr>
        <w:t>Key Financial &amp; Operational Metrics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312"/>
        <w:gridCol w:w="4032"/>
      </w:tblGrid>
      <w:tr w:rsidR="00AA0C4B" w:rsidRPr="00A96CD9" w14:paraId="33538151" w14:textId="77777777">
        <w:trPr>
          <w:jc w:val="center"/>
        </w:trPr>
        <w:tc>
          <w:tcPr>
            <w:tcW w:w="302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F91569" w14:textId="77777777" w:rsidR="00AA0C4B" w:rsidRPr="00A96CD9" w:rsidRDefault="00A63361" w:rsidP="00A63361">
            <w:pPr>
              <w:spacing w:line="360" w:lineRule="auto"/>
              <w:jc w:val="center"/>
              <w:rPr>
                <w:sz w:val="22"/>
                <w:szCs w:val="28"/>
              </w:rPr>
            </w:pPr>
            <w:r w:rsidRPr="00A96CD9">
              <w:rPr>
                <w:b/>
                <w:color w:val="FFFFFF"/>
                <w:sz w:val="22"/>
                <w:szCs w:val="28"/>
              </w:rPr>
              <w:t>Metric / Question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B720A8" w14:textId="77777777" w:rsidR="00AA0C4B" w:rsidRPr="00A96CD9" w:rsidRDefault="00A63361" w:rsidP="00A63361">
            <w:pPr>
              <w:spacing w:line="360" w:lineRule="auto"/>
              <w:jc w:val="center"/>
              <w:rPr>
                <w:sz w:val="22"/>
                <w:szCs w:val="28"/>
              </w:rPr>
            </w:pPr>
            <w:r w:rsidRPr="00A96CD9">
              <w:rPr>
                <w:b/>
                <w:color w:val="FFFFFF"/>
                <w:sz w:val="22"/>
                <w:szCs w:val="28"/>
              </w:rPr>
              <w:t>Exact Figure</w:t>
            </w:r>
          </w:p>
        </w:tc>
        <w:tc>
          <w:tcPr>
            <w:tcW w:w="403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6C99C1" w14:textId="77777777" w:rsidR="00AA0C4B" w:rsidRPr="00A96CD9" w:rsidRDefault="00A63361" w:rsidP="00A63361">
            <w:pPr>
              <w:spacing w:line="360" w:lineRule="auto"/>
              <w:jc w:val="center"/>
              <w:rPr>
                <w:sz w:val="22"/>
                <w:szCs w:val="28"/>
              </w:rPr>
            </w:pPr>
            <w:r w:rsidRPr="00A96CD9">
              <w:rPr>
                <w:b/>
                <w:color w:val="FFFFFF"/>
                <w:sz w:val="22"/>
                <w:szCs w:val="28"/>
              </w:rPr>
              <w:t>Operational Context</w:t>
            </w:r>
          </w:p>
        </w:tc>
      </w:tr>
      <w:tr w:rsidR="00AA0C4B" w:rsidRPr="00A96CD9" w14:paraId="0E74C908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4D22D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b/>
                <w:sz w:val="18"/>
                <w:szCs w:val="24"/>
              </w:rPr>
              <w:t>1. Total Revenue &amp; Profit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FC257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sz w:val="18"/>
                <w:szCs w:val="24"/>
              </w:rPr>
              <w:t>Sales: $1,305,340.64</w:t>
            </w:r>
            <w:r w:rsidRPr="00A96CD9">
              <w:rPr>
                <w:sz w:val="18"/>
                <w:szCs w:val="24"/>
              </w:rPr>
              <w:br/>
              <w:t>Profit: $286,013.82 (21.91% Margin)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F7412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sz w:val="18"/>
                <w:szCs w:val="24"/>
              </w:rPr>
              <w:t>Baseline top-line volume is sound, but net return is constrained by high discounting.</w:t>
            </w:r>
          </w:p>
        </w:tc>
      </w:tr>
      <w:tr w:rsidR="00AA0C4B" w:rsidRPr="00A96CD9" w14:paraId="39E41D4A" w14:textId="77777777">
        <w:trPr>
          <w:jc w:val="center"/>
        </w:trPr>
        <w:tc>
          <w:tcPr>
            <w:tcW w:w="3024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1005D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b/>
                <w:sz w:val="18"/>
                <w:szCs w:val="24"/>
              </w:rPr>
              <w:t>2. Most Profitable Category</w:t>
            </w:r>
          </w:p>
        </w:tc>
        <w:tc>
          <w:tcPr>
            <w:tcW w:w="3312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7BC11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sz w:val="18"/>
                <w:szCs w:val="24"/>
              </w:rPr>
              <w:t>Technology</w:t>
            </w:r>
            <w:r w:rsidRPr="00A96CD9">
              <w:rPr>
                <w:sz w:val="18"/>
                <w:szCs w:val="24"/>
              </w:rPr>
              <w:br/>
              <w:t>Profit: $145,386.13 (37.86% Margin)</w:t>
            </w:r>
          </w:p>
        </w:tc>
        <w:tc>
          <w:tcPr>
            <w:tcW w:w="4032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68834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sz w:val="18"/>
                <w:szCs w:val="24"/>
              </w:rPr>
              <w:t>Delivered the highest bottom-line dollar return on $384,010.72 in sales.</w:t>
            </w:r>
          </w:p>
        </w:tc>
      </w:tr>
      <w:tr w:rsidR="00AA0C4B" w:rsidRPr="00A96CD9" w14:paraId="5A619CA8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47705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b/>
                <w:sz w:val="18"/>
                <w:szCs w:val="24"/>
              </w:rPr>
              <w:t>3. Lowest-Performing Region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7048A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sz w:val="18"/>
                <w:szCs w:val="24"/>
              </w:rPr>
              <w:t>Central Region</w:t>
            </w:r>
            <w:r w:rsidRPr="00A96CD9">
              <w:rPr>
                <w:sz w:val="18"/>
                <w:szCs w:val="24"/>
              </w:rPr>
              <w:br/>
              <w:t>Margin: 13.12% ($39,706.36 Profit)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5D037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sz w:val="18"/>
                <w:szCs w:val="24"/>
              </w:rPr>
              <w:t>Trails company benchmark due to excessive price concessions on $302,751.41 sales.</w:t>
            </w:r>
          </w:p>
        </w:tc>
      </w:tr>
      <w:tr w:rsidR="00AA0C4B" w:rsidRPr="00A96CD9" w14:paraId="64D5440E" w14:textId="77777777">
        <w:trPr>
          <w:jc w:val="center"/>
        </w:trPr>
        <w:tc>
          <w:tcPr>
            <w:tcW w:w="3024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3B3B1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b/>
                <w:sz w:val="18"/>
                <w:szCs w:val="24"/>
              </w:rPr>
              <w:t>4. Loss-Making Order Share</w:t>
            </w:r>
          </w:p>
        </w:tc>
        <w:tc>
          <w:tcPr>
            <w:tcW w:w="3312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18544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sz w:val="18"/>
                <w:szCs w:val="24"/>
              </w:rPr>
              <w:t>20.40% of Orders</w:t>
            </w:r>
            <w:r w:rsidRPr="00A96CD9">
              <w:rPr>
                <w:sz w:val="18"/>
                <w:szCs w:val="24"/>
              </w:rPr>
              <w:br/>
              <w:t>(1,022 of 5,009 transactions)</w:t>
            </w:r>
          </w:p>
        </w:tc>
        <w:tc>
          <w:tcPr>
            <w:tcW w:w="4032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22DD7" w14:textId="77777777" w:rsidR="00AA0C4B" w:rsidRPr="00A96CD9" w:rsidRDefault="00A63361" w:rsidP="00A63361">
            <w:pPr>
              <w:spacing w:after="0" w:line="360" w:lineRule="auto"/>
              <w:rPr>
                <w:sz w:val="20"/>
                <w:szCs w:val="24"/>
              </w:rPr>
            </w:pPr>
            <w:r w:rsidRPr="00A96CD9">
              <w:rPr>
                <w:sz w:val="18"/>
                <w:szCs w:val="24"/>
              </w:rPr>
              <w:t>Roughly 1 in 5 orders generated negative net profit (evaluated across unique Order IDs).</w:t>
            </w:r>
          </w:p>
        </w:tc>
      </w:tr>
    </w:tbl>
    <w:p w14:paraId="64A0BAB4" w14:textId="77777777" w:rsidR="00AA0C4B" w:rsidRPr="00A96CD9" w:rsidRDefault="00AA0C4B" w:rsidP="00A63361">
      <w:pPr>
        <w:spacing w:after="80" w:line="360" w:lineRule="auto"/>
        <w:rPr>
          <w:sz w:val="20"/>
          <w:szCs w:val="24"/>
        </w:rPr>
      </w:pPr>
    </w:p>
    <w:p w14:paraId="052781A2" w14:textId="77777777" w:rsidR="00AA0C4B" w:rsidRPr="00A96CD9" w:rsidRDefault="00A63361" w:rsidP="00A63361">
      <w:pPr>
        <w:spacing w:before="80" w:after="80" w:line="360" w:lineRule="auto"/>
        <w:rPr>
          <w:sz w:val="20"/>
          <w:szCs w:val="24"/>
        </w:rPr>
      </w:pPr>
      <w:r w:rsidRPr="00A96CD9">
        <w:rPr>
          <w:b/>
          <w:color w:val="1B365D"/>
          <w:sz w:val="24"/>
          <w:szCs w:val="24"/>
        </w:rPr>
        <w:t>Actionable Recommendations to Improve Profit Margin</w:t>
      </w:r>
    </w:p>
    <w:p w14:paraId="57A4C917" w14:textId="77777777" w:rsidR="00AA0C4B" w:rsidRPr="00A96CD9" w:rsidRDefault="00A63361" w:rsidP="00A63361">
      <w:pPr>
        <w:spacing w:after="80" w:line="360" w:lineRule="auto"/>
        <w:rPr>
          <w:sz w:val="20"/>
          <w:szCs w:val="24"/>
        </w:rPr>
      </w:pPr>
      <w:r w:rsidRPr="00A96CD9">
        <w:rPr>
          <w:b/>
          <w:color w:val="1B365D"/>
          <w:sz w:val="20"/>
          <w:szCs w:val="24"/>
        </w:rPr>
        <w:t xml:space="preserve">1. Enforce Hard Discount Ceilings by Sub-Category: </w:t>
      </w:r>
      <w:r w:rsidRPr="00A96CD9">
        <w:rPr>
          <w:sz w:val="20"/>
          <w:szCs w:val="24"/>
        </w:rPr>
        <w:t>Loss-making orders stand at 20.40%, driven primarily by steep discounts (&gt;20%) on low-margin furniture and supply items. Establish an automated hard ceiling of 15% to 20% on vulnerable sub-categories (Tables, Supplies, Bookcases). Any discount beyond this must require formal Regional Director sign-off.</w:t>
      </w:r>
    </w:p>
    <w:p w14:paraId="67C35BC2" w14:textId="77777777" w:rsidR="00AA0C4B" w:rsidRPr="00A96CD9" w:rsidRDefault="00A63361" w:rsidP="00A63361">
      <w:pPr>
        <w:spacing w:after="0" w:line="360" w:lineRule="auto"/>
        <w:rPr>
          <w:sz w:val="20"/>
          <w:szCs w:val="24"/>
        </w:rPr>
      </w:pPr>
      <w:r w:rsidRPr="00A96CD9">
        <w:rPr>
          <w:b/>
          <w:color w:val="1B365D"/>
          <w:sz w:val="20"/>
          <w:szCs w:val="24"/>
        </w:rPr>
        <w:t xml:space="preserve">2. Restructure Incentive &amp; Bundling Strategy in the Central Region: </w:t>
      </w:r>
      <w:r w:rsidRPr="00A96CD9">
        <w:rPr>
          <w:sz w:val="20"/>
          <w:szCs w:val="24"/>
        </w:rPr>
        <w:t>With the Central region lagging at a 13.12% margin, transition sales rep compensation from raw volume to gross profit dollar contribution. Pair low-margin commodities with top-performing Technology products into mandatory value packages to secure minimum basket margin.</w:t>
      </w:r>
    </w:p>
    <w:sectPr w:rsidR="00AA0C4B" w:rsidRPr="00A96CD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3361"/>
    <w:rsid w:val="00A96CD9"/>
    <w:rsid w:val="00AA0C4B"/>
    <w:rsid w:val="00AA1D8D"/>
    <w:rsid w:val="00B32C4C"/>
    <w:rsid w:val="00B47730"/>
    <w:rsid w:val="00CB0664"/>
    <w:rsid w:val="00CB68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789B7"/>
  <w14:defaultImageDpi w14:val="300"/>
  <w15:docId w15:val="{7BB821EF-7603-43E6-8305-3F907366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5</cp:revision>
  <dcterms:created xsi:type="dcterms:W3CDTF">2013-12-23T23:15:00Z</dcterms:created>
  <dcterms:modified xsi:type="dcterms:W3CDTF">2026-09-11T12:29:00Z</dcterms:modified>
  <cp:category/>
</cp:coreProperties>
</file>