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GoalBridge</w:t>
      </w:r>
    </w:p>
    <w:p>
      <w:pPr>
        <w:jc w:val="center"/>
      </w:pPr>
      <w:r>
        <w:rPr>
          <w:b/>
          <w:sz w:val="30"/>
        </w:rPr>
        <w:t>Goal-Based Investment Planner</w:t>
      </w:r>
    </w:p>
    <w:p>
      <w:pPr>
        <w:jc w:val="center"/>
      </w:pPr>
      <w:r>
        <w:t>Final Capstone Report | Project Nexus - Module 5: No-Code AI Apps for Finance</w:t>
      </w:r>
    </w:p>
    <w:p>
      <w:pPr>
        <w:jc w:val="center"/>
      </w:pPr>
      <w:r>
        <w:t>Sudhir Sharma | September 2026</w:t>
      </w:r>
    </w:p>
    <w:p>
      <w:pPr>
        <w:pStyle w:val="Heading1"/>
      </w:pPr>
      <w:r>
        <w:t>1. Executive Summary</w:t>
      </w:r>
    </w:p>
    <w:p>
      <w:r>
        <w:t>GoalBridge is a responsive educational web application developed for a financial-literacy organisation serving first-time earners. It converts the present-day cost of a financial goal into an inflation-adjusted future target, projects the future value of existing savings, calculates the remaining funding gap, and estimates the monthly contribution required to address that gap. The application requires no registration, does not recommend products, does not guarantee returns, and does not persist scenario data.</w:t>
      </w:r>
    </w:p>
    <w:p>
      <w:r>
        <w:t>The mandatory calculator was completed and independently verified before optional extensions were added. The final version supports one Base Plan plus up to two Alternative Scenarios for the same goal, graphical and tabular comparison, neutral educational interpretation, and selective browser-native Print/Save. The application is version-controlled on GitHub and publicly deployed on Vercel.</w:t>
      </w:r>
    </w:p>
    <w:p>
      <w:pPr>
        <w:pStyle w:val="Heading1"/>
      </w:pPr>
      <w:r>
        <w:t>2. Problem, User and Planned Solution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FF7"/>
          </w:tcPr>
          <w:p>
            <w:pPr>
              <w:spacing w:after="0"/>
            </w:pPr>
            <w:r>
              <w:rPr>
                <w:b/>
              </w:rPr>
            </w:r>
            <w:r>
              <w:rPr>
                <w:rFonts w:ascii="Aptos" w:hAnsi="Aptos"/>
                <w:b/>
                <w:sz w:val="17"/>
              </w:rPr>
              <w:t>Planning Element</w:t>
            </w:r>
          </w:p>
        </w:tc>
        <w:tc>
          <w:tcPr>
            <w:tcW w:type="dxa" w:w="5184"/>
            <w:vAlign w:val="center"/>
            <w:shd w:fill="E9EFF7"/>
          </w:tcPr>
          <w:p>
            <w:pPr>
              <w:spacing w:after="0"/>
            </w:pPr>
            <w:r>
              <w:rPr>
                <w:b/>
              </w:rPr>
            </w:r>
            <w:r>
              <w:rPr>
                <w:rFonts w:ascii="Aptos" w:hAnsi="Aptos"/>
                <w:b/>
                <w:sz w:val="17"/>
              </w:rPr>
              <w:t>Defined Approach</w:t>
            </w:r>
          </w:p>
        </w:tc>
      </w:tr>
      <w:tr>
        <w:tc>
          <w:tcPr>
            <w:tcW w:type="dxa" w:w="5184"/>
            <w:vAlign w:val="center"/>
          </w:tcPr>
          <w:p>
            <w:pPr>
              <w:spacing w:after="0"/>
            </w:pPr>
            <w:r/>
            <w:r>
              <w:rPr>
                <w:rFonts w:ascii="Aptos" w:hAnsi="Aptos"/>
                <w:b/>
                <w:sz w:val="17"/>
              </w:rPr>
              <w:t>Client problem</w:t>
            </w:r>
          </w:p>
        </w:tc>
        <w:tc>
          <w:tcPr>
            <w:tcW w:type="dxa" w:w="5184"/>
            <w:vAlign w:val="center"/>
          </w:tcPr>
          <w:p>
            <w:pPr>
              <w:spacing w:after="0"/>
            </w:pPr>
            <w:r/>
            <w:r>
              <w:rPr>
                <w:rFonts w:ascii="Aptos" w:hAnsi="Aptos"/>
                <w:b w:val="0"/>
                <w:sz w:val="17"/>
              </w:rPr>
              <w:t>First-time earners may know a goal's approximate present cost but struggle to translate it into a practical monthly investment requirement.</w:t>
            </w:r>
          </w:p>
        </w:tc>
      </w:tr>
      <w:tr>
        <w:tc>
          <w:tcPr>
            <w:tcW w:type="dxa" w:w="5184"/>
            <w:vAlign w:val="center"/>
          </w:tcPr>
          <w:p>
            <w:pPr>
              <w:spacing w:after="0"/>
            </w:pPr>
            <w:r/>
            <w:r>
              <w:rPr>
                <w:rFonts w:ascii="Aptos" w:hAnsi="Aptos"/>
                <w:b/>
                <w:sz w:val="17"/>
              </w:rPr>
              <w:t>Target persona</w:t>
            </w:r>
          </w:p>
        </w:tc>
        <w:tc>
          <w:tcPr>
            <w:tcW w:type="dxa" w:w="5184"/>
            <w:vAlign w:val="center"/>
          </w:tcPr>
          <w:p>
            <w:pPr>
              <w:spacing w:after="0"/>
            </w:pPr>
            <w:r/>
            <w:r>
              <w:rPr>
                <w:rFonts w:ascii="Aptos" w:hAnsi="Aptos"/>
                <w:b w:val="0"/>
                <w:sz w:val="17"/>
              </w:rPr>
              <w:t>Age 20-30, limited investment knowledge, mobile-first usage, needs plain labels, INR formatting and simple explanation.</w:t>
            </w:r>
          </w:p>
        </w:tc>
      </w:tr>
      <w:tr>
        <w:tc>
          <w:tcPr>
            <w:tcW w:type="dxa" w:w="5184"/>
            <w:vAlign w:val="center"/>
          </w:tcPr>
          <w:p>
            <w:pPr>
              <w:spacing w:after="0"/>
            </w:pPr>
            <w:r/>
            <w:r>
              <w:rPr>
                <w:rFonts w:ascii="Aptos" w:hAnsi="Aptos"/>
                <w:b/>
                <w:sz w:val="17"/>
              </w:rPr>
              <w:t>Core journey</w:t>
            </w:r>
          </w:p>
        </w:tc>
        <w:tc>
          <w:tcPr>
            <w:tcW w:type="dxa" w:w="5184"/>
            <w:vAlign w:val="center"/>
          </w:tcPr>
          <w:p>
            <w:pPr>
              <w:spacing w:after="0"/>
            </w:pPr>
            <w:r/>
            <w:r>
              <w:rPr>
                <w:rFonts w:ascii="Aptos" w:hAnsi="Aptos"/>
                <w:b w:val="0"/>
                <w:sz w:val="17"/>
              </w:rPr>
              <w:t>No login -&gt; enter goal and assumptions -&gt; Calculate -&gt; review results and summary -&gt; change assumptions/recalculate -&gt; Reset.</w:t>
            </w:r>
          </w:p>
        </w:tc>
      </w:tr>
      <w:tr>
        <w:tc>
          <w:tcPr>
            <w:tcW w:type="dxa" w:w="5184"/>
            <w:vAlign w:val="center"/>
          </w:tcPr>
          <w:p>
            <w:pPr>
              <w:spacing w:after="0"/>
            </w:pPr>
            <w:r/>
            <w:r>
              <w:rPr>
                <w:rFonts w:ascii="Aptos" w:hAnsi="Aptos"/>
                <w:b/>
                <w:sz w:val="17"/>
              </w:rPr>
              <w:t>Required inputs</w:t>
            </w:r>
          </w:p>
        </w:tc>
        <w:tc>
          <w:tcPr>
            <w:tcW w:type="dxa" w:w="5184"/>
            <w:vAlign w:val="center"/>
          </w:tcPr>
          <w:p>
            <w:pPr>
              <w:spacing w:after="0"/>
            </w:pPr>
            <w:r/>
            <w:r>
              <w:rPr>
                <w:rFonts w:ascii="Aptos" w:hAnsi="Aptos"/>
                <w:b w:val="0"/>
                <w:sz w:val="17"/>
              </w:rPr>
              <w:t>Goal Name, Goal Amount Today, Current Savings, Years to Goal, Expected Annual Inflation, Expected Annual Investment Return.</w:t>
            </w:r>
          </w:p>
        </w:tc>
      </w:tr>
      <w:tr>
        <w:tc>
          <w:tcPr>
            <w:tcW w:type="dxa" w:w="5184"/>
            <w:vAlign w:val="center"/>
          </w:tcPr>
          <w:p>
            <w:pPr>
              <w:spacing w:after="0"/>
            </w:pPr>
            <w:r/>
            <w:r>
              <w:rPr>
                <w:rFonts w:ascii="Aptos" w:hAnsi="Aptos"/>
                <w:b/>
                <w:sz w:val="17"/>
              </w:rPr>
              <w:t>Required outputs</w:t>
            </w:r>
          </w:p>
        </w:tc>
        <w:tc>
          <w:tcPr>
            <w:tcW w:type="dxa" w:w="5184"/>
            <w:vAlign w:val="center"/>
          </w:tcPr>
          <w:p>
            <w:pPr>
              <w:spacing w:after="0"/>
            </w:pPr>
            <w:r/>
            <w:r>
              <w:rPr>
                <w:rFonts w:ascii="Aptos" w:hAnsi="Aptos"/>
                <w:b w:val="0"/>
                <w:sz w:val="17"/>
              </w:rPr>
              <w:t>Future Goal Cost, Future Value of Existing Savings, Funding Gap, Required Monthly Contribution, Total Monthly Contributions, Projected Investment Growth.</w:t>
            </w:r>
          </w:p>
        </w:tc>
      </w:tr>
    </w:tbl>
    <w:p>
      <w:pPr>
        <w:pStyle w:val="Heading1"/>
      </w:pPr>
      <w:r>
        <w:t>3. Acceptance and Scope Controls</w:t>
      </w:r>
    </w:p>
    <w:p>
      <w:pPr>
        <w:pStyle w:val="ListBullet"/>
      </w:pPr>
      <w:r>
        <w:t>Calculations use user inputs rather than hard-coded values and include a separate 0% return path.</w:t>
      </w:r>
    </w:p>
    <w:p>
      <w:pPr>
        <w:pStyle w:val="ListBullet"/>
      </w:pPr>
      <w:r>
        <w:t>Blank, negative, zero, non-whole-year and unrealistic rate cases are handled with clear validation as applicable.</w:t>
      </w:r>
    </w:p>
    <w:p>
      <w:pPr>
        <w:pStyle w:val="ListBullet"/>
      </w:pPr>
      <w:r>
        <w:t>Results use INR formatting; Calculate, Reset and keyboard focus behaviour were tested.</w:t>
      </w:r>
    </w:p>
    <w:p>
      <w:pPr>
        <w:pStyle w:val="ListBullet"/>
      </w:pPr>
      <w:r>
        <w:t>The interface is responsive at desktop and approximately 375px mobile width.</w:t>
      </w:r>
    </w:p>
    <w:p>
      <w:pPr>
        <w:pStyle w:val="ListBullet"/>
      </w:pPr>
      <w:r>
        <w:t>The application remains educational: no product recommendation, regulatory advice, promised return or unnecessary personal-data collection.</w:t>
      </w:r>
    </w:p>
    <w:p>
      <w:r>
        <w:br w:type="page"/>
      </w:r>
    </w:p>
    <w:p>
      <w:pPr>
        <w:pStyle w:val="Heading1"/>
      </w:pPr>
      <w:r>
        <w:t>4. Financial Model and Independent Verification</w:t>
      </w:r>
    </w:p>
    <w:p>
      <w:r>
        <w:t>The finance engine is separated from the interface so calculation logic can be tested independently. Annual return is converted to an effective monthly rate and monthly contributions are modelled as an ordinary annuity with payments at the end of each month.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FF7"/>
          </w:tcPr>
          <w:p>
            <w:pPr>
              <w:spacing w:after="0"/>
            </w:pPr>
            <w:r>
              <w:rPr>
                <w:b/>
              </w:rPr>
            </w:r>
            <w:r>
              <w:rPr>
                <w:rFonts w:ascii="Aptos" w:hAnsi="Aptos"/>
                <w:b/>
                <w:sz w:val="17"/>
              </w:rPr>
              <w:t>Measure</w:t>
            </w:r>
          </w:p>
        </w:tc>
        <w:tc>
          <w:tcPr>
            <w:tcW w:type="dxa" w:w="5184"/>
            <w:vAlign w:val="center"/>
            <w:shd w:fill="E9EFF7"/>
          </w:tcPr>
          <w:p>
            <w:pPr>
              <w:spacing w:after="0"/>
            </w:pPr>
            <w:r>
              <w:rPr>
                <w:b/>
              </w:rPr>
            </w:r>
            <w:r>
              <w:rPr>
                <w:rFonts w:ascii="Aptos" w:hAnsi="Aptos"/>
                <w:b/>
                <w:sz w:val="17"/>
              </w:rPr>
              <w:t>Method</w:t>
            </w:r>
          </w:p>
        </w:tc>
      </w:tr>
      <w:tr>
        <w:tc>
          <w:tcPr>
            <w:tcW w:type="dxa" w:w="5184"/>
            <w:vAlign w:val="center"/>
          </w:tcPr>
          <w:p>
            <w:pPr>
              <w:spacing w:after="0"/>
            </w:pPr>
            <w:r/>
            <w:r>
              <w:rPr>
                <w:rFonts w:ascii="Aptos" w:hAnsi="Aptos"/>
                <w:b/>
                <w:sz w:val="17"/>
              </w:rPr>
              <w:t>Future Goal</w:t>
            </w:r>
          </w:p>
        </w:tc>
        <w:tc>
          <w:tcPr>
            <w:tcW w:type="dxa" w:w="5184"/>
            <w:vAlign w:val="center"/>
          </w:tcPr>
          <w:p>
            <w:pPr>
              <w:spacing w:after="0"/>
            </w:pPr>
            <w:r/>
            <w:r>
              <w:rPr>
                <w:rFonts w:ascii="Aptos" w:hAnsi="Aptos"/>
                <w:b w:val="0"/>
                <w:sz w:val="17"/>
              </w:rPr>
              <w:t>G x (1 + I)^Y</w:t>
            </w:r>
          </w:p>
        </w:tc>
      </w:tr>
      <w:tr>
        <w:tc>
          <w:tcPr>
            <w:tcW w:type="dxa" w:w="5184"/>
            <w:vAlign w:val="center"/>
          </w:tcPr>
          <w:p>
            <w:pPr>
              <w:spacing w:after="0"/>
            </w:pPr>
            <w:r/>
            <w:r>
              <w:rPr>
                <w:rFonts w:ascii="Aptos" w:hAnsi="Aptos"/>
                <w:b/>
                <w:sz w:val="17"/>
              </w:rPr>
              <w:t>Future Value of Existing Savings</w:t>
            </w:r>
          </w:p>
        </w:tc>
        <w:tc>
          <w:tcPr>
            <w:tcW w:type="dxa" w:w="5184"/>
            <w:vAlign w:val="center"/>
          </w:tcPr>
          <w:p>
            <w:pPr>
              <w:spacing w:after="0"/>
            </w:pPr>
            <w:r/>
            <w:r>
              <w:rPr>
                <w:rFonts w:ascii="Aptos" w:hAnsi="Aptos"/>
                <w:b w:val="0"/>
                <w:sz w:val="17"/>
              </w:rPr>
              <w:t>S x (1 + R)^Y</w:t>
            </w:r>
          </w:p>
        </w:tc>
      </w:tr>
      <w:tr>
        <w:tc>
          <w:tcPr>
            <w:tcW w:type="dxa" w:w="5184"/>
            <w:vAlign w:val="center"/>
          </w:tcPr>
          <w:p>
            <w:pPr>
              <w:spacing w:after="0"/>
            </w:pPr>
            <w:r/>
            <w:r>
              <w:rPr>
                <w:rFonts w:ascii="Aptos" w:hAnsi="Aptos"/>
                <w:b/>
                <w:sz w:val="17"/>
              </w:rPr>
              <w:t>Funding Gap</w:t>
            </w:r>
          </w:p>
        </w:tc>
        <w:tc>
          <w:tcPr>
            <w:tcW w:type="dxa" w:w="5184"/>
            <w:vAlign w:val="center"/>
          </w:tcPr>
          <w:p>
            <w:pPr>
              <w:spacing w:after="0"/>
            </w:pPr>
            <w:r/>
            <w:r>
              <w:rPr>
                <w:rFonts w:ascii="Aptos" w:hAnsi="Aptos"/>
                <w:b w:val="0"/>
                <w:sz w:val="17"/>
              </w:rPr>
              <w:t>max(0, Future Goal - FV Savings)</w:t>
            </w:r>
          </w:p>
        </w:tc>
      </w:tr>
      <w:tr>
        <w:tc>
          <w:tcPr>
            <w:tcW w:type="dxa" w:w="5184"/>
            <w:vAlign w:val="center"/>
          </w:tcPr>
          <w:p>
            <w:pPr>
              <w:spacing w:after="0"/>
            </w:pPr>
            <w:r/>
            <w:r>
              <w:rPr>
                <w:rFonts w:ascii="Aptos" w:hAnsi="Aptos"/>
                <w:b/>
                <w:sz w:val="17"/>
              </w:rPr>
              <w:t>Effective Monthly Rate</w:t>
            </w:r>
          </w:p>
        </w:tc>
        <w:tc>
          <w:tcPr>
            <w:tcW w:type="dxa" w:w="5184"/>
            <w:vAlign w:val="center"/>
          </w:tcPr>
          <w:p>
            <w:pPr>
              <w:spacing w:after="0"/>
            </w:pPr>
            <w:r/>
            <w:r>
              <w:rPr>
                <w:rFonts w:ascii="Aptos" w:hAnsi="Aptos"/>
                <w:b w:val="0"/>
                <w:sz w:val="17"/>
              </w:rPr>
              <w:t>(1 + R)^(1/12) - 1</w:t>
            </w:r>
          </w:p>
        </w:tc>
      </w:tr>
      <w:tr>
        <w:tc>
          <w:tcPr>
            <w:tcW w:type="dxa" w:w="5184"/>
            <w:vAlign w:val="center"/>
          </w:tcPr>
          <w:p>
            <w:pPr>
              <w:spacing w:after="0"/>
            </w:pPr>
            <w:r/>
            <w:r>
              <w:rPr>
                <w:rFonts w:ascii="Aptos" w:hAnsi="Aptos"/>
                <w:b/>
                <w:sz w:val="17"/>
              </w:rPr>
              <w:t>Monthly Contribution, r &gt; 0</w:t>
            </w:r>
          </w:p>
        </w:tc>
        <w:tc>
          <w:tcPr>
            <w:tcW w:type="dxa" w:w="5184"/>
            <w:vAlign w:val="center"/>
          </w:tcPr>
          <w:p>
            <w:pPr>
              <w:spacing w:after="0"/>
            </w:pPr>
            <w:r/>
            <w:r>
              <w:rPr>
                <w:rFonts w:ascii="Aptos" w:hAnsi="Aptos"/>
                <w:b w:val="0"/>
                <w:sz w:val="17"/>
              </w:rPr>
              <w:t>Gap x r / ((1 + r)^N - 1), where N = Y x 12</w:t>
            </w:r>
          </w:p>
        </w:tc>
      </w:tr>
      <w:tr>
        <w:tc>
          <w:tcPr>
            <w:tcW w:type="dxa" w:w="5184"/>
            <w:vAlign w:val="center"/>
          </w:tcPr>
          <w:p>
            <w:pPr>
              <w:spacing w:after="0"/>
            </w:pPr>
            <w:r/>
            <w:r>
              <w:rPr>
                <w:rFonts w:ascii="Aptos" w:hAnsi="Aptos"/>
                <w:b/>
                <w:sz w:val="17"/>
              </w:rPr>
              <w:t>Monthly Contribution, r = 0</w:t>
            </w:r>
          </w:p>
        </w:tc>
        <w:tc>
          <w:tcPr>
            <w:tcW w:type="dxa" w:w="5184"/>
            <w:vAlign w:val="center"/>
          </w:tcPr>
          <w:p>
            <w:pPr>
              <w:spacing w:after="0"/>
            </w:pPr>
            <w:r/>
            <w:r>
              <w:rPr>
                <w:rFonts w:ascii="Aptos" w:hAnsi="Aptos"/>
                <w:b w:val="0"/>
                <w:sz w:val="17"/>
              </w:rPr>
              <w:t>Gap / N</w:t>
            </w:r>
          </w:p>
        </w:tc>
      </w:tr>
      <w:tr>
        <w:tc>
          <w:tcPr>
            <w:tcW w:type="dxa" w:w="5184"/>
            <w:vAlign w:val="center"/>
          </w:tcPr>
          <w:p>
            <w:pPr>
              <w:spacing w:after="0"/>
            </w:pPr>
            <w:r/>
            <w:r>
              <w:rPr>
                <w:rFonts w:ascii="Aptos" w:hAnsi="Aptos"/>
                <w:b/>
                <w:sz w:val="17"/>
              </w:rPr>
              <w:t>Total Monthly Contributions</w:t>
            </w:r>
          </w:p>
        </w:tc>
        <w:tc>
          <w:tcPr>
            <w:tcW w:type="dxa" w:w="5184"/>
            <w:vAlign w:val="center"/>
          </w:tcPr>
          <w:p>
            <w:pPr>
              <w:spacing w:after="0"/>
            </w:pPr>
            <w:r/>
            <w:r>
              <w:rPr>
                <w:rFonts w:ascii="Aptos" w:hAnsi="Aptos"/>
                <w:b w:val="0"/>
                <w:sz w:val="17"/>
              </w:rPr>
              <w:t>PMT x N</w:t>
            </w:r>
          </w:p>
        </w:tc>
      </w:tr>
      <w:tr>
        <w:tc>
          <w:tcPr>
            <w:tcW w:type="dxa" w:w="5184"/>
            <w:vAlign w:val="center"/>
          </w:tcPr>
          <w:p>
            <w:pPr>
              <w:spacing w:after="0"/>
            </w:pPr>
            <w:r/>
            <w:r>
              <w:rPr>
                <w:rFonts w:ascii="Aptos" w:hAnsi="Aptos"/>
                <w:b/>
                <w:sz w:val="17"/>
              </w:rPr>
              <w:t>Projected Investment Growth</w:t>
            </w:r>
          </w:p>
        </w:tc>
        <w:tc>
          <w:tcPr>
            <w:tcW w:type="dxa" w:w="5184"/>
            <w:vAlign w:val="center"/>
          </w:tcPr>
          <w:p>
            <w:pPr>
              <w:spacing w:after="0"/>
            </w:pPr>
            <w:r/>
            <w:r>
              <w:rPr>
                <w:rFonts w:ascii="Aptos" w:hAnsi="Aptos"/>
                <w:b w:val="0"/>
                <w:sz w:val="17"/>
              </w:rPr>
              <w:t>Funding Gap - Total Monthly Contributions</w:t>
            </w:r>
          </w:p>
        </w:tc>
      </w:tr>
    </w:tbl>
    <w:p>
      <w:pPr>
        <w:pStyle w:val="Heading2"/>
      </w:pPr>
      <w:r>
        <w:t>Verified Supplied Benchmark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FF7"/>
          </w:tcPr>
          <w:p>
            <w:pPr>
              <w:spacing w:after="0"/>
            </w:pPr>
            <w:r>
              <w:rPr>
                <w:b/>
              </w:rPr>
            </w:r>
            <w:r>
              <w:rPr>
                <w:rFonts w:ascii="Aptos" w:hAnsi="Aptos"/>
                <w:b/>
                <w:sz w:val="17"/>
              </w:rPr>
              <w:t>Input / Output</w:t>
            </w:r>
          </w:p>
        </w:tc>
        <w:tc>
          <w:tcPr>
            <w:tcW w:type="dxa" w:w="5184"/>
            <w:vAlign w:val="center"/>
            <w:shd w:fill="E9EFF7"/>
          </w:tcPr>
          <w:p>
            <w:pPr>
              <w:spacing w:after="0"/>
            </w:pPr>
            <w:r>
              <w:rPr>
                <w:b/>
              </w:rPr>
            </w:r>
            <w:r>
              <w:rPr>
                <w:rFonts w:ascii="Aptos" w:hAnsi="Aptos"/>
                <w:b/>
                <w:sz w:val="17"/>
              </w:rPr>
              <w:t>Verified Value</w:t>
            </w:r>
          </w:p>
        </w:tc>
      </w:tr>
      <w:tr>
        <w:tc>
          <w:tcPr>
            <w:tcW w:type="dxa" w:w="5184"/>
            <w:vAlign w:val="center"/>
          </w:tcPr>
          <w:p>
            <w:pPr>
              <w:spacing w:after="0"/>
            </w:pPr>
            <w:r/>
            <w:r>
              <w:rPr>
                <w:rFonts w:ascii="Aptos" w:hAnsi="Aptos"/>
                <w:b w:val="0"/>
                <w:sz w:val="17"/>
              </w:rPr>
              <w:t>Goal Amount Today</w:t>
            </w:r>
          </w:p>
        </w:tc>
        <w:tc>
          <w:tcPr>
            <w:tcW w:type="dxa" w:w="5184"/>
            <w:vAlign w:val="center"/>
          </w:tcPr>
          <w:p>
            <w:pPr>
              <w:spacing w:after="0"/>
            </w:pPr>
            <w:r/>
            <w:r>
              <w:rPr>
                <w:rFonts w:ascii="Aptos" w:hAnsi="Aptos"/>
                <w:b w:val="0"/>
                <w:sz w:val="17"/>
              </w:rPr>
              <w:t>Rs 12,00,000</w:t>
            </w:r>
          </w:p>
        </w:tc>
      </w:tr>
      <w:tr>
        <w:tc>
          <w:tcPr>
            <w:tcW w:type="dxa" w:w="5184"/>
            <w:vAlign w:val="center"/>
          </w:tcPr>
          <w:p>
            <w:pPr>
              <w:spacing w:after="0"/>
            </w:pPr>
            <w:r/>
            <w:r>
              <w:rPr>
                <w:rFonts w:ascii="Aptos" w:hAnsi="Aptos"/>
                <w:b w:val="0"/>
                <w:sz w:val="17"/>
              </w:rPr>
              <w:t>Years to Goal</w:t>
            </w:r>
          </w:p>
        </w:tc>
        <w:tc>
          <w:tcPr>
            <w:tcW w:type="dxa" w:w="5184"/>
            <w:vAlign w:val="center"/>
          </w:tcPr>
          <w:p>
            <w:pPr>
              <w:spacing w:after="0"/>
            </w:pPr>
            <w:r/>
            <w:r>
              <w:rPr>
                <w:rFonts w:ascii="Aptos" w:hAnsi="Aptos"/>
                <w:b w:val="0"/>
                <w:sz w:val="17"/>
              </w:rPr>
              <w:t>8</w:t>
            </w:r>
          </w:p>
        </w:tc>
      </w:tr>
      <w:tr>
        <w:tc>
          <w:tcPr>
            <w:tcW w:type="dxa" w:w="5184"/>
            <w:vAlign w:val="center"/>
          </w:tcPr>
          <w:p>
            <w:pPr>
              <w:spacing w:after="0"/>
            </w:pPr>
            <w:r/>
            <w:r>
              <w:rPr>
                <w:rFonts w:ascii="Aptos" w:hAnsi="Aptos"/>
                <w:b w:val="0"/>
                <w:sz w:val="17"/>
              </w:rPr>
              <w:t>Inflation</w:t>
            </w:r>
          </w:p>
        </w:tc>
        <w:tc>
          <w:tcPr>
            <w:tcW w:type="dxa" w:w="5184"/>
            <w:vAlign w:val="center"/>
          </w:tcPr>
          <w:p>
            <w:pPr>
              <w:spacing w:after="0"/>
            </w:pPr>
            <w:r/>
            <w:r>
              <w:rPr>
                <w:rFonts w:ascii="Aptos" w:hAnsi="Aptos"/>
                <w:b w:val="0"/>
                <w:sz w:val="17"/>
              </w:rPr>
              <w:t>6%</w:t>
            </w:r>
          </w:p>
        </w:tc>
      </w:tr>
      <w:tr>
        <w:tc>
          <w:tcPr>
            <w:tcW w:type="dxa" w:w="5184"/>
            <w:vAlign w:val="center"/>
          </w:tcPr>
          <w:p>
            <w:pPr>
              <w:spacing w:after="0"/>
            </w:pPr>
            <w:r/>
            <w:r>
              <w:rPr>
                <w:rFonts w:ascii="Aptos" w:hAnsi="Aptos"/>
                <w:b w:val="0"/>
                <w:sz w:val="17"/>
              </w:rPr>
              <w:t>Expected Return</w:t>
            </w:r>
          </w:p>
        </w:tc>
        <w:tc>
          <w:tcPr>
            <w:tcW w:type="dxa" w:w="5184"/>
            <w:vAlign w:val="center"/>
          </w:tcPr>
          <w:p>
            <w:pPr>
              <w:spacing w:after="0"/>
            </w:pPr>
            <w:r/>
            <w:r>
              <w:rPr>
                <w:rFonts w:ascii="Aptos" w:hAnsi="Aptos"/>
                <w:b w:val="0"/>
                <w:sz w:val="17"/>
              </w:rPr>
              <w:t>10%</w:t>
            </w:r>
          </w:p>
        </w:tc>
      </w:tr>
      <w:tr>
        <w:tc>
          <w:tcPr>
            <w:tcW w:type="dxa" w:w="5184"/>
            <w:vAlign w:val="center"/>
          </w:tcPr>
          <w:p>
            <w:pPr>
              <w:spacing w:after="0"/>
            </w:pPr>
            <w:r/>
            <w:r>
              <w:rPr>
                <w:rFonts w:ascii="Aptos" w:hAnsi="Aptos"/>
                <w:b w:val="0"/>
                <w:sz w:val="17"/>
              </w:rPr>
              <w:t>Current Savings</w:t>
            </w:r>
          </w:p>
        </w:tc>
        <w:tc>
          <w:tcPr>
            <w:tcW w:type="dxa" w:w="5184"/>
            <w:vAlign w:val="center"/>
          </w:tcPr>
          <w:p>
            <w:pPr>
              <w:spacing w:after="0"/>
            </w:pPr>
            <w:r/>
            <w:r>
              <w:rPr>
                <w:rFonts w:ascii="Aptos" w:hAnsi="Aptos"/>
                <w:b w:val="0"/>
                <w:sz w:val="17"/>
              </w:rPr>
              <w:t>Rs 1,50,000</w:t>
            </w:r>
          </w:p>
        </w:tc>
      </w:tr>
      <w:tr>
        <w:tc>
          <w:tcPr>
            <w:tcW w:type="dxa" w:w="5184"/>
            <w:vAlign w:val="center"/>
          </w:tcPr>
          <w:p>
            <w:pPr>
              <w:spacing w:after="0"/>
            </w:pPr>
            <w:r/>
            <w:r>
              <w:rPr>
                <w:rFonts w:ascii="Aptos" w:hAnsi="Aptos"/>
                <w:b w:val="0"/>
                <w:sz w:val="17"/>
              </w:rPr>
              <w:t>Future Goal Cost</w:t>
            </w:r>
          </w:p>
        </w:tc>
        <w:tc>
          <w:tcPr>
            <w:tcW w:type="dxa" w:w="5184"/>
            <w:vAlign w:val="center"/>
          </w:tcPr>
          <w:p>
            <w:pPr>
              <w:spacing w:after="0"/>
            </w:pPr>
            <w:r/>
            <w:r>
              <w:rPr>
                <w:rFonts w:ascii="Aptos" w:hAnsi="Aptos"/>
                <w:b w:val="0"/>
                <w:sz w:val="17"/>
              </w:rPr>
              <w:t>Rs 19,12,617.69</w:t>
            </w:r>
          </w:p>
        </w:tc>
      </w:tr>
      <w:tr>
        <w:tc>
          <w:tcPr>
            <w:tcW w:type="dxa" w:w="5184"/>
            <w:vAlign w:val="center"/>
          </w:tcPr>
          <w:p>
            <w:pPr>
              <w:spacing w:after="0"/>
            </w:pPr>
            <w:r/>
            <w:r>
              <w:rPr>
                <w:rFonts w:ascii="Aptos" w:hAnsi="Aptos"/>
                <w:b w:val="0"/>
                <w:sz w:val="17"/>
              </w:rPr>
              <w:t>Future Value of Existing Savings</w:t>
            </w:r>
          </w:p>
        </w:tc>
        <w:tc>
          <w:tcPr>
            <w:tcW w:type="dxa" w:w="5184"/>
            <w:vAlign w:val="center"/>
          </w:tcPr>
          <w:p>
            <w:pPr>
              <w:spacing w:after="0"/>
            </w:pPr>
            <w:r/>
            <w:r>
              <w:rPr>
                <w:rFonts w:ascii="Aptos" w:hAnsi="Aptos"/>
                <w:b w:val="0"/>
                <w:sz w:val="17"/>
              </w:rPr>
              <w:t>Rs 3,21,538.32</w:t>
            </w:r>
          </w:p>
        </w:tc>
      </w:tr>
      <w:tr>
        <w:tc>
          <w:tcPr>
            <w:tcW w:type="dxa" w:w="5184"/>
            <w:vAlign w:val="center"/>
          </w:tcPr>
          <w:p>
            <w:pPr>
              <w:spacing w:after="0"/>
            </w:pPr>
            <w:r/>
            <w:r>
              <w:rPr>
                <w:rFonts w:ascii="Aptos" w:hAnsi="Aptos"/>
                <w:b w:val="0"/>
                <w:sz w:val="17"/>
              </w:rPr>
              <w:t>Funding Gap</w:t>
            </w:r>
          </w:p>
        </w:tc>
        <w:tc>
          <w:tcPr>
            <w:tcW w:type="dxa" w:w="5184"/>
            <w:vAlign w:val="center"/>
          </w:tcPr>
          <w:p>
            <w:pPr>
              <w:spacing w:after="0"/>
            </w:pPr>
            <w:r/>
            <w:r>
              <w:rPr>
                <w:rFonts w:ascii="Aptos" w:hAnsi="Aptos"/>
                <w:b w:val="0"/>
                <w:sz w:val="17"/>
              </w:rPr>
              <w:t>Rs 15,91,079.37</w:t>
            </w:r>
          </w:p>
        </w:tc>
      </w:tr>
      <w:tr>
        <w:tc>
          <w:tcPr>
            <w:tcW w:type="dxa" w:w="5184"/>
            <w:vAlign w:val="center"/>
          </w:tcPr>
          <w:p>
            <w:pPr>
              <w:spacing w:after="0"/>
            </w:pPr>
            <w:r/>
            <w:r>
              <w:rPr>
                <w:rFonts w:ascii="Aptos" w:hAnsi="Aptos"/>
                <w:b w:val="0"/>
                <w:sz w:val="17"/>
              </w:rPr>
              <w:t>Required Monthly Contribution</w:t>
            </w:r>
          </w:p>
        </w:tc>
        <w:tc>
          <w:tcPr>
            <w:tcW w:type="dxa" w:w="5184"/>
            <w:vAlign w:val="center"/>
          </w:tcPr>
          <w:p>
            <w:pPr>
              <w:spacing w:after="0"/>
            </w:pPr>
            <w:r/>
            <w:r>
              <w:rPr>
                <w:rFonts w:ascii="Aptos" w:hAnsi="Aptos"/>
                <w:b w:val="0"/>
                <w:sz w:val="17"/>
              </w:rPr>
              <w:t>Rs 11,094.45</w:t>
            </w:r>
          </w:p>
        </w:tc>
      </w:tr>
      <w:tr>
        <w:tc>
          <w:tcPr>
            <w:tcW w:type="dxa" w:w="5184"/>
            <w:vAlign w:val="center"/>
          </w:tcPr>
          <w:p>
            <w:pPr>
              <w:spacing w:after="0"/>
            </w:pPr>
            <w:r/>
            <w:r>
              <w:rPr>
                <w:rFonts w:ascii="Aptos" w:hAnsi="Aptos"/>
                <w:b w:val="0"/>
                <w:sz w:val="17"/>
              </w:rPr>
              <w:t>Total Monthly Contributions</w:t>
            </w:r>
          </w:p>
        </w:tc>
        <w:tc>
          <w:tcPr>
            <w:tcW w:type="dxa" w:w="5184"/>
            <w:vAlign w:val="center"/>
          </w:tcPr>
          <w:p>
            <w:pPr>
              <w:spacing w:after="0"/>
            </w:pPr>
            <w:r/>
            <w:r>
              <w:rPr>
                <w:rFonts w:ascii="Aptos" w:hAnsi="Aptos"/>
                <w:b w:val="0"/>
                <w:sz w:val="17"/>
              </w:rPr>
              <w:t>Rs 10,65,067.32</w:t>
            </w:r>
          </w:p>
        </w:tc>
      </w:tr>
      <w:tr>
        <w:tc>
          <w:tcPr>
            <w:tcW w:type="dxa" w:w="5184"/>
            <w:vAlign w:val="center"/>
          </w:tcPr>
          <w:p>
            <w:pPr>
              <w:spacing w:after="0"/>
            </w:pPr>
            <w:r/>
            <w:r>
              <w:rPr>
                <w:rFonts w:ascii="Aptos" w:hAnsi="Aptos"/>
                <w:b w:val="0"/>
                <w:sz w:val="17"/>
              </w:rPr>
              <w:t>Projected Investment Growth</w:t>
            </w:r>
          </w:p>
        </w:tc>
        <w:tc>
          <w:tcPr>
            <w:tcW w:type="dxa" w:w="5184"/>
            <w:vAlign w:val="center"/>
          </w:tcPr>
          <w:p>
            <w:pPr>
              <w:spacing w:after="0"/>
            </w:pPr>
            <w:r/>
            <w:r>
              <w:rPr>
                <w:rFonts w:ascii="Aptos" w:hAnsi="Aptos"/>
                <w:b w:val="0"/>
                <w:sz w:val="17"/>
              </w:rPr>
              <w:t>Rs 5,26,012.05</w:t>
            </w:r>
          </w:p>
        </w:tc>
      </w:tr>
    </w:tbl>
    <w:p>
      <w:r>
        <w:t>The supplied case was independently reconciled in Excel/manual calculation. A separate zero-return case was also checked to confirm the Gap / Months fallback. This reduced the risk of accepting a finance error merely because AI-generated code and AI-generated tests agreed with each other.</w:t>
      </w:r>
    </w:p>
    <w:p>
      <w:pPr>
        <w:pStyle w:val="Heading2"/>
      </w:pPr>
      <w:r>
        <w:t>Model Assumptions and Limitations</w:t>
      </w:r>
    </w:p>
    <w:p>
      <w:r>
        <w:t>Inflation and assumed investment return are constant; existing savings grow at the entered return; monthly contributions are constant and made at month-end; taxes, fees, transaction costs and product-specific charges are not modelled. Outputs are illustrative rather than predictive.</w:t>
      </w:r>
    </w:p>
    <w:p>
      <w:r>
        <w:br w:type="page"/>
      </w:r>
    </w:p>
    <w:p>
      <w:pPr>
        <w:pStyle w:val="Heading1"/>
      </w:pPr>
      <w:r>
        <w:t>5. Build, Testing and Audit</w:t>
      </w:r>
    </w:p>
    <w:p>
      <w:r>
        <w:t>Technology: HTML5, CSS3, vanilla JavaScript/ES modules, Node.js, Vitest, Git/GitHub and Vercel. No framework, external financial API, runtime AI service or PDF library is required.</w:t>
      </w:r>
    </w:p>
    <w:p>
      <w:pPr>
        <w:pStyle w:val="Heading2"/>
      </w:pPr>
      <w:r>
        <w:t>Automated Finance Tests</w:t>
      </w:r>
    </w:p>
    <w:p>
      <w:r>
        <w:t>The Vitest suite passed 9/9 tests. Coverage includes the supplied benchmark, zero return, savings exceeding the future goal, zero inflation, no savings, a one-year contribution case, a very small positive return, reconciliation, and deterministic/non-mutating calculation behaviour. The suite was rerun after later changes.</w:t>
      </w:r>
    </w:p>
    <w:p>
      <w:pPr>
        <w:pStyle w:val="Heading2"/>
      </w:pPr>
      <w:r>
        <w:t>Manual Testing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9EFF7"/>
          </w:tcPr>
          <w:p>
            <w:pPr>
              <w:spacing w:after="0"/>
            </w:pPr>
            <w:r>
              <w:rPr>
                <w:b/>
              </w:rPr>
            </w:r>
            <w:r>
              <w:rPr>
                <w:rFonts w:ascii="Aptos" w:hAnsi="Aptos"/>
                <w:b/>
                <w:sz w:val="17"/>
              </w:rPr>
              <w:t>Area</w:t>
            </w:r>
          </w:p>
        </w:tc>
        <w:tc>
          <w:tcPr>
            <w:tcW w:type="dxa" w:w="3456"/>
            <w:vAlign w:val="center"/>
            <w:shd w:fill="E9EFF7"/>
          </w:tcPr>
          <w:p>
            <w:pPr>
              <w:spacing w:after="0"/>
            </w:pPr>
            <w:r>
              <w:rPr>
                <w:b/>
              </w:rPr>
            </w:r>
            <w:r>
              <w:rPr>
                <w:rFonts w:ascii="Aptos" w:hAnsi="Aptos"/>
                <w:b/>
                <w:sz w:val="17"/>
              </w:rPr>
              <w:t>Examples</w:t>
            </w:r>
          </w:p>
        </w:tc>
        <w:tc>
          <w:tcPr>
            <w:tcW w:type="dxa" w:w="3456"/>
            <w:vAlign w:val="center"/>
            <w:shd w:fill="E9EFF7"/>
          </w:tcPr>
          <w:p>
            <w:pPr>
              <w:spacing w:after="0"/>
            </w:pPr>
            <w:r>
              <w:rPr>
                <w:b/>
              </w:rPr>
            </w:r>
            <w:r>
              <w:rPr>
                <w:rFonts w:ascii="Aptos" w:hAnsi="Aptos"/>
                <w:b/>
                <w:sz w:val="17"/>
              </w:rPr>
              <w:t>Result</w:t>
            </w:r>
          </w:p>
        </w:tc>
      </w:tr>
      <w:tr>
        <w:tc>
          <w:tcPr>
            <w:tcW w:type="dxa" w:w="3456"/>
            <w:vAlign w:val="center"/>
          </w:tcPr>
          <w:p>
            <w:pPr>
              <w:spacing w:after="0"/>
            </w:pPr>
            <w:r/>
            <w:r>
              <w:rPr>
                <w:rFonts w:ascii="Aptos" w:hAnsi="Aptos"/>
                <w:b w:val="0"/>
                <w:sz w:val="17"/>
              </w:rPr>
              <w:t>Validation</w:t>
            </w:r>
          </w:p>
        </w:tc>
        <w:tc>
          <w:tcPr>
            <w:tcW w:type="dxa" w:w="3456"/>
            <w:vAlign w:val="center"/>
          </w:tcPr>
          <w:p>
            <w:pPr>
              <w:spacing w:after="0"/>
            </w:pPr>
            <w:r/>
            <w:r>
              <w:rPr>
                <w:rFonts w:ascii="Aptos" w:hAnsi="Aptos"/>
                <w:b w:val="0"/>
                <w:sz w:val="17"/>
              </w:rPr>
              <w:t>Blank/spaces Goal Name; zero goal; negative savings; zero/decimal years; negative/&gt;100% rates</w:t>
            </w:r>
          </w:p>
        </w:tc>
        <w:tc>
          <w:tcPr>
            <w:tcW w:type="dxa" w:w="3456"/>
            <w:vAlign w:val="center"/>
          </w:tcPr>
          <w:p>
            <w:pPr>
              <w:spacing w:after="0"/>
            </w:pPr>
            <w:r/>
            <w:r>
              <w:rPr>
                <w:rFonts w:ascii="Aptos" w:hAnsi="Aptos"/>
                <w:b w:val="0"/>
                <w:sz w:val="17"/>
              </w:rPr>
              <w:t>PASS</w:t>
            </w:r>
          </w:p>
        </w:tc>
      </w:tr>
      <w:tr>
        <w:tc>
          <w:tcPr>
            <w:tcW w:type="dxa" w:w="3456"/>
            <w:vAlign w:val="center"/>
          </w:tcPr>
          <w:p>
            <w:pPr>
              <w:spacing w:after="0"/>
            </w:pPr>
            <w:r/>
            <w:r>
              <w:rPr>
                <w:rFonts w:ascii="Aptos" w:hAnsi="Aptos"/>
                <w:b w:val="0"/>
                <w:sz w:val="17"/>
              </w:rPr>
              <w:t>Recalculation</w:t>
            </w:r>
          </w:p>
        </w:tc>
        <w:tc>
          <w:tcPr>
            <w:tcW w:type="dxa" w:w="3456"/>
            <w:vAlign w:val="center"/>
          </w:tcPr>
          <w:p>
            <w:pPr>
              <w:spacing w:after="0"/>
            </w:pPr>
            <w:r/>
            <w:r>
              <w:rPr>
                <w:rFonts w:ascii="Aptos" w:hAnsi="Aptos"/>
                <w:b w:val="0"/>
                <w:sz w:val="17"/>
              </w:rPr>
              <w:t>Inflation 6% -&gt; 7%; dependent outputs changed while FV savings correctly remained unchanged</w:t>
            </w:r>
          </w:p>
        </w:tc>
        <w:tc>
          <w:tcPr>
            <w:tcW w:type="dxa" w:w="3456"/>
            <w:vAlign w:val="center"/>
          </w:tcPr>
          <w:p>
            <w:pPr>
              <w:spacing w:after="0"/>
            </w:pPr>
            <w:r/>
            <w:r>
              <w:rPr>
                <w:rFonts w:ascii="Aptos" w:hAnsi="Aptos"/>
                <w:b w:val="0"/>
                <w:sz w:val="17"/>
              </w:rPr>
              <w:t>PASS</w:t>
            </w:r>
          </w:p>
        </w:tc>
      </w:tr>
      <w:tr>
        <w:tc>
          <w:tcPr>
            <w:tcW w:type="dxa" w:w="3456"/>
            <w:vAlign w:val="center"/>
          </w:tcPr>
          <w:p>
            <w:pPr>
              <w:spacing w:after="0"/>
            </w:pPr>
            <w:r/>
            <w:r>
              <w:rPr>
                <w:rFonts w:ascii="Aptos" w:hAnsi="Aptos"/>
                <w:b w:val="0"/>
                <w:sz w:val="17"/>
              </w:rPr>
              <w:t>Responsive</w:t>
            </w:r>
          </w:p>
        </w:tc>
        <w:tc>
          <w:tcPr>
            <w:tcW w:type="dxa" w:w="3456"/>
            <w:vAlign w:val="center"/>
          </w:tcPr>
          <w:p>
            <w:pPr>
              <w:spacing w:after="0"/>
            </w:pPr>
            <w:r/>
            <w:r>
              <w:rPr>
                <w:rFonts w:ascii="Aptos" w:hAnsi="Aptos"/>
                <w:b w:val="0"/>
                <w:sz w:val="17"/>
              </w:rPr>
              <w:t>Desktop 1440px and mobile ~375px; no page overflow</w:t>
            </w:r>
          </w:p>
        </w:tc>
        <w:tc>
          <w:tcPr>
            <w:tcW w:type="dxa" w:w="3456"/>
            <w:vAlign w:val="center"/>
          </w:tcPr>
          <w:p>
            <w:pPr>
              <w:spacing w:after="0"/>
            </w:pPr>
            <w:r/>
            <w:r>
              <w:rPr>
                <w:rFonts w:ascii="Aptos" w:hAnsi="Aptos"/>
                <w:b w:val="0"/>
                <w:sz w:val="17"/>
              </w:rPr>
              <w:t>PASS</w:t>
            </w:r>
          </w:p>
        </w:tc>
      </w:tr>
      <w:tr>
        <w:tc>
          <w:tcPr>
            <w:tcW w:type="dxa" w:w="3456"/>
            <w:vAlign w:val="center"/>
          </w:tcPr>
          <w:p>
            <w:pPr>
              <w:spacing w:after="0"/>
            </w:pPr>
            <w:r/>
            <w:r>
              <w:rPr>
                <w:rFonts w:ascii="Aptos" w:hAnsi="Aptos"/>
                <w:b w:val="0"/>
                <w:sz w:val="17"/>
              </w:rPr>
              <w:t>Accessibility</w:t>
            </w:r>
          </w:p>
        </w:tc>
        <w:tc>
          <w:tcPr>
            <w:tcW w:type="dxa" w:w="3456"/>
            <w:vAlign w:val="center"/>
          </w:tcPr>
          <w:p>
            <w:pPr>
              <w:spacing w:after="0"/>
            </w:pPr>
            <w:r/>
            <w:r>
              <w:rPr>
                <w:rFonts w:ascii="Aptos" w:hAnsi="Aptos"/>
                <w:b w:val="0"/>
                <w:sz w:val="17"/>
              </w:rPr>
              <w:t>Keyboard tab order, Enter action and visible focus</w:t>
            </w:r>
          </w:p>
        </w:tc>
        <w:tc>
          <w:tcPr>
            <w:tcW w:type="dxa" w:w="3456"/>
            <w:vAlign w:val="center"/>
          </w:tcPr>
          <w:p>
            <w:pPr>
              <w:spacing w:after="0"/>
            </w:pPr>
            <w:r/>
            <w:r>
              <w:rPr>
                <w:rFonts w:ascii="Aptos" w:hAnsi="Aptos"/>
                <w:b w:val="0"/>
                <w:sz w:val="17"/>
              </w:rPr>
              <w:t>PASS</w:t>
            </w:r>
          </w:p>
        </w:tc>
      </w:tr>
      <w:tr>
        <w:tc>
          <w:tcPr>
            <w:tcW w:type="dxa" w:w="3456"/>
            <w:vAlign w:val="center"/>
          </w:tcPr>
          <w:p>
            <w:pPr>
              <w:spacing w:after="0"/>
            </w:pPr>
            <w:r/>
            <w:r>
              <w:rPr>
                <w:rFonts w:ascii="Aptos" w:hAnsi="Aptos"/>
                <w:b w:val="0"/>
                <w:sz w:val="17"/>
              </w:rPr>
              <w:t>Browsers</w:t>
            </w:r>
          </w:p>
        </w:tc>
        <w:tc>
          <w:tcPr>
            <w:tcW w:type="dxa" w:w="3456"/>
            <w:vAlign w:val="center"/>
          </w:tcPr>
          <w:p>
            <w:pPr>
              <w:spacing w:after="0"/>
            </w:pPr>
            <w:r/>
            <w:r>
              <w:rPr>
                <w:rFonts w:ascii="Aptos" w:hAnsi="Aptos"/>
                <w:b w:val="0"/>
                <w:sz w:val="17"/>
              </w:rPr>
              <w:t>Chrome and Microsoft Edge</w:t>
            </w:r>
          </w:p>
        </w:tc>
        <w:tc>
          <w:tcPr>
            <w:tcW w:type="dxa" w:w="3456"/>
            <w:vAlign w:val="center"/>
          </w:tcPr>
          <w:p>
            <w:pPr>
              <w:spacing w:after="0"/>
            </w:pPr>
            <w:r/>
            <w:r>
              <w:rPr>
                <w:rFonts w:ascii="Aptos" w:hAnsi="Aptos"/>
                <w:b w:val="0"/>
                <w:sz w:val="17"/>
              </w:rPr>
              <w:t>PASS</w:t>
            </w:r>
          </w:p>
        </w:tc>
      </w:tr>
      <w:tr>
        <w:tc>
          <w:tcPr>
            <w:tcW w:type="dxa" w:w="3456"/>
            <w:vAlign w:val="center"/>
          </w:tcPr>
          <w:p>
            <w:pPr>
              <w:spacing w:after="0"/>
            </w:pPr>
            <w:r/>
            <w:r>
              <w:rPr>
                <w:rFonts w:ascii="Aptos" w:hAnsi="Aptos"/>
                <w:b w:val="0"/>
                <w:sz w:val="17"/>
              </w:rPr>
              <w:t>Privacy/Security</w:t>
            </w:r>
          </w:p>
        </w:tc>
        <w:tc>
          <w:tcPr>
            <w:tcW w:type="dxa" w:w="3456"/>
            <w:vAlign w:val="center"/>
          </w:tcPr>
          <w:p>
            <w:pPr>
              <w:spacing w:after="0"/>
            </w:pPr>
            <w:r/>
            <w:r>
              <w:rPr>
                <w:rFonts w:ascii="Aptos" w:hAnsi="Aptos"/>
                <w:b w:val="0"/>
                <w:sz w:val="17"/>
              </w:rPr>
              <w:t>No login, unnecessary personal data, persistent scenario storage or API keys</w:t>
            </w:r>
          </w:p>
        </w:tc>
        <w:tc>
          <w:tcPr>
            <w:tcW w:type="dxa" w:w="3456"/>
            <w:vAlign w:val="center"/>
          </w:tcPr>
          <w:p>
            <w:pPr>
              <w:spacing w:after="0"/>
            </w:pPr>
            <w:r/>
            <w:r>
              <w:rPr>
                <w:rFonts w:ascii="Aptos" w:hAnsi="Aptos"/>
                <w:b w:val="0"/>
                <w:sz w:val="17"/>
              </w:rPr>
              <w:t>PASS</w:t>
            </w:r>
          </w:p>
        </w:tc>
      </w:tr>
    </w:tbl>
    <w:p>
      <w:pPr>
        <w:pStyle w:val="Heading2"/>
      </w:pPr>
      <w:r>
        <w:t>Defect Lifecycle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9EFF7"/>
          </w:tcPr>
          <w:p>
            <w:pPr>
              <w:spacing w:after="0"/>
            </w:pPr>
            <w:r>
              <w:rPr>
                <w:b/>
              </w:rPr>
            </w:r>
            <w:r>
              <w:rPr>
                <w:rFonts w:ascii="Aptos" w:hAnsi="Aptos"/>
                <w:b/>
                <w:sz w:val="17"/>
              </w:rPr>
              <w:t>ID</w:t>
            </w:r>
          </w:p>
        </w:tc>
        <w:tc>
          <w:tcPr>
            <w:tcW w:type="dxa" w:w="2074"/>
            <w:vAlign w:val="center"/>
            <w:shd w:fill="E9EFF7"/>
          </w:tcPr>
          <w:p>
            <w:pPr>
              <w:spacing w:after="0"/>
            </w:pPr>
            <w:r>
              <w:rPr>
                <w:b/>
              </w:rPr>
            </w:r>
            <w:r>
              <w:rPr>
                <w:rFonts w:ascii="Aptos" w:hAnsi="Aptos"/>
                <w:b/>
                <w:sz w:val="17"/>
              </w:rPr>
              <w:t>Issue</w:t>
            </w:r>
          </w:p>
        </w:tc>
        <w:tc>
          <w:tcPr>
            <w:tcW w:type="dxa" w:w="2074"/>
            <w:vAlign w:val="center"/>
            <w:shd w:fill="E9EFF7"/>
          </w:tcPr>
          <w:p>
            <w:pPr>
              <w:spacing w:after="0"/>
            </w:pPr>
            <w:r>
              <w:rPr>
                <w:b/>
              </w:rPr>
            </w:r>
            <w:r>
              <w:rPr>
                <w:rFonts w:ascii="Aptos" w:hAnsi="Aptos"/>
                <w:b/>
                <w:sz w:val="17"/>
              </w:rPr>
              <w:t>Impact</w:t>
            </w:r>
          </w:p>
        </w:tc>
        <w:tc>
          <w:tcPr>
            <w:tcW w:type="dxa" w:w="2074"/>
            <w:vAlign w:val="center"/>
            <w:shd w:fill="E9EFF7"/>
          </w:tcPr>
          <w:p>
            <w:pPr>
              <w:spacing w:after="0"/>
            </w:pPr>
            <w:r>
              <w:rPr>
                <w:b/>
              </w:rPr>
            </w:r>
            <w:r>
              <w:rPr>
                <w:rFonts w:ascii="Aptos" w:hAnsi="Aptos"/>
                <w:b/>
                <w:sz w:val="17"/>
              </w:rPr>
              <w:t>Fix / Retest</w:t>
            </w:r>
          </w:p>
        </w:tc>
        <w:tc>
          <w:tcPr>
            <w:tcW w:type="dxa" w:w="2074"/>
            <w:vAlign w:val="center"/>
            <w:shd w:fill="E9EFF7"/>
          </w:tcPr>
          <w:p>
            <w:pPr>
              <w:spacing w:after="0"/>
            </w:pPr>
            <w:r>
              <w:rPr>
                <w:b/>
              </w:rPr>
            </w:r>
            <w:r>
              <w:rPr>
                <w:rFonts w:ascii="Aptos" w:hAnsi="Aptos"/>
                <w:b/>
                <w:sz w:val="17"/>
              </w:rPr>
              <w:t>Status</w:t>
            </w:r>
          </w:p>
        </w:tc>
      </w:tr>
      <w:tr>
        <w:tc>
          <w:tcPr>
            <w:tcW w:type="dxa" w:w="2074"/>
            <w:vAlign w:val="center"/>
          </w:tcPr>
          <w:p>
            <w:pPr>
              <w:spacing w:after="0"/>
            </w:pPr>
            <w:r/>
            <w:r>
              <w:rPr>
                <w:rFonts w:ascii="Aptos" w:hAnsi="Aptos"/>
                <w:b w:val="0"/>
                <w:sz w:val="17"/>
              </w:rPr>
              <w:t>DEF01</w:t>
            </w:r>
          </w:p>
        </w:tc>
        <w:tc>
          <w:tcPr>
            <w:tcW w:type="dxa" w:w="2074"/>
            <w:vAlign w:val="center"/>
          </w:tcPr>
          <w:p>
            <w:pPr>
              <w:spacing w:after="0"/>
            </w:pPr>
            <w:r/>
            <w:r>
              <w:rPr>
                <w:rFonts w:ascii="Aptos" w:hAnsi="Aptos"/>
                <w:b w:val="0"/>
                <w:sz w:val="17"/>
              </w:rPr>
              <w:t>Whitespace-only Goal Name bypassed validation</w:t>
            </w:r>
          </w:p>
        </w:tc>
        <w:tc>
          <w:tcPr>
            <w:tcW w:type="dxa" w:w="2074"/>
            <w:vAlign w:val="center"/>
          </w:tcPr>
          <w:p>
            <w:pPr>
              <w:spacing w:after="0"/>
            </w:pPr>
            <w:r/>
            <w:r>
              <w:rPr>
                <w:rFonts w:ascii="Aptos" w:hAnsi="Aptos"/>
                <w:b w:val="0"/>
                <w:sz w:val="17"/>
              </w:rPr>
              <w:t>Medium</w:t>
            </w:r>
          </w:p>
        </w:tc>
        <w:tc>
          <w:tcPr>
            <w:tcW w:type="dxa" w:w="2074"/>
            <w:vAlign w:val="center"/>
          </w:tcPr>
          <w:p>
            <w:pPr>
              <w:spacing w:after="0"/>
            </w:pPr>
            <w:r/>
            <w:r>
              <w:rPr>
                <w:rFonts w:ascii="Aptos" w:hAnsi="Aptos"/>
                <w:b w:val="0"/>
                <w:sz w:val="17"/>
              </w:rPr>
              <w:t>Trimmed before validation; spaces-only input retested and blocked</w:t>
            </w:r>
          </w:p>
        </w:tc>
        <w:tc>
          <w:tcPr>
            <w:tcW w:type="dxa" w:w="2074"/>
            <w:vAlign w:val="center"/>
          </w:tcPr>
          <w:p>
            <w:pPr>
              <w:spacing w:after="0"/>
            </w:pPr>
            <w:r/>
            <w:r>
              <w:rPr>
                <w:rFonts w:ascii="Aptos" w:hAnsi="Aptos"/>
                <w:b w:val="0"/>
                <w:sz w:val="17"/>
              </w:rPr>
              <w:t>CLOSED / PASS</w:t>
            </w:r>
          </w:p>
        </w:tc>
      </w:tr>
      <w:tr>
        <w:tc>
          <w:tcPr>
            <w:tcW w:type="dxa" w:w="2074"/>
            <w:vAlign w:val="center"/>
          </w:tcPr>
          <w:p>
            <w:pPr>
              <w:spacing w:after="0"/>
            </w:pPr>
            <w:r/>
            <w:r>
              <w:rPr>
                <w:rFonts w:ascii="Aptos" w:hAnsi="Aptos"/>
                <w:b w:val="0"/>
                <w:sz w:val="17"/>
              </w:rPr>
              <w:t>DEF02</w:t>
            </w:r>
          </w:p>
        </w:tc>
        <w:tc>
          <w:tcPr>
            <w:tcW w:type="dxa" w:w="2074"/>
            <w:vAlign w:val="center"/>
          </w:tcPr>
          <w:p>
            <w:pPr>
              <w:spacing w:after="0"/>
            </w:pPr>
            <w:r/>
            <w:r>
              <w:rPr>
                <w:rFonts w:ascii="Aptos" w:hAnsi="Aptos"/>
                <w:b w:val="0"/>
                <w:sz w:val="17"/>
              </w:rPr>
              <w:t>Inconsistent validation wording / mixed messages</w:t>
            </w:r>
          </w:p>
        </w:tc>
        <w:tc>
          <w:tcPr>
            <w:tcW w:type="dxa" w:w="2074"/>
            <w:vAlign w:val="center"/>
          </w:tcPr>
          <w:p>
            <w:pPr>
              <w:spacing w:after="0"/>
            </w:pPr>
            <w:r/>
            <w:r>
              <w:rPr>
                <w:rFonts w:ascii="Aptos" w:hAnsi="Aptos"/>
                <w:b w:val="0"/>
                <w:sz w:val="17"/>
              </w:rPr>
              <w:t>Low UX</w:t>
            </w:r>
          </w:p>
        </w:tc>
        <w:tc>
          <w:tcPr>
            <w:tcW w:type="dxa" w:w="2074"/>
            <w:vAlign w:val="center"/>
          </w:tcPr>
          <w:p>
            <w:pPr>
              <w:spacing w:after="0"/>
            </w:pPr>
            <w:r/>
            <w:r>
              <w:rPr>
                <w:rFonts w:ascii="Aptos" w:hAnsi="Aptos"/>
                <w:b w:val="0"/>
                <w:sz w:val="17"/>
              </w:rPr>
              <w:t>Standardised field-specific messages; blank/negative/zero/decimal/&gt;100% cases retested</w:t>
            </w:r>
          </w:p>
        </w:tc>
        <w:tc>
          <w:tcPr>
            <w:tcW w:type="dxa" w:w="2074"/>
            <w:vAlign w:val="center"/>
          </w:tcPr>
          <w:p>
            <w:pPr>
              <w:spacing w:after="0"/>
            </w:pPr>
            <w:r/>
            <w:r>
              <w:rPr>
                <w:rFonts w:ascii="Aptos" w:hAnsi="Aptos"/>
                <w:b w:val="0"/>
                <w:sz w:val="17"/>
              </w:rPr>
              <w:t>CLOSED / PASS</w:t>
            </w:r>
          </w:p>
        </w:tc>
      </w:tr>
    </w:tbl>
    <w:p>
      <w:r>
        <w:t>A separate Development, Testing &amp; Deployment Log contains the full T01-T10 execution record, defect evidence, technical recovery history and related commits.</w:t>
      </w:r>
    </w:p>
    <w:p>
      <w:r>
        <w:br w:type="page"/>
      </w:r>
    </w:p>
    <w:p>
      <w:pPr>
        <w:pStyle w:val="Heading1"/>
      </w:pPr>
      <w:r>
        <w:t>6. Optional Extensions and AI-Assisted Development</w:t>
      </w:r>
    </w:p>
    <w:p>
      <w:r>
        <w:t>Optional features were introduced only after the mandatory calculator was stable. This protected the verified finance model while allowing the final application to demonstrate additional usability and audit depth.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FF7"/>
          </w:tcPr>
          <w:p>
            <w:pPr>
              <w:spacing w:after="0"/>
            </w:pPr>
            <w:r>
              <w:rPr>
                <w:b/>
              </w:rPr>
            </w:r>
            <w:r>
              <w:rPr>
                <w:rFonts w:ascii="Aptos" w:hAnsi="Aptos"/>
                <w:b/>
                <w:sz w:val="17"/>
              </w:rPr>
              <w:t>Extension</w:t>
            </w:r>
          </w:p>
        </w:tc>
        <w:tc>
          <w:tcPr>
            <w:tcW w:type="dxa" w:w="5184"/>
            <w:vAlign w:val="center"/>
            <w:shd w:fill="E9EFF7"/>
          </w:tcPr>
          <w:p>
            <w:pPr>
              <w:spacing w:after="0"/>
            </w:pPr>
            <w:r>
              <w:rPr>
                <w:b/>
              </w:rPr>
            </w:r>
            <w:r>
              <w:rPr>
                <w:rFonts w:ascii="Aptos" w:hAnsi="Aptos"/>
                <w:b/>
                <w:sz w:val="17"/>
              </w:rPr>
              <w:t>Implementation</w:t>
            </w:r>
          </w:p>
        </w:tc>
      </w:tr>
      <w:tr>
        <w:tc>
          <w:tcPr>
            <w:tcW w:type="dxa" w:w="5184"/>
            <w:vAlign w:val="center"/>
          </w:tcPr>
          <w:p>
            <w:pPr>
              <w:spacing w:after="0"/>
            </w:pPr>
            <w:r/>
            <w:r>
              <w:rPr>
                <w:rFonts w:ascii="Aptos" w:hAnsi="Aptos"/>
                <w:b/>
                <w:sz w:val="17"/>
              </w:rPr>
              <w:t>Scenario comparison</w:t>
            </w:r>
          </w:p>
        </w:tc>
        <w:tc>
          <w:tcPr>
            <w:tcW w:type="dxa" w:w="5184"/>
            <w:vAlign w:val="center"/>
          </w:tcPr>
          <w:p>
            <w:pPr>
              <w:spacing w:after="0"/>
            </w:pPr>
            <w:r/>
            <w:r>
              <w:rPr>
                <w:rFonts w:ascii="Aptos" w:hAnsi="Aptos"/>
                <w:b w:val="0"/>
                <w:sz w:val="17"/>
              </w:rPr>
              <w:t>First calculation becomes Base Plan; user may explicitly create Alternative 1 and Alternative 2 for the same goal. A maximum of three total scenarios is enforced.</w:t>
            </w:r>
          </w:p>
        </w:tc>
      </w:tr>
      <w:tr>
        <w:tc>
          <w:tcPr>
            <w:tcW w:type="dxa" w:w="5184"/>
            <w:vAlign w:val="center"/>
          </w:tcPr>
          <w:p>
            <w:pPr>
              <w:spacing w:after="0"/>
            </w:pPr>
            <w:r/>
            <w:r>
              <w:rPr>
                <w:rFonts w:ascii="Aptos" w:hAnsi="Aptos"/>
                <w:b/>
                <w:sz w:val="17"/>
              </w:rPr>
              <w:t>Visual comparison</w:t>
            </w:r>
          </w:p>
        </w:tc>
        <w:tc>
          <w:tcPr>
            <w:tcW w:type="dxa" w:w="5184"/>
            <w:vAlign w:val="center"/>
          </w:tcPr>
          <w:p>
            <w:pPr>
              <w:spacing w:after="0"/>
            </w:pPr>
            <w:r/>
            <w:r>
              <w:rPr>
                <w:rFonts w:ascii="Aptos" w:hAnsi="Aptos"/>
                <w:b w:val="0"/>
                <w:sz w:val="17"/>
              </w:rPr>
              <w:t>Scenario funding composition plus Monthly Contribution and Funding Gap comparison graphs; detailed comparison table.</w:t>
            </w:r>
          </w:p>
        </w:tc>
      </w:tr>
      <w:tr>
        <w:tc>
          <w:tcPr>
            <w:tcW w:type="dxa" w:w="5184"/>
            <w:vAlign w:val="center"/>
          </w:tcPr>
          <w:p>
            <w:pPr>
              <w:spacing w:after="0"/>
            </w:pPr>
            <w:r/>
            <w:r>
              <w:rPr>
                <w:rFonts w:ascii="Aptos" w:hAnsi="Aptos"/>
                <w:b/>
                <w:sz w:val="17"/>
              </w:rPr>
              <w:t>Educational interpretation</w:t>
            </w:r>
          </w:p>
        </w:tc>
        <w:tc>
          <w:tcPr>
            <w:tcW w:type="dxa" w:w="5184"/>
            <w:vAlign w:val="center"/>
          </w:tcPr>
          <w:p>
            <w:pPr>
              <w:spacing w:after="0"/>
            </w:pPr>
            <w:r/>
            <w:r>
              <w:rPr>
                <w:rFonts w:ascii="Aptos" w:hAnsi="Aptos"/>
                <w:b w:val="0"/>
                <w:sz w:val="17"/>
              </w:rPr>
              <w:t>Deterministic, neutral explanation of how changed assumptions may affect results. No 'best', 'recommended' or product-advice language.</w:t>
            </w:r>
          </w:p>
        </w:tc>
      </w:tr>
      <w:tr>
        <w:tc>
          <w:tcPr>
            <w:tcW w:type="dxa" w:w="5184"/>
            <w:vAlign w:val="center"/>
          </w:tcPr>
          <w:p>
            <w:pPr>
              <w:spacing w:after="0"/>
            </w:pPr>
            <w:r/>
            <w:r>
              <w:rPr>
                <w:rFonts w:ascii="Aptos" w:hAnsi="Aptos"/>
                <w:b/>
                <w:sz w:val="17"/>
              </w:rPr>
              <w:t>Selective Print / Save</w:t>
            </w:r>
          </w:p>
        </w:tc>
        <w:tc>
          <w:tcPr>
            <w:tcW w:type="dxa" w:w="5184"/>
            <w:vAlign w:val="center"/>
          </w:tcPr>
          <w:p>
            <w:pPr>
              <w:spacing w:after="0"/>
            </w:pPr>
            <w:r/>
            <w:r>
              <w:rPr>
                <w:rFonts w:ascii="Aptos" w:hAnsi="Aptos"/>
                <w:b w:val="0"/>
                <w:sz w:val="17"/>
              </w:rPr>
              <w:t>Users choose one, two or all available scenarios. Printed cards, graphs, tables and interpretation adapt to the selection using browser-native Print/Save as PDF.</w:t>
            </w:r>
          </w:p>
        </w:tc>
      </w:tr>
      <w:tr>
        <w:tc>
          <w:tcPr>
            <w:tcW w:type="dxa" w:w="5184"/>
            <w:vAlign w:val="center"/>
          </w:tcPr>
          <w:p>
            <w:pPr>
              <w:spacing w:after="0"/>
            </w:pPr>
            <w:r/>
            <w:r>
              <w:rPr>
                <w:rFonts w:ascii="Aptos" w:hAnsi="Aptos"/>
                <w:b/>
                <w:sz w:val="17"/>
              </w:rPr>
              <w:t>Privacy by design</w:t>
            </w:r>
          </w:p>
        </w:tc>
        <w:tc>
          <w:tcPr>
            <w:tcW w:type="dxa" w:w="5184"/>
            <w:vAlign w:val="center"/>
          </w:tcPr>
          <w:p>
            <w:pPr>
              <w:spacing w:after="0"/>
            </w:pPr>
            <w:r/>
            <w:r>
              <w:rPr>
                <w:rFonts w:ascii="Aptos" w:hAnsi="Aptos"/>
                <w:b w:val="0"/>
                <w:sz w:val="17"/>
              </w:rPr>
              <w:t>Scenario and print-selection state remain in JavaScript memory only; no localStorage, sessionStorage, cookies, database or backend.</w:t>
            </w:r>
          </w:p>
        </w:tc>
      </w:tr>
    </w:tbl>
    <w:p>
      <w:pPr>
        <w:pStyle w:val="Heading2"/>
      </w:pPr>
      <w:r>
        <w:t>AI Use and Human Oversight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FF7"/>
          </w:tcPr>
          <w:p>
            <w:pPr>
              <w:spacing w:after="0"/>
            </w:pPr>
            <w:r>
              <w:rPr>
                <w:b/>
              </w:rPr>
            </w:r>
            <w:r>
              <w:rPr>
                <w:rFonts w:ascii="Aptos" w:hAnsi="Aptos"/>
                <w:b/>
                <w:sz w:val="17"/>
              </w:rPr>
              <w:t>AI Interaction</w:t>
            </w:r>
          </w:p>
        </w:tc>
        <w:tc>
          <w:tcPr>
            <w:tcW w:type="dxa" w:w="5184"/>
            <w:vAlign w:val="center"/>
            <w:shd w:fill="E9EFF7"/>
          </w:tcPr>
          <w:p>
            <w:pPr>
              <w:spacing w:after="0"/>
            </w:pPr>
            <w:r>
              <w:rPr>
                <w:b/>
              </w:rPr>
            </w:r>
            <w:r>
              <w:rPr>
                <w:rFonts w:ascii="Aptos" w:hAnsi="Aptos"/>
                <w:b/>
                <w:sz w:val="17"/>
              </w:rPr>
              <w:t>Human Decision</w:t>
            </w:r>
          </w:p>
        </w:tc>
      </w:tr>
      <w:tr>
        <w:tc>
          <w:tcPr>
            <w:tcW w:type="dxa" w:w="5184"/>
            <w:vAlign w:val="center"/>
          </w:tcPr>
          <w:p>
            <w:pPr>
              <w:spacing w:after="0"/>
            </w:pPr>
            <w:r/>
            <w:r>
              <w:rPr>
                <w:rFonts w:ascii="Aptos" w:hAnsi="Aptos"/>
                <w:b w:val="0"/>
                <w:sz w:val="17"/>
              </w:rPr>
              <w:t>Initial app implementation</w:t>
            </w:r>
          </w:p>
        </w:tc>
        <w:tc>
          <w:tcPr>
            <w:tcW w:type="dxa" w:w="5184"/>
            <w:vAlign w:val="center"/>
          </w:tcPr>
          <w:p>
            <w:pPr>
              <w:spacing w:after="0"/>
            </w:pPr>
            <w:r/>
            <w:r>
              <w:rPr>
                <w:rFonts w:ascii="Aptos" w:hAnsi="Aptos"/>
                <w:b w:val="0"/>
                <w:sz w:val="17"/>
              </w:rPr>
              <w:t>Accepted with modifications after checking against the frozen blueprint.</w:t>
            </w:r>
          </w:p>
        </w:tc>
      </w:tr>
      <w:tr>
        <w:tc>
          <w:tcPr>
            <w:tcW w:type="dxa" w:w="5184"/>
            <w:vAlign w:val="center"/>
          </w:tcPr>
          <w:p>
            <w:pPr>
              <w:spacing w:after="0"/>
            </w:pPr>
            <w:r/>
            <w:r>
              <w:rPr>
                <w:rFonts w:ascii="Aptos" w:hAnsi="Aptos"/>
                <w:b w:val="0"/>
                <w:sz w:val="17"/>
              </w:rPr>
              <w:t>Finance engine/test suite</w:t>
            </w:r>
          </w:p>
        </w:tc>
        <w:tc>
          <w:tcPr>
            <w:tcW w:type="dxa" w:w="5184"/>
            <w:vAlign w:val="center"/>
          </w:tcPr>
          <w:p>
            <w:pPr>
              <w:spacing w:after="0"/>
            </w:pPr>
            <w:r/>
            <w:r>
              <w:rPr>
                <w:rFonts w:ascii="Aptos" w:hAnsi="Aptos"/>
                <w:b w:val="0"/>
                <w:sz w:val="17"/>
              </w:rPr>
              <w:t>Accepted only after independent Excel/manual verification and regression testing.</w:t>
            </w:r>
          </w:p>
        </w:tc>
      </w:tr>
      <w:tr>
        <w:tc>
          <w:tcPr>
            <w:tcW w:type="dxa" w:w="5184"/>
            <w:vAlign w:val="center"/>
          </w:tcPr>
          <w:p>
            <w:pPr>
              <w:spacing w:after="0"/>
            </w:pPr>
            <w:r/>
            <w:r>
              <w:rPr>
                <w:rFonts w:ascii="Aptos" w:hAnsi="Aptos"/>
                <w:b w:val="0"/>
                <w:sz w:val="17"/>
              </w:rPr>
              <w:t>First funding visual</w:t>
            </w:r>
          </w:p>
        </w:tc>
        <w:tc>
          <w:tcPr>
            <w:tcW w:type="dxa" w:w="5184"/>
            <w:vAlign w:val="center"/>
          </w:tcPr>
          <w:p>
            <w:pPr>
              <w:spacing w:after="0"/>
            </w:pPr>
            <w:r/>
            <w:r>
              <w:rPr>
                <w:rFonts w:ascii="Aptos" w:hAnsi="Aptos"/>
                <w:b w:val="0"/>
                <w:sz w:val="17"/>
              </w:rPr>
              <w:t>Rejected/redesigned because the stacked/patterned presentation was harder to interpret.</w:t>
            </w:r>
          </w:p>
        </w:tc>
      </w:tr>
      <w:tr>
        <w:tc>
          <w:tcPr>
            <w:tcW w:type="dxa" w:w="5184"/>
            <w:vAlign w:val="center"/>
          </w:tcPr>
          <w:p>
            <w:pPr>
              <w:spacing w:after="0"/>
            </w:pPr>
            <w:r/>
            <w:r>
              <w:rPr>
                <w:rFonts w:ascii="Aptos" w:hAnsi="Aptos"/>
                <w:b w:val="0"/>
                <w:sz w:val="17"/>
              </w:rPr>
              <w:t>Initial Base-vs-Revised scenario UX</w:t>
            </w:r>
          </w:p>
        </w:tc>
        <w:tc>
          <w:tcPr>
            <w:tcW w:type="dxa" w:w="5184"/>
            <w:vAlign w:val="center"/>
          </w:tcPr>
          <w:p>
            <w:pPr>
              <w:spacing w:after="0"/>
            </w:pPr>
            <w:r/>
            <w:r>
              <w:rPr>
                <w:rFonts w:ascii="Aptos" w:hAnsi="Aptos"/>
                <w:b w:val="0"/>
                <w:sz w:val="17"/>
              </w:rPr>
              <w:t>Substantially changed because creation of a new scenario was not sufficiently discoverable; redesigned as explicit Base + two Alternatives.</w:t>
            </w:r>
          </w:p>
        </w:tc>
      </w:tr>
      <w:tr>
        <w:tc>
          <w:tcPr>
            <w:tcW w:type="dxa" w:w="5184"/>
            <w:vAlign w:val="center"/>
          </w:tcPr>
          <w:p>
            <w:pPr>
              <w:spacing w:after="0"/>
            </w:pPr>
            <w:r/>
            <w:r>
              <w:rPr>
                <w:rFonts w:ascii="Aptos" w:hAnsi="Aptos"/>
                <w:b w:val="0"/>
                <w:sz w:val="17"/>
              </w:rPr>
              <w:t>Validation remediation</w:t>
            </w:r>
          </w:p>
        </w:tc>
        <w:tc>
          <w:tcPr>
            <w:tcW w:type="dxa" w:w="5184"/>
            <w:vAlign w:val="center"/>
          </w:tcPr>
          <w:p>
            <w:pPr>
              <w:spacing w:after="0"/>
            </w:pPr>
            <w:r/>
            <w:r>
              <w:rPr>
                <w:rFonts w:ascii="Aptos" w:hAnsi="Aptos"/>
                <w:b w:val="0"/>
                <w:sz w:val="17"/>
              </w:rPr>
              <w:t>Implemented with AI assistance after manual testing identified real defects; fixes were manually retested.</w:t>
            </w:r>
          </w:p>
        </w:tc>
      </w:tr>
    </w:tbl>
    <w:p>
      <w:r>
        <w:t>The separate AI Use Log records representative prompts, accepted/changed/rejected decisions, independent controls and reflection. The main lesson was that AI was most useful when given narrow requirements derived from a human-defined plan, while finance correctness and usability still required independent judgement.</w:t>
      </w:r>
    </w:p>
    <w:p>
      <w:r>
        <w:br w:type="page"/>
      </w:r>
    </w:p>
    <w:p>
      <w:pPr>
        <w:pStyle w:val="Heading1"/>
      </w:pPr>
      <w:r>
        <w:t>7. Version Control, Deployment and Production Verification</w:t>
      </w:r>
    </w:p>
    <w:p>
      <w:r>
        <w:t>The project was maintained in a GitHub repository with meaningful commits for the finance engine/tests, validation and evidence, UI recovery, scenario/print enhancements, README documentation, and production deployment evidence.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FF7"/>
          </w:tcPr>
          <w:p>
            <w:pPr>
              <w:spacing w:after="0"/>
            </w:pPr>
            <w:r>
              <w:rPr>
                <w:b/>
              </w:rPr>
            </w:r>
            <w:r>
              <w:rPr>
                <w:rFonts w:ascii="Aptos" w:hAnsi="Aptos"/>
                <w:b/>
                <w:sz w:val="17"/>
              </w:rPr>
              <w:t>Commit</w:t>
            </w:r>
          </w:p>
        </w:tc>
        <w:tc>
          <w:tcPr>
            <w:tcW w:type="dxa" w:w="5184"/>
            <w:vAlign w:val="center"/>
            <w:shd w:fill="E9EFF7"/>
          </w:tcPr>
          <w:p>
            <w:pPr>
              <w:spacing w:after="0"/>
            </w:pPr>
            <w:r>
              <w:rPr>
                <w:b/>
              </w:rPr>
            </w:r>
            <w:r>
              <w:rPr>
                <w:rFonts w:ascii="Aptos" w:hAnsi="Aptos"/>
                <w:b/>
                <w:sz w:val="17"/>
              </w:rPr>
              <w:t>Purpose</w:t>
            </w:r>
          </w:p>
        </w:tc>
      </w:tr>
      <w:tr>
        <w:tc>
          <w:tcPr>
            <w:tcW w:type="dxa" w:w="5184"/>
            <w:vAlign w:val="center"/>
          </w:tcPr>
          <w:p>
            <w:pPr>
              <w:spacing w:after="0"/>
            </w:pPr>
            <w:r/>
            <w:r>
              <w:rPr>
                <w:rFonts w:ascii="Aptos" w:hAnsi="Aptos"/>
                <w:b w:val="0"/>
                <w:sz w:val="17"/>
              </w:rPr>
              <w:t>95307ea</w:t>
            </w:r>
          </w:p>
        </w:tc>
        <w:tc>
          <w:tcPr>
            <w:tcW w:type="dxa" w:w="5184"/>
            <w:vAlign w:val="center"/>
          </w:tcPr>
          <w:p>
            <w:pPr>
              <w:spacing w:after="0"/>
            </w:pPr>
            <w:r/>
            <w:r>
              <w:rPr>
                <w:rFonts w:ascii="Aptos" w:hAnsi="Aptos"/>
                <w:b w:val="0"/>
                <w:sz w:val="17"/>
              </w:rPr>
              <w:t>Verified finance engine and automated tests</w:t>
            </w:r>
          </w:p>
        </w:tc>
      </w:tr>
      <w:tr>
        <w:tc>
          <w:tcPr>
            <w:tcW w:type="dxa" w:w="5184"/>
            <w:vAlign w:val="center"/>
          </w:tcPr>
          <w:p>
            <w:pPr>
              <w:spacing w:after="0"/>
            </w:pPr>
            <w:r/>
            <w:r>
              <w:rPr>
                <w:rFonts w:ascii="Aptos" w:hAnsi="Aptos"/>
                <w:b w:val="0"/>
                <w:sz w:val="17"/>
              </w:rPr>
              <w:t>d514782</w:t>
            </w:r>
          </w:p>
        </w:tc>
        <w:tc>
          <w:tcPr>
            <w:tcW w:type="dxa" w:w="5184"/>
            <w:vAlign w:val="center"/>
          </w:tcPr>
          <w:p>
            <w:pPr>
              <w:spacing w:after="0"/>
            </w:pPr>
            <w:r/>
            <w:r>
              <w:rPr>
                <w:rFonts w:ascii="Aptos" w:hAnsi="Aptos"/>
                <w:b w:val="0"/>
                <w:sz w:val="17"/>
              </w:rPr>
              <w:t>Validation improvements and testing evidence</w:t>
            </w:r>
          </w:p>
        </w:tc>
      </w:tr>
      <w:tr>
        <w:tc>
          <w:tcPr>
            <w:tcW w:type="dxa" w:w="5184"/>
            <w:vAlign w:val="center"/>
          </w:tcPr>
          <w:p>
            <w:pPr>
              <w:spacing w:after="0"/>
            </w:pPr>
            <w:r/>
            <w:r>
              <w:rPr>
                <w:rFonts w:ascii="Aptos" w:hAnsi="Aptos"/>
                <w:b w:val="0"/>
                <w:sz w:val="17"/>
              </w:rPr>
              <w:t>d130a14</w:t>
            </w:r>
          </w:p>
        </w:tc>
        <w:tc>
          <w:tcPr>
            <w:tcW w:type="dxa" w:w="5184"/>
            <w:vAlign w:val="center"/>
          </w:tcPr>
          <w:p>
            <w:pPr>
              <w:spacing w:after="0"/>
            </w:pPr>
            <w:r/>
            <w:r>
              <w:rPr>
                <w:rFonts w:ascii="Aptos" w:hAnsi="Aptos"/>
                <w:b w:val="0"/>
                <w:sz w:val="17"/>
              </w:rPr>
              <w:t>Restore application HTML and CSS after tracked files were found blank</w:t>
            </w:r>
          </w:p>
        </w:tc>
      </w:tr>
      <w:tr>
        <w:tc>
          <w:tcPr>
            <w:tcW w:type="dxa" w:w="5184"/>
            <w:vAlign w:val="center"/>
          </w:tcPr>
          <w:p>
            <w:pPr>
              <w:spacing w:after="0"/>
            </w:pPr>
            <w:r/>
            <w:r>
              <w:rPr>
                <w:rFonts w:ascii="Aptos" w:hAnsi="Aptos"/>
                <w:b w:val="0"/>
                <w:sz w:val="17"/>
              </w:rPr>
              <w:t>a5f8698</w:t>
            </w:r>
          </w:p>
        </w:tc>
        <w:tc>
          <w:tcPr>
            <w:tcW w:type="dxa" w:w="5184"/>
            <w:vAlign w:val="center"/>
          </w:tcPr>
          <w:p>
            <w:pPr>
              <w:spacing w:after="0"/>
            </w:pPr>
            <w:r/>
            <w:r>
              <w:rPr>
                <w:rFonts w:ascii="Aptos" w:hAnsi="Aptos"/>
                <w:b w:val="0"/>
                <w:sz w:val="17"/>
              </w:rPr>
              <w:t>Scenario comparison and selective print options</w:t>
            </w:r>
          </w:p>
        </w:tc>
      </w:tr>
      <w:tr>
        <w:tc>
          <w:tcPr>
            <w:tcW w:type="dxa" w:w="5184"/>
            <w:vAlign w:val="center"/>
          </w:tcPr>
          <w:p>
            <w:pPr>
              <w:spacing w:after="0"/>
            </w:pPr>
            <w:r/>
            <w:r>
              <w:rPr>
                <w:rFonts w:ascii="Aptos" w:hAnsi="Aptos"/>
                <w:b w:val="0"/>
                <w:sz w:val="17"/>
              </w:rPr>
              <w:t>0846458</w:t>
            </w:r>
          </w:p>
        </w:tc>
        <w:tc>
          <w:tcPr>
            <w:tcW w:type="dxa" w:w="5184"/>
            <w:vAlign w:val="center"/>
          </w:tcPr>
          <w:p>
            <w:pPr>
              <w:spacing w:after="0"/>
            </w:pPr>
            <w:r/>
            <w:r>
              <w:rPr>
                <w:rFonts w:ascii="Aptos" w:hAnsi="Aptos"/>
                <w:b w:val="0"/>
                <w:sz w:val="17"/>
              </w:rPr>
              <w:t>Final README/capstone repository documentation</w:t>
            </w:r>
          </w:p>
        </w:tc>
      </w:tr>
      <w:tr>
        <w:tc>
          <w:tcPr>
            <w:tcW w:type="dxa" w:w="5184"/>
            <w:vAlign w:val="center"/>
          </w:tcPr>
          <w:p>
            <w:pPr>
              <w:spacing w:after="0"/>
            </w:pPr>
            <w:r/>
            <w:r>
              <w:rPr>
                <w:rFonts w:ascii="Aptos" w:hAnsi="Aptos"/>
                <w:b w:val="0"/>
                <w:sz w:val="17"/>
              </w:rPr>
              <w:t>fe4288c</w:t>
            </w:r>
          </w:p>
        </w:tc>
        <w:tc>
          <w:tcPr>
            <w:tcW w:type="dxa" w:w="5184"/>
            <w:vAlign w:val="center"/>
          </w:tcPr>
          <w:p>
            <w:pPr>
              <w:spacing w:after="0"/>
            </w:pPr>
            <w:r/>
            <w:r>
              <w:rPr>
                <w:rFonts w:ascii="Aptos" w:hAnsi="Aptos"/>
                <w:b w:val="0"/>
                <w:sz w:val="17"/>
              </w:rPr>
              <w:t>Live deployment URL and production evidence</w:t>
            </w:r>
          </w:p>
        </w:tc>
      </w:tr>
    </w:tbl>
    <w:p>
      <w:pPr>
        <w:pStyle w:val="Heading2"/>
      </w:pPr>
      <w:r>
        <w:t>Deployment</w:t>
      </w:r>
    </w:p>
    <w:p>
      <w:r>
        <w:rPr>
          <w:b/>
        </w:rPr>
        <w:t xml:space="preserve">Live application: </w:t>
      </w:r>
      <w:r>
        <w:t>https://goalbridge-investment-planner.vercel.app</w:t>
      </w:r>
    </w:p>
    <w:p>
      <w:r>
        <w:rPr>
          <w:b/>
        </w:rPr>
        <w:t xml:space="preserve">GitHub repository: </w:t>
      </w:r>
      <w:r>
        <w:t>https://github.com/SudhirSharrma/goalbridge-investment-planner</w:t>
      </w:r>
    </w:p>
    <w:p>
      <w:r>
        <w:t>Vercel is connected to the GitHub main branch. The production deployment reached Ready status. The live application was checked using the supplied benchmark, scenario comparison and selective Print/Save workflow. Public access without login was verified in Microsoft Edge InPrivate, and laptop/mobile production screenshots were saved as evidence.</w:t>
      </w:r>
    </w:p>
    <w:p>
      <w:pPr>
        <w:pStyle w:val="Heading1"/>
      </w:pPr>
      <w:r>
        <w:t>8. Outcome and Reflection</w:t>
      </w:r>
    </w:p>
    <w:p>
      <w:r>
        <w:t>GoalBridge meets the mandatory capstone objective and adds optional extensions without changing the verified core finance model. The strongest project controls were planning before coding, independent finance verification, explicit defect logging, regression testing after each meaningful change, and delaying optional features until the baseline was stable.</w:t>
      </w:r>
    </w:p>
    <w:p>
      <w:r>
        <w:t>The project also demonstrated responsible AI-assisted development: generated code and UX ideas were treated as drafts to be tested, modified or rejected. This was particularly important for the funding visual, scenario discoverability and validation behaviour.</w:t>
      </w:r>
    </w:p>
    <w:p>
      <w:pPr>
        <w:pStyle w:val="Heading2"/>
      </w:pPr>
      <w:r>
        <w:t>Educational Disclaimer</w:t>
      </w:r>
    </w:p>
    <w:p>
      <w:r>
        <w:rPr>
          <w:b/>
        </w:rPr>
        <w:t>Educational Use Only: GoalBridge provides illustrative estimates based on the assumptions entered by the user. Actual inflation, investment returns and goal costs may vary. This tool does not provide investment advice, recommend financial products or guarantee returns.</w:t>
      </w:r>
    </w:p>
    <w:p>
      <w:pPr>
        <w:pStyle w:val="Heading2"/>
      </w:pPr>
      <w:r>
        <w:t>Submission Evidence</w:t>
      </w:r>
    </w:p>
    <w:p>
      <w:r>
        <w:t>Supporting repository materials include the Project Blueprint, Finance Verification workbook, Development/Testing/Deployment Log, AI Use Log, automated tests, manual-test screenshots, responsive evidence, and live production evidence.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Nexus - Module 5 Capstone | Sudhir Sharma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GoalBridge | Final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