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40"/>
          <w:szCs w:val="40"/>
        </w:rPr>
        <w:t xml:space="preserve">State-of-the-Art Literature Review</w:t>
      </w:r>
    </w:p>
    <w:p>
      <w:pPr>
        <w:spacing w:after="400"/>
      </w:pPr>
      <w:r>
        <w:rPr>
          <w:rFonts w:ascii="Calibri" w:cs="Calibri" w:eastAsia="Calibri" w:hAnsi="Calibri"/>
          <w:i/>
          <w:iCs/>
          <w:color w:val="595959"/>
          <w:sz w:val="26"/>
          <w:szCs w:val="26"/>
        </w:rPr>
        <w:t xml:space="preserve">Environmental Intelligence Frameworks for Coastal Water Quality Monitoring (2020-2026)</w:t>
      </w:r>
    </w:p>
    <w:p>
      <w:pPr>
        <w:spacing w:after="160"/>
      </w:pPr>
      <w:r>
        <w:rPr>
          <w:rFonts w:ascii="Calibri" w:cs="Calibri" w:eastAsia="Calibri" w:hAnsi="Calibri"/>
          <w:b w:val="false"/>
          <w:bCs w:val="false"/>
          <w:i w:val="false"/>
          <w:iCs w:val="false"/>
          <w:sz w:val="22"/>
          <w:szCs w:val="22"/>
        </w:rPr>
        <w:t xml:space="preserve">This report documents a systematic, verified literature review of 14 peer-reviewed journal papers (2020-2026), assembled to support the State-of-the-Art comparison for an Environmental Intelligence Framework manuscript. It covers Sections 4-9 of the requested analysis (recurring limitations, emerging trends, unresolved challenges, direction of the literature, and framework positioning) plus the complete reference list. Sections 1-3 and 8 (the full 30-field comparison table, method counts, capability counts, and capability matrix) are provided in the companion Excel workbook (SOTA_Literature_Review_Database.xlsx) for easier sorting/filtering; condensed versions are reproduced below for readability.</w:t>
      </w:r>
    </w:p>
    <w:p>
      <w:pPr>
        <w:spacing w:after="160"/>
      </w:pPr>
      <w:r>
        <w:rPr>
          <w:rFonts w:ascii="Calibri" w:cs="Calibri" w:eastAsia="Calibri" w:hAnsi="Calibri"/>
          <w:b w:val="false"/>
          <w:bCs w:val="false"/>
          <w:i/>
          <w:iCs/>
          <w:sz w:val="22"/>
          <w:szCs w:val="22"/>
        </w:rPr>
        <w:t xml:space="preserve">Scope note: every paper was located via live web search and verified by directly fetching its publisher/abstract page. No paper, author, DOI, or journal was invented. Fields that could not be confirmed from the retrieved text are explicitly marked 'NOT STATED IN SOURCE' in the database rather than estimated. Given the deliberately narrow scope (14 papers rather than the initially discussed 80-100), this review prioritizes citation accuracy and category coverage over exhaustiveness — it should be read as a focused, defensible sample of the field, not a full census.</w:t>
      </w:r>
    </w:p>
    <w:p>
      <w:pPr>
        <w:pStyle w:val="Heading1"/>
        <w:spacing w:after="150" w:before="300"/>
      </w:pPr>
      <w:r>
        <w:t xml:space="preserve">Section 1 — Paper Overview (condensed)</w:t>
      </w:r>
    </w:p>
    <w:p>
      <w:pPr>
        <w:spacing w:after="160"/>
      </w:pPr>
      <w:r>
        <w:rPr>
          <w:rFonts w:ascii="Calibri" w:cs="Calibri" w:eastAsia="Calibri" w:hAnsi="Calibri"/>
          <w:b w:val="false"/>
          <w:bCs w:val="false"/>
          <w:i w:val="false"/>
          <w:iCs w:val="false"/>
          <w:sz w:val="22"/>
          <w:szCs w:val="22"/>
        </w:rPr>
        <w:t xml:space="preserve">Full 30-field extraction for every paper is in the Excel workbook, sheet '1. Paper Database'. Condensed identification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2500"/>
        <w:gridCol w:w="1600"/>
      </w:tblGrid>
      <w:tr>
        <w:tc>
          <w:tcPr>
            <w:tcW w:type="dxa" w:w="700"/>
            <w:shd w:fill="1F4E79" w:val="clear"/>
            <w:vAlign w:val="center"/>
          </w:tcPr>
          <w:p>
            <w:r>
              <w:rPr>
                <w:rFonts w:ascii="Calibri" w:cs="Calibri" w:eastAsia="Calibri" w:hAnsi="Calibri"/>
                <w:b/>
                <w:bCs/>
                <w:color w:val="FFFFFF"/>
                <w:sz w:val="19"/>
                <w:szCs w:val="19"/>
              </w:rPr>
              <w:t xml:space="preserve">ID</w:t>
            </w:r>
          </w:p>
        </w:tc>
        <w:tc>
          <w:tcPr>
            <w:tcW w:type="dxa" w:w="3400"/>
            <w:shd w:fill="1F4E79" w:val="clear"/>
            <w:vAlign w:val="center"/>
          </w:tcPr>
          <w:p>
            <w:r>
              <w:rPr>
                <w:rFonts w:ascii="Calibri" w:cs="Calibri" w:eastAsia="Calibri" w:hAnsi="Calibri"/>
                <w:b/>
                <w:bCs/>
                <w:color w:val="FFFFFF"/>
                <w:sz w:val="19"/>
                <w:szCs w:val="19"/>
              </w:rPr>
              <w:t xml:space="preserve">Title</w:t>
            </w:r>
          </w:p>
        </w:tc>
        <w:tc>
          <w:tcPr>
            <w:tcW w:type="dxa" w:w="1400"/>
            <w:shd w:fill="1F4E79" w:val="clear"/>
            <w:vAlign w:val="center"/>
          </w:tcPr>
          <w:p>
            <w:r>
              <w:rPr>
                <w:rFonts w:ascii="Calibri" w:cs="Calibri" w:eastAsia="Calibri" w:hAnsi="Calibri"/>
                <w:b/>
                <w:bCs/>
                <w:color w:val="FFFFFF"/>
                <w:sz w:val="19"/>
                <w:szCs w:val="19"/>
              </w:rPr>
              <w:t xml:space="preserve">Year / Journal</w:t>
            </w:r>
          </w:p>
        </w:tc>
        <w:tc>
          <w:tcPr>
            <w:tcW w:type="dxa" w:w="2500"/>
            <w:shd w:fill="1F4E79" w:val="clear"/>
            <w:vAlign w:val="center"/>
          </w:tcPr>
          <w:p>
            <w:r>
              <w:rPr>
                <w:rFonts w:ascii="Calibri" w:cs="Calibri" w:eastAsia="Calibri" w:hAnsi="Calibri"/>
                <w:b/>
                <w:bCs/>
                <w:color w:val="FFFFFF"/>
                <w:sz w:val="19"/>
                <w:szCs w:val="19"/>
              </w:rPr>
              <w:t xml:space="preserve">Core Method(s)</w:t>
            </w:r>
          </w:p>
        </w:tc>
        <w:tc>
          <w:tcPr>
            <w:tcW w:type="dxa" w:w="1600"/>
            <w:shd w:fill="1F4E79" w:val="clear"/>
            <w:vAlign w:val="center"/>
          </w:tcPr>
          <w:p>
            <w:r>
              <w:rPr>
                <w:rFonts w:ascii="Calibri" w:cs="Calibri" w:eastAsia="Calibri" w:hAnsi="Calibri"/>
                <w:b/>
                <w:bCs/>
                <w:color w:val="FFFFFF"/>
                <w:sz w:val="19"/>
                <w:szCs w:val="19"/>
              </w:rPr>
              <w:t xml:space="preserve">Primary Category</w:t>
            </w:r>
          </w:p>
        </w:tc>
      </w:tr>
      <w:tr>
        <w:tc>
          <w:tcPr>
            <w:tcW w:type="dxa" w:w="700"/>
            <w:vAlign w:val="center"/>
          </w:tcPr>
          <w:p>
            <w:r>
              <w:rPr>
                <w:rFonts w:ascii="Calibri" w:cs="Calibri" w:eastAsia="Calibri" w:hAnsi="Calibri"/>
                <w:b w:val="false"/>
                <w:bCs w:val="false"/>
                <w:color w:val="000000"/>
                <w:sz w:val="19"/>
                <w:szCs w:val="19"/>
              </w:rPr>
              <w:t xml:space="preserve">P01</w:t>
            </w:r>
          </w:p>
        </w:tc>
        <w:tc>
          <w:tcPr>
            <w:tcW w:type="dxa" w:w="3400"/>
            <w:vAlign w:val="center"/>
          </w:tcPr>
          <w:p>
            <w:r>
              <w:rPr>
                <w:rFonts w:ascii="Calibri" w:cs="Calibri" w:eastAsia="Calibri" w:hAnsi="Calibri"/>
                <w:b w:val="false"/>
                <w:bCs w:val="false"/>
                <w:color w:val="000000"/>
                <w:sz w:val="19"/>
                <w:szCs w:val="19"/>
              </w:rPr>
              <w:t xml:space="preserve">Coastal WQ prediction with feature interpretation &amp; spatio-temporal analysis</w:t>
            </w:r>
          </w:p>
        </w:tc>
        <w:tc>
          <w:tcPr>
            <w:tcW w:type="dxa" w:w="1400"/>
            <w:vAlign w:val="center"/>
          </w:tcPr>
          <w:p>
            <w:r>
              <w:rPr>
                <w:rFonts w:ascii="Calibri" w:cs="Calibri" w:eastAsia="Calibri" w:hAnsi="Calibri"/>
                <w:b w:val="false"/>
                <w:bCs w:val="false"/>
                <w:color w:val="000000"/>
                <w:sz w:val="19"/>
                <w:szCs w:val="19"/>
              </w:rPr>
              <w:t xml:space="preserve">2022 / Env. Modelling &amp; Software</w:t>
            </w:r>
          </w:p>
        </w:tc>
        <w:tc>
          <w:tcPr>
            <w:tcW w:type="dxa" w:w="2500"/>
            <w:vAlign w:val="center"/>
          </w:tcPr>
          <w:p>
            <w:r>
              <w:rPr>
                <w:rFonts w:ascii="Calibri" w:cs="Calibri" w:eastAsia="Calibri" w:hAnsi="Calibri"/>
                <w:b w:val="false"/>
                <w:bCs w:val="false"/>
                <w:color w:val="000000"/>
                <w:sz w:val="19"/>
                <w:szCs w:val="19"/>
              </w:rPr>
              <w:t xml:space="preserve">CatBoost, XGBoost, RF, SVR, ANN + SHAP</w:t>
            </w:r>
          </w:p>
        </w:tc>
        <w:tc>
          <w:tcPr>
            <w:tcW w:type="dxa" w:w="1600"/>
            <w:vAlign w:val="center"/>
          </w:tcPr>
          <w:p>
            <w:r>
              <w:rPr>
                <w:rFonts w:ascii="Calibri" w:cs="Calibri" w:eastAsia="Calibri" w:hAnsi="Calibri"/>
                <w:b w:val="false"/>
                <w:bCs w:val="false"/>
                <w:color w:val="000000"/>
                <w:sz w:val="19"/>
                <w:szCs w:val="19"/>
              </w:rPr>
              <w:t xml:space="preserve">Coastal / ML / XAI</w:t>
            </w:r>
          </w:p>
        </w:tc>
      </w:tr>
      <w:tr>
        <w:tc>
          <w:tcPr>
            <w:tcW w:type="dxa" w:w="700"/>
            <w:vAlign w:val="center"/>
          </w:tcPr>
          <w:p>
            <w:r>
              <w:rPr>
                <w:rFonts w:ascii="Calibri" w:cs="Calibri" w:eastAsia="Calibri" w:hAnsi="Calibri"/>
                <w:b w:val="false"/>
                <w:bCs w:val="false"/>
                <w:color w:val="000000"/>
                <w:sz w:val="19"/>
                <w:szCs w:val="19"/>
              </w:rPr>
              <w:t xml:space="preserve">P02</w:t>
            </w:r>
          </w:p>
        </w:tc>
        <w:tc>
          <w:tcPr>
            <w:tcW w:type="dxa" w:w="3400"/>
            <w:vAlign w:val="center"/>
          </w:tcPr>
          <w:p>
            <w:r>
              <w:rPr>
                <w:rFonts w:ascii="Calibri" w:cs="Calibri" w:eastAsia="Calibri" w:hAnsi="Calibri"/>
                <w:b w:val="false"/>
                <w:bCs w:val="false"/>
                <w:color w:val="000000"/>
                <w:sz w:val="19"/>
                <w:szCs w:val="19"/>
              </w:rPr>
              <w:t xml:space="preserve">Integrated coastal ecosystem monitoring strategy (Naf-Saint Martin, Bangladesh)</w:t>
            </w:r>
          </w:p>
        </w:tc>
        <w:tc>
          <w:tcPr>
            <w:tcW w:type="dxa" w:w="1400"/>
            <w:vAlign w:val="center"/>
          </w:tcPr>
          <w:p>
            <w:r>
              <w:rPr>
                <w:rFonts w:ascii="Calibri" w:cs="Calibri" w:eastAsia="Calibri" w:hAnsi="Calibri"/>
                <w:b w:val="false"/>
                <w:bCs w:val="false"/>
                <w:color w:val="000000"/>
                <w:sz w:val="19"/>
                <w:szCs w:val="19"/>
              </w:rPr>
              <w:t xml:space="preserve">2024 / Science of the Total Environment</w:t>
            </w:r>
          </w:p>
        </w:tc>
        <w:tc>
          <w:tcPr>
            <w:tcW w:type="dxa" w:w="2500"/>
            <w:vAlign w:val="center"/>
          </w:tcPr>
          <w:p>
            <w:r>
              <w:rPr>
                <w:rFonts w:ascii="Calibri" w:cs="Calibri" w:eastAsia="Calibri" w:hAnsi="Calibri"/>
                <w:b w:val="false"/>
                <w:bCs w:val="false"/>
                <w:color w:val="000000"/>
                <w:sz w:val="19"/>
                <w:szCs w:val="19"/>
              </w:rPr>
              <w:t xml:space="preserve">In-situ + ocean model + citizen science</w:t>
            </w:r>
          </w:p>
        </w:tc>
        <w:tc>
          <w:tcPr>
            <w:tcW w:type="dxa" w:w="1600"/>
            <w:vAlign w:val="center"/>
          </w:tcPr>
          <w:p>
            <w:r>
              <w:rPr>
                <w:rFonts w:ascii="Calibri" w:cs="Calibri" w:eastAsia="Calibri" w:hAnsi="Calibri"/>
                <w:b w:val="false"/>
                <w:bCs w:val="false"/>
                <w:color w:val="000000"/>
                <w:sz w:val="19"/>
                <w:szCs w:val="19"/>
              </w:rPr>
              <w:t xml:space="preserve">Coastal / Frameworks</w:t>
            </w:r>
          </w:p>
        </w:tc>
      </w:tr>
      <w:tr>
        <w:tc>
          <w:tcPr>
            <w:tcW w:type="dxa" w:w="700"/>
            <w:vAlign w:val="center"/>
          </w:tcPr>
          <w:p>
            <w:r>
              <w:rPr>
                <w:rFonts w:ascii="Calibri" w:cs="Calibri" w:eastAsia="Calibri" w:hAnsi="Calibri"/>
                <w:b w:val="false"/>
                <w:bCs w:val="false"/>
                <w:color w:val="000000"/>
                <w:sz w:val="19"/>
                <w:szCs w:val="19"/>
              </w:rPr>
              <w:t xml:space="preserve">P03</w:t>
            </w:r>
          </w:p>
        </w:tc>
        <w:tc>
          <w:tcPr>
            <w:tcW w:type="dxa" w:w="3400"/>
            <w:vAlign w:val="center"/>
          </w:tcPr>
          <w:p>
            <w:r>
              <w:rPr>
                <w:rFonts w:ascii="Calibri" w:cs="Calibri" w:eastAsia="Calibri" w:hAnsi="Calibri"/>
                <w:b w:val="false"/>
                <w:bCs w:val="false"/>
                <w:color w:val="000000"/>
                <w:sz w:val="19"/>
                <w:szCs w:val="19"/>
              </w:rPr>
              <w:t xml:space="preserve">Smart Water Quality Monitoring with IoT Wireless Sensor Networks</w:t>
            </w:r>
          </w:p>
        </w:tc>
        <w:tc>
          <w:tcPr>
            <w:tcW w:type="dxa" w:w="1400"/>
            <w:vAlign w:val="center"/>
          </w:tcPr>
          <w:p>
            <w:r>
              <w:rPr>
                <w:rFonts w:ascii="Calibri" w:cs="Calibri" w:eastAsia="Calibri" w:hAnsi="Calibri"/>
                <w:b w:val="false"/>
                <w:bCs w:val="false"/>
                <w:color w:val="000000"/>
                <w:sz w:val="19"/>
                <w:szCs w:val="19"/>
              </w:rPr>
              <w:t xml:space="preserve">2024 / Sensors</w:t>
            </w:r>
          </w:p>
        </w:tc>
        <w:tc>
          <w:tcPr>
            <w:tcW w:type="dxa" w:w="2500"/>
            <w:vAlign w:val="center"/>
          </w:tcPr>
          <w:p>
            <w:r>
              <w:rPr>
                <w:rFonts w:ascii="Calibri" w:cs="Calibri" w:eastAsia="Calibri" w:hAnsi="Calibri"/>
                <w:b w:val="false"/>
                <w:bCs w:val="false"/>
                <w:color w:val="000000"/>
                <w:sz w:val="19"/>
                <w:szCs w:val="19"/>
              </w:rPr>
              <w:t xml:space="preserve">Ridge, RF, SGB, SVM, KNN, AdaBoost</w:t>
            </w:r>
          </w:p>
        </w:tc>
        <w:tc>
          <w:tcPr>
            <w:tcW w:type="dxa" w:w="1600"/>
            <w:vAlign w:val="center"/>
          </w:tcPr>
          <w:p>
            <w:r>
              <w:rPr>
                <w:rFonts w:ascii="Calibri" w:cs="Calibri" w:eastAsia="Calibri" w:hAnsi="Calibri"/>
                <w:b w:val="false"/>
                <w:bCs w:val="false"/>
                <w:color w:val="000000"/>
                <w:sz w:val="19"/>
                <w:szCs w:val="19"/>
              </w:rPr>
              <w:t xml:space="preserve">IoT / ML</w:t>
            </w:r>
          </w:p>
        </w:tc>
      </w:tr>
      <w:tr>
        <w:tc>
          <w:tcPr>
            <w:tcW w:type="dxa" w:w="700"/>
            <w:vAlign w:val="center"/>
          </w:tcPr>
          <w:p>
            <w:r>
              <w:rPr>
                <w:rFonts w:ascii="Calibri" w:cs="Calibri" w:eastAsia="Calibri" w:hAnsi="Calibri"/>
                <w:b w:val="false"/>
                <w:bCs w:val="false"/>
                <w:color w:val="000000"/>
                <w:sz w:val="19"/>
                <w:szCs w:val="19"/>
              </w:rPr>
              <w:t xml:space="preserve">P04</w:t>
            </w:r>
          </w:p>
        </w:tc>
        <w:tc>
          <w:tcPr>
            <w:tcW w:type="dxa" w:w="3400"/>
            <w:vAlign w:val="center"/>
          </w:tcPr>
          <w:p>
            <w:r>
              <w:rPr>
                <w:rFonts w:ascii="Calibri" w:cs="Calibri" w:eastAsia="Calibri" w:hAnsi="Calibri"/>
                <w:b w:val="false"/>
                <w:bCs w:val="false"/>
                <w:color w:val="000000"/>
                <w:sz w:val="19"/>
                <w:szCs w:val="19"/>
              </w:rPr>
              <w:t xml:space="preserve">Predicting WQI using stacked ensemble regression + SHAP</w:t>
            </w:r>
          </w:p>
        </w:tc>
        <w:tc>
          <w:tcPr>
            <w:tcW w:type="dxa" w:w="1400"/>
            <w:vAlign w:val="center"/>
          </w:tcPr>
          <w:p>
            <w:r>
              <w:rPr>
                <w:rFonts w:ascii="Calibri" w:cs="Calibri" w:eastAsia="Calibri" w:hAnsi="Calibri"/>
                <w:b w:val="false"/>
                <w:bCs w:val="false"/>
                <w:color w:val="000000"/>
                <w:sz w:val="19"/>
                <w:szCs w:val="19"/>
              </w:rPr>
              <w:t xml:space="preserve">2025 / Scientific Reports</w:t>
            </w:r>
          </w:p>
        </w:tc>
        <w:tc>
          <w:tcPr>
            <w:tcW w:type="dxa" w:w="2500"/>
            <w:vAlign w:val="center"/>
          </w:tcPr>
          <w:p>
            <w:r>
              <w:rPr>
                <w:rFonts w:ascii="Calibri" w:cs="Calibri" w:eastAsia="Calibri" w:hAnsi="Calibri"/>
                <w:b w:val="false"/>
                <w:bCs w:val="false"/>
                <w:color w:val="000000"/>
                <w:sz w:val="19"/>
                <w:szCs w:val="19"/>
              </w:rPr>
              <w:t xml:space="preserve">XGBoost/CatBoost/RF/GB/ET/AdaBoost ensemble + SHAP</w:t>
            </w:r>
          </w:p>
        </w:tc>
        <w:tc>
          <w:tcPr>
            <w:tcW w:type="dxa" w:w="1600"/>
            <w:vAlign w:val="center"/>
          </w:tcPr>
          <w:p>
            <w:r>
              <w:rPr>
                <w:rFonts w:ascii="Calibri" w:cs="Calibri" w:eastAsia="Calibri" w:hAnsi="Calibri"/>
                <w:b w:val="false"/>
                <w:bCs w:val="false"/>
                <w:color w:val="000000"/>
                <w:sz w:val="19"/>
                <w:szCs w:val="19"/>
              </w:rPr>
              <w:t xml:space="preserve">ML / XAI</w:t>
            </w:r>
          </w:p>
        </w:tc>
      </w:tr>
      <w:tr>
        <w:tc>
          <w:tcPr>
            <w:tcW w:type="dxa" w:w="700"/>
            <w:vAlign w:val="center"/>
          </w:tcPr>
          <w:p>
            <w:r>
              <w:rPr>
                <w:rFonts w:ascii="Calibri" w:cs="Calibri" w:eastAsia="Calibri" w:hAnsi="Calibri"/>
                <w:b w:val="false"/>
                <w:bCs w:val="false"/>
                <w:color w:val="000000"/>
                <w:sz w:val="19"/>
                <w:szCs w:val="19"/>
              </w:rPr>
              <w:t xml:space="preserve">P05</w:t>
            </w:r>
          </w:p>
        </w:tc>
        <w:tc>
          <w:tcPr>
            <w:tcW w:type="dxa" w:w="3400"/>
            <w:vAlign w:val="center"/>
          </w:tcPr>
          <w:p>
            <w:r>
              <w:rPr>
                <w:rFonts w:ascii="Calibri" w:cs="Calibri" w:eastAsia="Calibri" w:hAnsi="Calibri"/>
                <w:b w:val="false"/>
                <w:bCs w:val="false"/>
                <w:color w:val="000000"/>
                <w:sz w:val="19"/>
                <w:szCs w:val="19"/>
              </w:rPr>
              <w:t xml:space="preserve">Water quality prediction via hybrid CNN-LSTM with attention</w:t>
            </w:r>
          </w:p>
        </w:tc>
        <w:tc>
          <w:tcPr>
            <w:tcW w:type="dxa" w:w="1400"/>
            <w:vAlign w:val="center"/>
          </w:tcPr>
          <w:p>
            <w:r>
              <w:rPr>
                <w:rFonts w:ascii="Calibri" w:cs="Calibri" w:eastAsia="Calibri" w:hAnsi="Calibri"/>
                <w:b w:val="false"/>
                <w:bCs w:val="false"/>
                <w:color w:val="000000"/>
                <w:sz w:val="19"/>
                <w:szCs w:val="19"/>
              </w:rPr>
              <w:t xml:space="preserve">2021 / Env. Science and Pollution Research</w:t>
            </w:r>
          </w:p>
        </w:tc>
        <w:tc>
          <w:tcPr>
            <w:tcW w:type="dxa" w:w="2500"/>
            <w:vAlign w:val="center"/>
          </w:tcPr>
          <w:p>
            <w:r>
              <w:rPr>
                <w:rFonts w:ascii="Calibri" w:cs="Calibri" w:eastAsia="Calibri" w:hAnsi="Calibri"/>
                <w:b w:val="false"/>
                <w:bCs w:val="false"/>
                <w:color w:val="000000"/>
                <w:sz w:val="19"/>
                <w:szCs w:val="19"/>
              </w:rPr>
              <w:t xml:space="preserve">CNN-LSTM + Attention</w:t>
            </w:r>
          </w:p>
        </w:tc>
        <w:tc>
          <w:tcPr>
            <w:tcW w:type="dxa" w:w="1600"/>
            <w:vAlign w:val="center"/>
          </w:tcPr>
          <w:p>
            <w:r>
              <w:rPr>
                <w:rFonts w:ascii="Calibri" w:cs="Calibri" w:eastAsia="Calibri" w:hAnsi="Calibri"/>
                <w:b w:val="false"/>
                <w:bCs w:val="false"/>
                <w:color w:val="000000"/>
                <w:sz w:val="19"/>
                <w:szCs w:val="19"/>
              </w:rPr>
              <w:t xml:space="preserve">Deep Learning</w:t>
            </w:r>
          </w:p>
        </w:tc>
      </w:tr>
      <w:tr>
        <w:tc>
          <w:tcPr>
            <w:tcW w:type="dxa" w:w="700"/>
            <w:vAlign w:val="center"/>
          </w:tcPr>
          <w:p>
            <w:r>
              <w:rPr>
                <w:rFonts w:ascii="Calibri" w:cs="Calibri" w:eastAsia="Calibri" w:hAnsi="Calibri"/>
                <w:b w:val="false"/>
                <w:bCs w:val="false"/>
                <w:color w:val="000000"/>
                <w:sz w:val="19"/>
                <w:szCs w:val="19"/>
              </w:rPr>
              <w:t xml:space="preserve">P06</w:t>
            </w:r>
          </w:p>
        </w:tc>
        <w:tc>
          <w:tcPr>
            <w:tcW w:type="dxa" w:w="3400"/>
            <w:vAlign w:val="center"/>
          </w:tcPr>
          <w:p>
            <w:r>
              <w:rPr>
                <w:rFonts w:ascii="Calibri" w:cs="Calibri" w:eastAsia="Calibri" w:hAnsi="Calibri"/>
                <w:b w:val="false"/>
                <w:bCs w:val="false"/>
                <w:color w:val="000000"/>
                <w:sz w:val="19"/>
                <w:szCs w:val="19"/>
              </w:rPr>
              <w:t xml:space="preserve">Explainable AI model for anomaly detection in water quality data</w:t>
            </w:r>
          </w:p>
        </w:tc>
        <w:tc>
          <w:tcPr>
            <w:tcW w:type="dxa" w:w="1400"/>
            <w:vAlign w:val="center"/>
          </w:tcPr>
          <w:p>
            <w:r>
              <w:rPr>
                <w:rFonts w:ascii="Calibri" w:cs="Calibri" w:eastAsia="Calibri" w:hAnsi="Calibri"/>
                <w:b w:val="false"/>
                <w:bCs w:val="false"/>
                <w:color w:val="000000"/>
                <w:sz w:val="19"/>
                <w:szCs w:val="19"/>
              </w:rPr>
              <w:t xml:space="preserve">2026 / Water Resources Management</w:t>
            </w:r>
          </w:p>
        </w:tc>
        <w:tc>
          <w:tcPr>
            <w:tcW w:type="dxa" w:w="2500"/>
            <w:vAlign w:val="center"/>
          </w:tcPr>
          <w:p>
            <w:r>
              <w:rPr>
                <w:rFonts w:ascii="Calibri" w:cs="Calibri" w:eastAsia="Calibri" w:hAnsi="Calibri"/>
                <w:b w:val="false"/>
                <w:bCs w:val="false"/>
                <w:color w:val="000000"/>
                <w:sz w:val="19"/>
                <w:szCs w:val="19"/>
              </w:rPr>
              <w:t xml:space="preserve">Random Forest + novel VDPR explainability</w:t>
            </w:r>
          </w:p>
        </w:tc>
        <w:tc>
          <w:tcPr>
            <w:tcW w:type="dxa" w:w="1600"/>
            <w:vAlign w:val="center"/>
          </w:tcPr>
          <w:p>
            <w:r>
              <w:rPr>
                <w:rFonts w:ascii="Calibri" w:cs="Calibri" w:eastAsia="Calibri" w:hAnsi="Calibri"/>
                <w:b w:val="false"/>
                <w:bCs w:val="false"/>
                <w:color w:val="000000"/>
                <w:sz w:val="19"/>
                <w:szCs w:val="19"/>
              </w:rPr>
              <w:t xml:space="preserve">XAI / Anomaly Detection</w:t>
            </w:r>
          </w:p>
        </w:tc>
      </w:tr>
      <w:tr>
        <w:tc>
          <w:tcPr>
            <w:tcW w:type="dxa" w:w="700"/>
            <w:vAlign w:val="center"/>
          </w:tcPr>
          <w:p>
            <w:r>
              <w:rPr>
                <w:rFonts w:ascii="Calibri" w:cs="Calibri" w:eastAsia="Calibri" w:hAnsi="Calibri"/>
                <w:b w:val="false"/>
                <w:bCs w:val="false"/>
                <w:color w:val="000000"/>
                <w:sz w:val="19"/>
                <w:szCs w:val="19"/>
              </w:rPr>
              <w:t xml:space="preserve">P07</w:t>
            </w:r>
          </w:p>
        </w:tc>
        <w:tc>
          <w:tcPr>
            <w:tcW w:type="dxa" w:w="3400"/>
            <w:vAlign w:val="center"/>
          </w:tcPr>
          <w:p>
            <w:r>
              <w:rPr>
                <w:rFonts w:ascii="Calibri" w:cs="Calibri" w:eastAsia="Calibri" w:hAnsi="Calibri"/>
                <w:b w:val="false"/>
                <w:bCs w:val="false"/>
                <w:color w:val="000000"/>
                <w:sz w:val="19"/>
                <w:szCs w:val="19"/>
              </w:rPr>
              <w:t xml:space="preserve">Open-source framework for citizen-centric environmental monitoring</w:t>
            </w:r>
          </w:p>
        </w:tc>
        <w:tc>
          <w:tcPr>
            <w:tcW w:type="dxa" w:w="1400"/>
            <w:vAlign w:val="center"/>
          </w:tcPr>
          <w:p>
            <w:r>
              <w:rPr>
                <w:rFonts w:ascii="Calibri" w:cs="Calibri" w:eastAsia="Calibri" w:hAnsi="Calibri"/>
                <w:b w:val="false"/>
                <w:bCs w:val="false"/>
                <w:color w:val="000000"/>
                <w:sz w:val="19"/>
                <w:szCs w:val="19"/>
              </w:rPr>
              <w:t xml:space="preserve">2022 / Scientific Reports</w:t>
            </w:r>
          </w:p>
        </w:tc>
        <w:tc>
          <w:tcPr>
            <w:tcW w:type="dxa" w:w="2500"/>
            <w:vAlign w:val="center"/>
          </w:tcPr>
          <w:p>
            <w:r>
              <w:rPr>
                <w:rFonts w:ascii="Calibri" w:cs="Calibri" w:eastAsia="Calibri" w:hAnsi="Calibri"/>
                <w:b w:val="false"/>
                <w:bCs w:val="false"/>
                <w:color w:val="000000"/>
                <w:sz w:val="19"/>
                <w:szCs w:val="19"/>
              </w:rPr>
              <w:t xml:space="preserve">kNN, RF, XGBoost, ANN, ARIMA</w:t>
            </w:r>
          </w:p>
        </w:tc>
        <w:tc>
          <w:tcPr>
            <w:tcW w:type="dxa" w:w="1600"/>
            <w:vAlign w:val="center"/>
          </w:tcPr>
          <w:p>
            <w:r>
              <w:rPr>
                <w:rFonts w:ascii="Calibri" w:cs="Calibri" w:eastAsia="Calibri" w:hAnsi="Calibri"/>
                <w:b w:val="false"/>
                <w:bCs w:val="false"/>
                <w:color w:val="000000"/>
                <w:sz w:val="19"/>
                <w:szCs w:val="19"/>
              </w:rPr>
              <w:t xml:space="preserve">Frameworks / IoT</w:t>
            </w:r>
          </w:p>
        </w:tc>
      </w:tr>
      <w:tr>
        <w:tc>
          <w:tcPr>
            <w:tcW w:type="dxa" w:w="700"/>
            <w:vAlign w:val="center"/>
          </w:tcPr>
          <w:p>
            <w:r>
              <w:rPr>
                <w:rFonts w:ascii="Calibri" w:cs="Calibri" w:eastAsia="Calibri" w:hAnsi="Calibri"/>
                <w:b w:val="false"/>
                <w:bCs w:val="false"/>
                <w:color w:val="000000"/>
                <w:sz w:val="19"/>
                <w:szCs w:val="19"/>
              </w:rPr>
              <w:t xml:space="preserve">P08</w:t>
            </w:r>
          </w:p>
        </w:tc>
        <w:tc>
          <w:tcPr>
            <w:tcW w:type="dxa" w:w="3400"/>
            <w:vAlign w:val="center"/>
          </w:tcPr>
          <w:p>
            <w:r>
              <w:rPr>
                <w:rFonts w:ascii="Calibri" w:cs="Calibri" w:eastAsia="Calibri" w:hAnsi="Calibri"/>
                <w:b w:val="false"/>
                <w:bCs w:val="false"/>
                <w:color w:val="000000"/>
                <w:sz w:val="19"/>
                <w:szCs w:val="19"/>
              </w:rPr>
              <w:t xml:space="preserve">ML-IoT enabled environment quality monitoring system</w:t>
            </w:r>
          </w:p>
        </w:tc>
        <w:tc>
          <w:tcPr>
            <w:tcW w:type="dxa" w:w="1400"/>
            <w:vAlign w:val="center"/>
          </w:tcPr>
          <w:p>
            <w:r>
              <w:rPr>
                <w:rFonts w:ascii="Calibri" w:cs="Calibri" w:eastAsia="Calibri" w:hAnsi="Calibri"/>
                <w:b w:val="false"/>
                <w:bCs w:val="false"/>
                <w:color w:val="000000"/>
                <w:sz w:val="19"/>
                <w:szCs w:val="19"/>
              </w:rPr>
              <w:t xml:space="preserve">2026 / Frontiers in Environmental Science</w:t>
            </w:r>
          </w:p>
        </w:tc>
        <w:tc>
          <w:tcPr>
            <w:tcW w:type="dxa" w:w="2500"/>
            <w:vAlign w:val="center"/>
          </w:tcPr>
          <w:p>
            <w:r>
              <w:rPr>
                <w:rFonts w:ascii="Calibri" w:cs="Calibri" w:eastAsia="Calibri" w:hAnsi="Calibri"/>
                <w:b w:val="false"/>
                <w:bCs w:val="false"/>
                <w:color w:val="000000"/>
                <w:sz w:val="19"/>
                <w:szCs w:val="19"/>
              </w:rPr>
              <w:t xml:space="preserve">Linear Reg., RF, BiLSTM</w:t>
            </w:r>
          </w:p>
        </w:tc>
        <w:tc>
          <w:tcPr>
            <w:tcW w:type="dxa" w:w="1600"/>
            <w:vAlign w:val="center"/>
          </w:tcPr>
          <w:p>
            <w:r>
              <w:rPr>
                <w:rFonts w:ascii="Calibri" w:cs="Calibri" w:eastAsia="Calibri" w:hAnsi="Calibri"/>
                <w:b w:val="false"/>
                <w:bCs w:val="false"/>
                <w:color w:val="000000"/>
                <w:sz w:val="19"/>
                <w:szCs w:val="19"/>
              </w:rPr>
              <w:t xml:space="preserve">Frameworks / IoT</w:t>
            </w:r>
          </w:p>
        </w:tc>
      </w:tr>
      <w:tr>
        <w:tc>
          <w:tcPr>
            <w:tcW w:type="dxa" w:w="700"/>
            <w:vAlign w:val="center"/>
          </w:tcPr>
          <w:p>
            <w:r>
              <w:rPr>
                <w:rFonts w:ascii="Calibri" w:cs="Calibri" w:eastAsia="Calibri" w:hAnsi="Calibri"/>
                <w:b w:val="false"/>
                <w:bCs w:val="false"/>
                <w:color w:val="000000"/>
                <w:sz w:val="19"/>
                <w:szCs w:val="19"/>
              </w:rPr>
              <w:t xml:space="preserve">P09</w:t>
            </w:r>
          </w:p>
        </w:tc>
        <w:tc>
          <w:tcPr>
            <w:tcW w:type="dxa" w:w="3400"/>
            <w:vAlign w:val="center"/>
          </w:tcPr>
          <w:p>
            <w:r>
              <w:rPr>
                <w:rFonts w:ascii="Calibri" w:cs="Calibri" w:eastAsia="Calibri" w:hAnsi="Calibri"/>
                <w:b w:val="false"/>
                <w:bCs w:val="false"/>
                <w:color w:val="000000"/>
                <w:sz w:val="19"/>
                <w:szCs w:val="19"/>
              </w:rPr>
              <w:t xml:space="preserve">Decision support framework for reservoir WQ management (AI + statistics)</w:t>
            </w:r>
          </w:p>
        </w:tc>
        <w:tc>
          <w:tcPr>
            <w:tcW w:type="dxa" w:w="1400"/>
            <w:vAlign w:val="center"/>
          </w:tcPr>
          <w:p>
            <w:r>
              <w:rPr>
                <w:rFonts w:ascii="Calibri" w:cs="Calibri" w:eastAsia="Calibri" w:hAnsi="Calibri"/>
                <w:b w:val="false"/>
                <w:bCs w:val="false"/>
                <w:color w:val="000000"/>
                <w:sz w:val="19"/>
                <w:szCs w:val="19"/>
              </w:rPr>
              <w:t xml:space="preserve">2024 / Water (MDPI)</w:t>
            </w:r>
          </w:p>
        </w:tc>
        <w:tc>
          <w:tcPr>
            <w:tcW w:type="dxa" w:w="2500"/>
            <w:vAlign w:val="center"/>
          </w:tcPr>
          <w:p>
            <w:r>
              <w:rPr>
                <w:rFonts w:ascii="Calibri" w:cs="Calibri" w:eastAsia="Calibri" w:hAnsi="Calibri"/>
                <w:b w:val="false"/>
                <w:bCs w:val="false"/>
                <w:color w:val="000000"/>
                <w:sz w:val="19"/>
                <w:szCs w:val="19"/>
              </w:rPr>
              <w:t xml:space="preserve">ML, DL, GIS, statistical trend analysis</w:t>
            </w:r>
          </w:p>
        </w:tc>
        <w:tc>
          <w:tcPr>
            <w:tcW w:type="dxa" w:w="1600"/>
            <w:vAlign w:val="center"/>
          </w:tcPr>
          <w:p>
            <w:r>
              <w:rPr>
                <w:rFonts w:ascii="Calibri" w:cs="Calibri" w:eastAsia="Calibri" w:hAnsi="Calibri"/>
                <w:b w:val="false"/>
                <w:bCs w:val="false"/>
                <w:color w:val="000000"/>
                <w:sz w:val="19"/>
                <w:szCs w:val="19"/>
              </w:rPr>
              <w:t xml:space="preserve">Frameworks / DSS</w:t>
            </w:r>
          </w:p>
        </w:tc>
      </w:tr>
      <w:tr>
        <w:tc>
          <w:tcPr>
            <w:tcW w:type="dxa" w:w="700"/>
            <w:vAlign w:val="center"/>
          </w:tcPr>
          <w:p>
            <w:r>
              <w:rPr>
                <w:rFonts w:ascii="Calibri" w:cs="Calibri" w:eastAsia="Calibri" w:hAnsi="Calibri"/>
                <w:b w:val="false"/>
                <w:bCs w:val="false"/>
                <w:color w:val="000000"/>
                <w:sz w:val="19"/>
                <w:szCs w:val="19"/>
              </w:rPr>
              <w:t xml:space="preserve">P10</w:t>
            </w:r>
          </w:p>
        </w:tc>
        <w:tc>
          <w:tcPr>
            <w:tcW w:type="dxa" w:w="3400"/>
            <w:vAlign w:val="center"/>
          </w:tcPr>
          <w:p>
            <w:r>
              <w:rPr>
                <w:rFonts w:ascii="Calibri" w:cs="Calibri" w:eastAsia="Calibri" w:hAnsi="Calibri"/>
                <w:b w:val="false"/>
                <w:bCs w:val="false"/>
                <w:color w:val="000000"/>
                <w:sz w:val="19"/>
                <w:szCs w:val="19"/>
              </w:rPr>
              <w:t xml:space="preserve">From digital twin paradigm to digital water services</w:t>
            </w:r>
          </w:p>
        </w:tc>
        <w:tc>
          <w:tcPr>
            <w:tcW w:type="dxa" w:w="1400"/>
            <w:vAlign w:val="center"/>
          </w:tcPr>
          <w:p>
            <w:r>
              <w:rPr>
                <w:rFonts w:ascii="Calibri" w:cs="Calibri" w:eastAsia="Calibri" w:hAnsi="Calibri"/>
                <w:b w:val="false"/>
                <w:bCs w:val="false"/>
                <w:color w:val="000000"/>
                <w:sz w:val="19"/>
                <w:szCs w:val="19"/>
              </w:rPr>
              <w:t xml:space="preserve">2023 / Journal of Hydroinformatics</w:t>
            </w:r>
          </w:p>
        </w:tc>
        <w:tc>
          <w:tcPr>
            <w:tcW w:type="dxa" w:w="2500"/>
            <w:vAlign w:val="center"/>
          </w:tcPr>
          <w:p>
            <w:r>
              <w:rPr>
                <w:rFonts w:ascii="Calibri" w:cs="Calibri" w:eastAsia="Calibri" w:hAnsi="Calibri"/>
                <w:b w:val="false"/>
                <w:bCs w:val="false"/>
                <w:color w:val="000000"/>
                <w:sz w:val="19"/>
                <w:szCs w:val="19"/>
              </w:rPr>
              <w:t xml:space="preserve">Physically-based hydraulic modeling + AI/ML/DL</w:t>
            </w:r>
          </w:p>
        </w:tc>
        <w:tc>
          <w:tcPr>
            <w:tcW w:type="dxa" w:w="1600"/>
            <w:vAlign w:val="center"/>
          </w:tcPr>
          <w:p>
            <w:r>
              <w:rPr>
                <w:rFonts w:ascii="Calibri" w:cs="Calibri" w:eastAsia="Calibri" w:hAnsi="Calibri"/>
                <w:b w:val="false"/>
                <w:bCs w:val="false"/>
                <w:color w:val="000000"/>
                <w:sz w:val="19"/>
                <w:szCs w:val="19"/>
              </w:rPr>
              <w:t xml:space="preserve">Digital Twins</w:t>
            </w:r>
          </w:p>
        </w:tc>
      </w:tr>
      <w:tr>
        <w:tc>
          <w:tcPr>
            <w:tcW w:type="dxa" w:w="700"/>
            <w:vAlign w:val="center"/>
          </w:tcPr>
          <w:p>
            <w:r>
              <w:rPr>
                <w:rFonts w:ascii="Calibri" w:cs="Calibri" w:eastAsia="Calibri" w:hAnsi="Calibri"/>
                <w:b w:val="false"/>
                <w:bCs w:val="false"/>
                <w:color w:val="000000"/>
                <w:sz w:val="19"/>
                <w:szCs w:val="19"/>
              </w:rPr>
              <w:t xml:space="preserve">P11</w:t>
            </w:r>
          </w:p>
        </w:tc>
        <w:tc>
          <w:tcPr>
            <w:tcW w:type="dxa" w:w="3400"/>
            <w:vAlign w:val="center"/>
          </w:tcPr>
          <w:p>
            <w:r>
              <w:rPr>
                <w:rFonts w:ascii="Calibri" w:cs="Calibri" w:eastAsia="Calibri" w:hAnsi="Calibri"/>
                <w:b w:val="false"/>
                <w:bCs w:val="false"/>
                <w:color w:val="000000"/>
                <w:sz w:val="19"/>
                <w:szCs w:val="19"/>
              </w:rPr>
              <w:t xml:space="preserve">TwinEco: unified framework for ecological digital twins</w:t>
            </w:r>
          </w:p>
        </w:tc>
        <w:tc>
          <w:tcPr>
            <w:tcW w:type="dxa" w:w="1400"/>
            <w:vAlign w:val="center"/>
          </w:tcPr>
          <w:p>
            <w:r>
              <w:rPr>
                <w:rFonts w:ascii="Calibri" w:cs="Calibri" w:eastAsia="Calibri" w:hAnsi="Calibri"/>
                <w:b w:val="false"/>
                <w:bCs w:val="false"/>
                <w:color w:val="000000"/>
                <w:sz w:val="19"/>
                <w:szCs w:val="19"/>
              </w:rPr>
              <w:t xml:space="preserve">2025 / Ecological Informatics</w:t>
            </w:r>
          </w:p>
        </w:tc>
        <w:tc>
          <w:tcPr>
            <w:tcW w:type="dxa" w:w="2500"/>
            <w:vAlign w:val="center"/>
          </w:tcPr>
          <w:p>
            <w:r>
              <w:rPr>
                <w:rFonts w:ascii="Calibri" w:cs="Calibri" w:eastAsia="Calibri" w:hAnsi="Calibri"/>
                <w:b w:val="false"/>
                <w:bCs w:val="false"/>
                <w:color w:val="000000"/>
                <w:sz w:val="19"/>
                <w:szCs w:val="19"/>
              </w:rPr>
              <w:t xml:space="preserve">DDDAS paradigm, RL (conceptual)</w:t>
            </w:r>
          </w:p>
        </w:tc>
        <w:tc>
          <w:tcPr>
            <w:tcW w:type="dxa" w:w="1600"/>
            <w:vAlign w:val="center"/>
          </w:tcPr>
          <w:p>
            <w:r>
              <w:rPr>
                <w:rFonts w:ascii="Calibri" w:cs="Calibri" w:eastAsia="Calibri" w:hAnsi="Calibri"/>
                <w:b w:val="false"/>
                <w:bCs w:val="false"/>
                <w:color w:val="000000"/>
                <w:sz w:val="19"/>
                <w:szCs w:val="19"/>
              </w:rPr>
              <w:t xml:space="preserve">Digital Twins / Frameworks</w:t>
            </w:r>
          </w:p>
        </w:tc>
      </w:tr>
      <w:tr>
        <w:tc>
          <w:tcPr>
            <w:tcW w:type="dxa" w:w="700"/>
            <w:vAlign w:val="center"/>
          </w:tcPr>
          <w:p>
            <w:r>
              <w:rPr>
                <w:rFonts w:ascii="Calibri" w:cs="Calibri" w:eastAsia="Calibri" w:hAnsi="Calibri"/>
                <w:b w:val="false"/>
                <w:bCs w:val="false"/>
                <w:color w:val="000000"/>
                <w:sz w:val="19"/>
                <w:szCs w:val="19"/>
              </w:rPr>
              <w:t xml:space="preserve">P12</w:t>
            </w:r>
          </w:p>
        </w:tc>
        <w:tc>
          <w:tcPr>
            <w:tcW w:type="dxa" w:w="3400"/>
            <w:vAlign w:val="center"/>
          </w:tcPr>
          <w:p>
            <w:r>
              <w:rPr>
                <w:rFonts w:ascii="Calibri" w:cs="Calibri" w:eastAsia="Calibri" w:hAnsi="Calibri"/>
                <w:b w:val="false"/>
                <w:bCs w:val="false"/>
                <w:color w:val="000000"/>
                <w:sz w:val="19"/>
                <w:szCs w:val="19"/>
              </w:rPr>
              <w:t xml:space="preserve">SaQC: automated Quality Control for environmental data streams</w:t>
            </w:r>
          </w:p>
        </w:tc>
        <w:tc>
          <w:tcPr>
            <w:tcW w:type="dxa" w:w="1400"/>
            <w:vAlign w:val="center"/>
          </w:tcPr>
          <w:p>
            <w:r>
              <w:rPr>
                <w:rFonts w:ascii="Calibri" w:cs="Calibri" w:eastAsia="Calibri" w:hAnsi="Calibri"/>
                <w:b w:val="false"/>
                <w:bCs w:val="false"/>
                <w:color w:val="000000"/>
                <w:sz w:val="19"/>
                <w:szCs w:val="19"/>
              </w:rPr>
              <w:t xml:space="preserve">2023 / Env. Modelling &amp; Software</w:t>
            </w:r>
          </w:p>
        </w:tc>
        <w:tc>
          <w:tcPr>
            <w:tcW w:type="dxa" w:w="2500"/>
            <w:vAlign w:val="center"/>
          </w:tcPr>
          <w:p>
            <w:r>
              <w:rPr>
                <w:rFonts w:ascii="Calibri" w:cs="Calibri" w:eastAsia="Calibri" w:hAnsi="Calibri"/>
                <w:b w:val="false"/>
                <w:bCs w:val="false"/>
                <w:color w:val="000000"/>
                <w:sz w:val="19"/>
                <w:szCs w:val="19"/>
              </w:rPr>
              <w:t xml:space="preserve">32 QC functions (statistical + ML)</w:t>
            </w:r>
          </w:p>
        </w:tc>
        <w:tc>
          <w:tcPr>
            <w:tcW w:type="dxa" w:w="1600"/>
            <w:vAlign w:val="center"/>
          </w:tcPr>
          <w:p>
            <w:r>
              <w:rPr>
                <w:rFonts w:ascii="Calibri" w:cs="Calibri" w:eastAsia="Calibri" w:hAnsi="Calibri"/>
                <w:b w:val="false"/>
                <w:bCs w:val="false"/>
                <w:color w:val="000000"/>
                <w:sz w:val="19"/>
                <w:szCs w:val="19"/>
              </w:rPr>
              <w:t xml:space="preserve">Scientific Data QA</w:t>
            </w:r>
          </w:p>
        </w:tc>
      </w:tr>
      <w:tr>
        <w:tc>
          <w:tcPr>
            <w:tcW w:type="dxa" w:w="700"/>
            <w:vAlign w:val="center"/>
          </w:tcPr>
          <w:p>
            <w:r>
              <w:rPr>
                <w:rFonts w:ascii="Calibri" w:cs="Calibri" w:eastAsia="Calibri" w:hAnsi="Calibri"/>
                <w:b w:val="false"/>
                <w:bCs w:val="false"/>
                <w:color w:val="000000"/>
                <w:sz w:val="19"/>
                <w:szCs w:val="19"/>
              </w:rPr>
              <w:t xml:space="preserve">P13</w:t>
            </w:r>
          </w:p>
        </w:tc>
        <w:tc>
          <w:tcPr>
            <w:tcW w:type="dxa" w:w="3400"/>
            <w:vAlign w:val="center"/>
          </w:tcPr>
          <w:p>
            <w:r>
              <w:rPr>
                <w:rFonts w:ascii="Calibri" w:cs="Calibri" w:eastAsia="Calibri" w:hAnsi="Calibri"/>
                <w:b w:val="false"/>
                <w:bCs w:val="false"/>
                <w:color w:val="000000"/>
                <w:sz w:val="19"/>
                <w:szCs w:val="19"/>
              </w:rPr>
              <w:t xml:space="preserve">Physics-informed ML for conservative pollutant transport</w:t>
            </w:r>
          </w:p>
        </w:tc>
        <w:tc>
          <w:tcPr>
            <w:tcW w:type="dxa" w:w="1400"/>
            <w:vAlign w:val="center"/>
          </w:tcPr>
          <w:p>
            <w:r>
              <w:rPr>
                <w:rFonts w:ascii="Calibri" w:cs="Calibri" w:eastAsia="Calibri" w:hAnsi="Calibri"/>
                <w:b w:val="false"/>
                <w:bCs w:val="false"/>
                <w:color w:val="000000"/>
                <w:sz w:val="19"/>
                <w:szCs w:val="19"/>
              </w:rPr>
              <w:t xml:space="preserve">2023 / Journal of Hydrology</w:t>
            </w:r>
          </w:p>
        </w:tc>
        <w:tc>
          <w:tcPr>
            <w:tcW w:type="dxa" w:w="2500"/>
            <w:vAlign w:val="center"/>
          </w:tcPr>
          <w:p>
            <w:r>
              <w:rPr>
                <w:rFonts w:ascii="Calibri" w:cs="Calibri" w:eastAsia="Calibri" w:hAnsi="Calibri"/>
                <w:b w:val="false"/>
                <w:bCs w:val="false"/>
                <w:color w:val="000000"/>
                <w:sz w:val="19"/>
                <w:szCs w:val="19"/>
              </w:rPr>
              <w:t xml:space="preserve">PT-LSTM (physics-constrained)</w:t>
            </w:r>
          </w:p>
        </w:tc>
        <w:tc>
          <w:tcPr>
            <w:tcW w:type="dxa" w:w="1600"/>
            <w:vAlign w:val="center"/>
          </w:tcPr>
          <w:p>
            <w:r>
              <w:rPr>
                <w:rFonts w:ascii="Calibri" w:cs="Calibri" w:eastAsia="Calibri" w:hAnsi="Calibri"/>
                <w:b w:val="false"/>
                <w:bCs w:val="false"/>
                <w:color w:val="000000"/>
                <w:sz w:val="19"/>
                <w:szCs w:val="19"/>
              </w:rPr>
              <w:t xml:space="preserve">Physics-informed Models</w:t>
            </w:r>
          </w:p>
        </w:tc>
      </w:tr>
      <w:tr>
        <w:tc>
          <w:tcPr>
            <w:tcW w:type="dxa" w:w="700"/>
            <w:vAlign w:val="center"/>
          </w:tcPr>
          <w:p>
            <w:r>
              <w:rPr>
                <w:rFonts w:ascii="Calibri" w:cs="Calibri" w:eastAsia="Calibri" w:hAnsi="Calibri"/>
                <w:b w:val="false"/>
                <w:bCs w:val="false"/>
                <w:color w:val="000000"/>
                <w:sz w:val="19"/>
                <w:szCs w:val="19"/>
              </w:rPr>
              <w:t xml:space="preserve">P14</w:t>
            </w:r>
          </w:p>
        </w:tc>
        <w:tc>
          <w:tcPr>
            <w:tcW w:type="dxa" w:w="3400"/>
            <w:vAlign w:val="center"/>
          </w:tcPr>
          <w:p>
            <w:r>
              <w:rPr>
                <w:rFonts w:ascii="Calibri" w:cs="Calibri" w:eastAsia="Calibri" w:hAnsi="Calibri"/>
                <w:b w:val="false"/>
                <w:bCs w:val="false"/>
                <w:color w:val="000000"/>
                <w:sz w:val="19"/>
                <w:szCs w:val="19"/>
              </w:rPr>
              <w:t xml:space="preserve">Uncertainty estimation/prediction in WQI models using ML</w:t>
            </w:r>
          </w:p>
        </w:tc>
        <w:tc>
          <w:tcPr>
            <w:tcW w:type="dxa" w:w="1400"/>
            <w:vAlign w:val="center"/>
          </w:tcPr>
          <w:p>
            <w:r>
              <w:rPr>
                <w:rFonts w:ascii="Calibri" w:cs="Calibri" w:eastAsia="Calibri" w:hAnsi="Calibri"/>
                <w:b w:val="false"/>
                <w:bCs w:val="false"/>
                <w:color w:val="000000"/>
                <w:sz w:val="19"/>
                <w:szCs w:val="19"/>
              </w:rPr>
              <w:t xml:space="preserve">2023 / Water Research</w:t>
            </w:r>
          </w:p>
        </w:tc>
        <w:tc>
          <w:tcPr>
            <w:tcW w:type="dxa" w:w="2500"/>
            <w:vAlign w:val="center"/>
          </w:tcPr>
          <w:p>
            <w:r>
              <w:rPr>
                <w:rFonts w:ascii="Calibri" w:cs="Calibri" w:eastAsia="Calibri" w:hAnsi="Calibri"/>
                <w:b w:val="false"/>
                <w:bCs w:val="false"/>
                <w:color w:val="000000"/>
                <w:sz w:val="19"/>
                <w:szCs w:val="19"/>
              </w:rPr>
              <w:t xml:space="preserve">Monte Carlo Simulation + Gaussian Process Regression</w:t>
            </w:r>
          </w:p>
        </w:tc>
        <w:tc>
          <w:tcPr>
            <w:tcW w:type="dxa" w:w="1600"/>
            <w:vAlign w:val="center"/>
          </w:tcPr>
          <w:p>
            <w:r>
              <w:rPr>
                <w:rFonts w:ascii="Calibri" w:cs="Calibri" w:eastAsia="Calibri" w:hAnsi="Calibri"/>
                <w:b w:val="false"/>
                <w:bCs w:val="false"/>
                <w:color w:val="000000"/>
                <w:sz w:val="19"/>
                <w:szCs w:val="19"/>
              </w:rPr>
              <w:t xml:space="preserve">Uncertainty Quantification</w:t>
            </w:r>
          </w:p>
        </w:tc>
      </w:tr>
    </w:tbl>
    <w:p>
      <w:pPr>
        <w:pStyle w:val="Heading1"/>
        <w:spacing w:after="150" w:before="300"/>
      </w:pPr>
      <w:r>
        <w:t xml:space="preserve">Section 2 — Method Usage Counts (of 14 papers)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500"/>
      </w:tblGrid>
      <w:tr>
        <w:tc>
          <w:tcPr>
            <w:tcW w:type="dxa" w:w="4200"/>
            <w:shd w:fill="1F4E79" w:val="clear"/>
            <w:vAlign w:val="center"/>
          </w:tcPr>
          <w:p>
            <w:r>
              <w:rPr>
                <w:rFonts w:ascii="Calibri" w:cs="Calibri" w:eastAsia="Calibri" w:hAnsi="Calibri"/>
                <w:b/>
                <w:bCs/>
                <w:color w:val="FFFFFF"/>
                <w:sz w:val="19"/>
                <w:szCs w:val="19"/>
              </w:rPr>
              <w:t xml:space="preserve">Method</w:t>
            </w:r>
          </w:p>
        </w:tc>
        <w:tc>
          <w:tcPr>
            <w:tcW w:type="dxa" w:w="900"/>
            <w:shd w:fill="1F4E79" w:val="clear"/>
            <w:vAlign w:val="center"/>
          </w:tcPr>
          <w:p>
            <w:r>
              <w:rPr>
                <w:rFonts w:ascii="Calibri" w:cs="Calibri" w:eastAsia="Calibri" w:hAnsi="Calibri"/>
                <w:b/>
                <w:bCs/>
                <w:color w:val="FFFFFF"/>
                <w:sz w:val="19"/>
                <w:szCs w:val="19"/>
              </w:rPr>
              <w:t xml:space="preserve">N</w:t>
            </w:r>
          </w:p>
        </w:tc>
        <w:tc>
          <w:tcPr>
            <w:tcW w:type="dxa" w:w="4500"/>
            <w:shd w:fill="1F4E79" w:val="clear"/>
            <w:vAlign w:val="center"/>
          </w:tcPr>
          <w:p>
            <w:r>
              <w:rPr>
                <w:rFonts w:ascii="Calibri" w:cs="Calibri" w:eastAsia="Calibri" w:hAnsi="Calibri"/>
                <w:b/>
                <w:bCs/>
                <w:color w:val="FFFFFF"/>
                <w:sz w:val="19"/>
                <w:szCs w:val="19"/>
              </w:rPr>
              <w:t xml:space="preserve">Papers</w:t>
            </w:r>
          </w:p>
        </w:tc>
      </w:tr>
      <w:tr>
        <w:tc>
          <w:tcPr>
            <w:tcW w:type="dxa" w:w="4200"/>
            <w:vAlign w:val="center"/>
          </w:tcPr>
          <w:p>
            <w:r>
              <w:rPr>
                <w:rFonts w:ascii="Calibri" w:cs="Calibri" w:eastAsia="Calibri" w:hAnsi="Calibri"/>
                <w:b w:val="false"/>
                <w:bCs w:val="false"/>
                <w:color w:val="000000"/>
                <w:sz w:val="19"/>
                <w:szCs w:val="19"/>
              </w:rPr>
              <w:t xml:space="preserve">Random Forest</w:t>
            </w:r>
          </w:p>
        </w:tc>
        <w:tc>
          <w:tcPr>
            <w:tcW w:type="dxa" w:w="900"/>
            <w:vAlign w:val="center"/>
          </w:tcPr>
          <w:p>
            <w:r>
              <w:rPr>
                <w:rFonts w:ascii="Calibri" w:cs="Calibri" w:eastAsia="Calibri" w:hAnsi="Calibri"/>
                <w:b w:val="false"/>
                <w:bCs w:val="false"/>
                <w:color w:val="000000"/>
                <w:sz w:val="19"/>
                <w:szCs w:val="19"/>
              </w:rPr>
              <w:t xml:space="preserve">4</w:t>
            </w:r>
          </w:p>
        </w:tc>
        <w:tc>
          <w:tcPr>
            <w:tcW w:type="dxa" w:w="4500"/>
            <w:vAlign w:val="center"/>
          </w:tcPr>
          <w:p>
            <w:r>
              <w:rPr>
                <w:rFonts w:ascii="Calibri" w:cs="Calibri" w:eastAsia="Calibri" w:hAnsi="Calibri"/>
                <w:b w:val="false"/>
                <w:bCs w:val="false"/>
                <w:color w:val="000000"/>
                <w:sz w:val="19"/>
                <w:szCs w:val="19"/>
              </w:rPr>
              <w:t xml:space="preserve">P03, P06, P07, P08</w:t>
            </w:r>
          </w:p>
        </w:tc>
      </w:tr>
      <w:tr>
        <w:tc>
          <w:tcPr>
            <w:tcW w:type="dxa" w:w="4200"/>
            <w:vAlign w:val="center"/>
          </w:tcPr>
          <w:p>
            <w:r>
              <w:rPr>
                <w:rFonts w:ascii="Calibri" w:cs="Calibri" w:eastAsia="Calibri" w:hAnsi="Calibri"/>
                <w:b w:val="false"/>
                <w:bCs w:val="false"/>
                <w:color w:val="000000"/>
                <w:sz w:val="19"/>
                <w:szCs w:val="19"/>
              </w:rPr>
              <w:t xml:space="preserve">XGBoost</w:t>
            </w:r>
          </w:p>
        </w:tc>
        <w:tc>
          <w:tcPr>
            <w:tcW w:type="dxa" w:w="900"/>
            <w:vAlign w:val="center"/>
          </w:tcPr>
          <w:p>
            <w:r>
              <w:rPr>
                <w:rFonts w:ascii="Calibri" w:cs="Calibri" w:eastAsia="Calibri" w:hAnsi="Calibri"/>
                <w:b w:val="false"/>
                <w:bCs w:val="false"/>
                <w:color w:val="000000"/>
                <w:sz w:val="19"/>
                <w:szCs w:val="19"/>
              </w:rPr>
              <w:t xml:space="preserve">3</w:t>
            </w:r>
          </w:p>
        </w:tc>
        <w:tc>
          <w:tcPr>
            <w:tcW w:type="dxa" w:w="4500"/>
            <w:vAlign w:val="center"/>
          </w:tcPr>
          <w:p>
            <w:r>
              <w:rPr>
                <w:rFonts w:ascii="Calibri" w:cs="Calibri" w:eastAsia="Calibri" w:hAnsi="Calibri"/>
                <w:b w:val="false"/>
                <w:bCs w:val="false"/>
                <w:color w:val="000000"/>
                <w:sz w:val="19"/>
                <w:szCs w:val="19"/>
              </w:rPr>
              <w:t xml:space="preserve">P01, P04, P07</w:t>
            </w:r>
          </w:p>
        </w:tc>
      </w:tr>
      <w:tr>
        <w:tc>
          <w:tcPr>
            <w:tcW w:type="dxa" w:w="4200"/>
            <w:vAlign w:val="center"/>
          </w:tcPr>
          <w:p>
            <w:r>
              <w:rPr>
                <w:rFonts w:ascii="Calibri" w:cs="Calibri" w:eastAsia="Calibri" w:hAnsi="Calibri"/>
                <w:b w:val="false"/>
                <w:bCs w:val="false"/>
                <w:color w:val="000000"/>
                <w:sz w:val="19"/>
                <w:szCs w:val="19"/>
              </w:rPr>
              <w:t xml:space="preserve">SHAP</w:t>
            </w:r>
          </w:p>
        </w:tc>
        <w:tc>
          <w:tcPr>
            <w:tcW w:type="dxa" w:w="900"/>
            <w:vAlign w:val="center"/>
          </w:tcPr>
          <w:p>
            <w:r>
              <w:rPr>
                <w:rFonts w:ascii="Calibri" w:cs="Calibri" w:eastAsia="Calibri" w:hAnsi="Calibri"/>
                <w:b w:val="false"/>
                <w:bCs w:val="false"/>
                <w:color w:val="000000"/>
                <w:sz w:val="19"/>
                <w:szCs w:val="19"/>
              </w:rPr>
              <w:t xml:space="preserve">3</w:t>
            </w:r>
          </w:p>
        </w:tc>
        <w:tc>
          <w:tcPr>
            <w:tcW w:type="dxa" w:w="4500"/>
            <w:vAlign w:val="center"/>
          </w:tcPr>
          <w:p>
            <w:r>
              <w:rPr>
                <w:rFonts w:ascii="Calibri" w:cs="Calibri" w:eastAsia="Calibri" w:hAnsi="Calibri"/>
                <w:b w:val="false"/>
                <w:bCs w:val="false"/>
                <w:color w:val="000000"/>
                <w:sz w:val="19"/>
                <w:szCs w:val="19"/>
              </w:rPr>
              <w:t xml:space="preserve">P01, P04, P06 (benchmark)</w:t>
            </w:r>
          </w:p>
        </w:tc>
      </w:tr>
      <w:tr>
        <w:tc>
          <w:tcPr>
            <w:tcW w:type="dxa" w:w="4200"/>
            <w:vAlign w:val="center"/>
          </w:tcPr>
          <w:p>
            <w:r>
              <w:rPr>
                <w:rFonts w:ascii="Calibri" w:cs="Calibri" w:eastAsia="Calibri" w:hAnsi="Calibri"/>
                <w:b w:val="false"/>
                <w:bCs w:val="false"/>
                <w:color w:val="000000"/>
                <w:sz w:val="19"/>
                <w:szCs w:val="19"/>
              </w:rPr>
              <w:t xml:space="preserve">LSTM (incl. BiLSTM, PT-LSTM)</w:t>
            </w:r>
          </w:p>
        </w:tc>
        <w:tc>
          <w:tcPr>
            <w:tcW w:type="dxa" w:w="900"/>
            <w:vAlign w:val="center"/>
          </w:tcPr>
          <w:p>
            <w:r>
              <w:rPr>
                <w:rFonts w:ascii="Calibri" w:cs="Calibri" w:eastAsia="Calibri" w:hAnsi="Calibri"/>
                <w:b w:val="false"/>
                <w:bCs w:val="false"/>
                <w:color w:val="000000"/>
                <w:sz w:val="19"/>
                <w:szCs w:val="19"/>
              </w:rPr>
              <w:t xml:space="preserve">3</w:t>
            </w:r>
          </w:p>
        </w:tc>
        <w:tc>
          <w:tcPr>
            <w:tcW w:type="dxa" w:w="4500"/>
            <w:vAlign w:val="center"/>
          </w:tcPr>
          <w:p>
            <w:r>
              <w:rPr>
                <w:rFonts w:ascii="Calibri" w:cs="Calibri" w:eastAsia="Calibri" w:hAnsi="Calibri"/>
                <w:b w:val="false"/>
                <w:bCs w:val="false"/>
                <w:color w:val="000000"/>
                <w:sz w:val="19"/>
                <w:szCs w:val="19"/>
              </w:rPr>
              <w:t xml:space="preserve">P05, P08, P13</w:t>
            </w:r>
          </w:p>
        </w:tc>
      </w:tr>
      <w:tr>
        <w:tc>
          <w:tcPr>
            <w:tcW w:type="dxa" w:w="4200"/>
            <w:vAlign w:val="center"/>
          </w:tcPr>
          <w:p>
            <w:r>
              <w:rPr>
                <w:rFonts w:ascii="Calibri" w:cs="Calibri" w:eastAsia="Calibri" w:hAnsi="Calibri"/>
                <w:b w:val="false"/>
                <w:bCs w:val="false"/>
                <w:color w:val="000000"/>
                <w:sz w:val="19"/>
                <w:szCs w:val="19"/>
              </w:rPr>
              <w:t xml:space="preserve">CatBoost / AdaBoost / Extra Trees / Gradient Boosting</w:t>
            </w:r>
          </w:p>
        </w:tc>
        <w:tc>
          <w:tcPr>
            <w:tcW w:type="dxa" w:w="900"/>
            <w:vAlign w:val="center"/>
          </w:tcPr>
          <w:p>
            <w:r>
              <w:rPr>
                <w:rFonts w:ascii="Calibri" w:cs="Calibri" w:eastAsia="Calibri" w:hAnsi="Calibri"/>
                <w:b w:val="false"/>
                <w:bCs w:val="false"/>
                <w:color w:val="000000"/>
                <w:sz w:val="19"/>
                <w:szCs w:val="19"/>
              </w:rPr>
              <w:t xml:space="preserve">1-2 each</w:t>
            </w:r>
          </w:p>
        </w:tc>
        <w:tc>
          <w:tcPr>
            <w:tcW w:type="dxa" w:w="4500"/>
            <w:vAlign w:val="center"/>
          </w:tcPr>
          <w:p>
            <w:r>
              <w:rPr>
                <w:rFonts w:ascii="Calibri" w:cs="Calibri" w:eastAsia="Calibri" w:hAnsi="Calibri"/>
                <w:b w:val="false"/>
                <w:bCs w:val="false"/>
                <w:color w:val="000000"/>
                <w:sz w:val="19"/>
                <w:szCs w:val="19"/>
              </w:rPr>
              <w:t xml:space="preserve">P01, P03, P04</w:t>
            </w:r>
          </w:p>
        </w:tc>
      </w:tr>
      <w:tr>
        <w:tc>
          <w:tcPr>
            <w:tcW w:type="dxa" w:w="4200"/>
            <w:vAlign w:val="center"/>
          </w:tcPr>
          <w:p>
            <w:r>
              <w:rPr>
                <w:rFonts w:ascii="Calibri" w:cs="Calibri" w:eastAsia="Calibri" w:hAnsi="Calibri"/>
                <w:b w:val="false"/>
                <w:bCs w:val="false"/>
                <w:color w:val="000000"/>
                <w:sz w:val="19"/>
                <w:szCs w:val="19"/>
              </w:rPr>
              <w:t xml:space="preserve">SVM / SVR</w:t>
            </w:r>
          </w:p>
        </w:tc>
        <w:tc>
          <w:tcPr>
            <w:tcW w:type="dxa" w:w="900"/>
            <w:vAlign w:val="center"/>
          </w:tcPr>
          <w:p>
            <w:r>
              <w:rPr>
                <w:rFonts w:ascii="Calibri" w:cs="Calibri" w:eastAsia="Calibri" w:hAnsi="Calibri"/>
                <w:b w:val="false"/>
                <w:bCs w:val="false"/>
                <w:color w:val="000000"/>
                <w:sz w:val="19"/>
                <w:szCs w:val="19"/>
              </w:rPr>
              <w:t xml:space="preserve">2</w:t>
            </w:r>
          </w:p>
        </w:tc>
        <w:tc>
          <w:tcPr>
            <w:tcW w:type="dxa" w:w="4500"/>
            <w:vAlign w:val="center"/>
          </w:tcPr>
          <w:p>
            <w:r>
              <w:rPr>
                <w:rFonts w:ascii="Calibri" w:cs="Calibri" w:eastAsia="Calibri" w:hAnsi="Calibri"/>
                <w:b w:val="false"/>
                <w:bCs w:val="false"/>
                <w:color w:val="000000"/>
                <w:sz w:val="19"/>
                <w:szCs w:val="19"/>
              </w:rPr>
              <w:t xml:space="preserve">P01, P03</w:t>
            </w:r>
          </w:p>
        </w:tc>
      </w:tr>
      <w:tr>
        <w:tc>
          <w:tcPr>
            <w:tcW w:type="dxa" w:w="4200"/>
            <w:vAlign w:val="center"/>
          </w:tcPr>
          <w:p>
            <w:r>
              <w:rPr>
                <w:rFonts w:ascii="Calibri" w:cs="Calibri" w:eastAsia="Calibri" w:hAnsi="Calibri"/>
                <w:b w:val="false"/>
                <w:bCs w:val="false"/>
                <w:color w:val="000000"/>
                <w:sz w:val="19"/>
                <w:szCs w:val="19"/>
              </w:rPr>
              <w:t xml:space="preserve">ANN / MLP</w:t>
            </w:r>
          </w:p>
        </w:tc>
        <w:tc>
          <w:tcPr>
            <w:tcW w:type="dxa" w:w="900"/>
            <w:vAlign w:val="center"/>
          </w:tcPr>
          <w:p>
            <w:r>
              <w:rPr>
                <w:rFonts w:ascii="Calibri" w:cs="Calibri" w:eastAsia="Calibri" w:hAnsi="Calibri"/>
                <w:b w:val="false"/>
                <w:bCs w:val="false"/>
                <w:color w:val="000000"/>
                <w:sz w:val="19"/>
                <w:szCs w:val="19"/>
              </w:rPr>
              <w:t xml:space="preserve">2</w:t>
            </w:r>
          </w:p>
        </w:tc>
        <w:tc>
          <w:tcPr>
            <w:tcW w:type="dxa" w:w="4500"/>
            <w:vAlign w:val="center"/>
          </w:tcPr>
          <w:p>
            <w:r>
              <w:rPr>
                <w:rFonts w:ascii="Calibri" w:cs="Calibri" w:eastAsia="Calibri" w:hAnsi="Calibri"/>
                <w:b w:val="false"/>
                <w:bCs w:val="false"/>
                <w:color w:val="000000"/>
                <w:sz w:val="19"/>
                <w:szCs w:val="19"/>
              </w:rPr>
              <w:t xml:space="preserve">P01, P07</w:t>
            </w:r>
          </w:p>
        </w:tc>
      </w:tr>
      <w:tr>
        <w:tc>
          <w:tcPr>
            <w:tcW w:type="dxa" w:w="4200"/>
            <w:vAlign w:val="center"/>
          </w:tcPr>
          <w:p>
            <w:r>
              <w:rPr>
                <w:rFonts w:ascii="Calibri" w:cs="Calibri" w:eastAsia="Calibri" w:hAnsi="Calibri"/>
                <w:b w:val="false"/>
                <w:bCs w:val="false"/>
                <w:color w:val="000000"/>
                <w:sz w:val="19"/>
                <w:szCs w:val="19"/>
              </w:rPr>
              <w:t xml:space="preserve">Physics-informed ML</w:t>
            </w:r>
          </w:p>
        </w:tc>
        <w:tc>
          <w:tcPr>
            <w:tcW w:type="dxa" w:w="900"/>
            <w:vAlign w:val="center"/>
          </w:tcPr>
          <w:p>
            <w:r>
              <w:rPr>
                <w:rFonts w:ascii="Calibri" w:cs="Calibri" w:eastAsia="Calibri" w:hAnsi="Calibri"/>
                <w:b w:val="false"/>
                <w:bCs w:val="false"/>
                <w:color w:val="000000"/>
                <w:sz w:val="19"/>
                <w:szCs w:val="19"/>
              </w:rPr>
              <w:t xml:space="preserve">3</w:t>
            </w:r>
          </w:p>
        </w:tc>
        <w:tc>
          <w:tcPr>
            <w:tcW w:type="dxa" w:w="4500"/>
            <w:vAlign w:val="center"/>
          </w:tcPr>
          <w:p>
            <w:r>
              <w:rPr>
                <w:rFonts w:ascii="Calibri" w:cs="Calibri" w:eastAsia="Calibri" w:hAnsi="Calibri"/>
                <w:b w:val="false"/>
                <w:bCs w:val="false"/>
                <w:color w:val="000000"/>
                <w:sz w:val="19"/>
                <w:szCs w:val="19"/>
              </w:rPr>
              <w:t xml:space="preserve">P10, P11, P13</w:t>
            </w:r>
          </w:p>
        </w:tc>
      </w:tr>
      <w:tr>
        <w:tc>
          <w:tcPr>
            <w:tcW w:type="dxa" w:w="4200"/>
            <w:vAlign w:val="center"/>
          </w:tcPr>
          <w:p>
            <w:r>
              <w:rPr>
                <w:rFonts w:ascii="Calibri" w:cs="Calibri" w:eastAsia="Calibri" w:hAnsi="Calibri"/>
                <w:b w:val="false"/>
                <w:bCs w:val="false"/>
                <w:color w:val="000000"/>
                <w:sz w:val="19"/>
                <w:szCs w:val="19"/>
              </w:rPr>
              <w:t xml:space="preserve">Digital Twin architecture</w:t>
            </w:r>
          </w:p>
        </w:tc>
        <w:tc>
          <w:tcPr>
            <w:tcW w:type="dxa" w:w="900"/>
            <w:vAlign w:val="center"/>
          </w:tcPr>
          <w:p>
            <w:r>
              <w:rPr>
                <w:rFonts w:ascii="Calibri" w:cs="Calibri" w:eastAsia="Calibri" w:hAnsi="Calibri"/>
                <w:b w:val="false"/>
                <w:bCs w:val="false"/>
                <w:color w:val="000000"/>
                <w:sz w:val="19"/>
                <w:szCs w:val="19"/>
              </w:rPr>
              <w:t xml:space="preserve">2</w:t>
            </w:r>
          </w:p>
        </w:tc>
        <w:tc>
          <w:tcPr>
            <w:tcW w:type="dxa" w:w="4500"/>
            <w:vAlign w:val="center"/>
          </w:tcPr>
          <w:p>
            <w:r>
              <w:rPr>
                <w:rFonts w:ascii="Calibri" w:cs="Calibri" w:eastAsia="Calibri" w:hAnsi="Calibri"/>
                <w:b w:val="false"/>
                <w:bCs w:val="false"/>
                <w:color w:val="000000"/>
                <w:sz w:val="19"/>
                <w:szCs w:val="19"/>
              </w:rPr>
              <w:t xml:space="preserve">P10, P11</w:t>
            </w:r>
          </w:p>
        </w:tc>
      </w:tr>
      <w:tr>
        <w:tc>
          <w:tcPr>
            <w:tcW w:type="dxa" w:w="4200"/>
            <w:vAlign w:val="center"/>
          </w:tcPr>
          <w:p>
            <w:r>
              <w:rPr>
                <w:rFonts w:ascii="Calibri" w:cs="Calibri" w:eastAsia="Calibri" w:hAnsi="Calibri"/>
                <w:b w:val="false"/>
                <w:bCs w:val="false"/>
                <w:color w:val="000000"/>
                <w:sz w:val="19"/>
                <w:szCs w:val="19"/>
              </w:rPr>
              <w:t xml:space="preserve">Monte Carlo Simulation</w:t>
            </w:r>
          </w:p>
        </w:tc>
        <w:tc>
          <w:tcPr>
            <w:tcW w:type="dxa" w:w="900"/>
            <w:vAlign w:val="center"/>
          </w:tcPr>
          <w:p>
            <w:r>
              <w:rPr>
                <w:rFonts w:ascii="Calibri" w:cs="Calibri" w:eastAsia="Calibri" w:hAnsi="Calibri"/>
                <w:b w:val="false"/>
                <w:bCs w:val="false"/>
                <w:color w:val="000000"/>
                <w:sz w:val="19"/>
                <w:szCs w:val="19"/>
              </w:rPr>
              <w:t xml:space="preserve">1</w:t>
            </w:r>
          </w:p>
        </w:tc>
        <w:tc>
          <w:tcPr>
            <w:tcW w:type="dxa" w:w="4500"/>
            <w:vAlign w:val="center"/>
          </w:tcPr>
          <w:p>
            <w:r>
              <w:rPr>
                <w:rFonts w:ascii="Calibri" w:cs="Calibri" w:eastAsia="Calibri" w:hAnsi="Calibri"/>
                <w:b w:val="false"/>
                <w:bCs w:val="false"/>
                <w:color w:val="000000"/>
                <w:sz w:val="19"/>
                <w:szCs w:val="19"/>
              </w:rPr>
              <w:t xml:space="preserve">P14</w:t>
            </w:r>
          </w:p>
        </w:tc>
      </w:tr>
      <w:tr>
        <w:tc>
          <w:tcPr>
            <w:tcW w:type="dxa" w:w="4200"/>
            <w:vAlign w:val="center"/>
          </w:tcPr>
          <w:p>
            <w:r>
              <w:rPr>
                <w:rFonts w:ascii="Calibri" w:cs="Calibri" w:eastAsia="Calibri" w:hAnsi="Calibri"/>
                <w:b w:val="false"/>
                <w:bCs w:val="false"/>
                <w:color w:val="000000"/>
                <w:sz w:val="19"/>
                <w:szCs w:val="19"/>
              </w:rPr>
              <w:t xml:space="preserve">LIME</w:t>
            </w:r>
          </w:p>
        </w:tc>
        <w:tc>
          <w:tcPr>
            <w:tcW w:type="dxa" w:w="900"/>
            <w:vAlign w:val="center"/>
          </w:tcPr>
          <w:p>
            <w:r>
              <w:rPr>
                <w:rFonts w:ascii="Calibri" w:cs="Calibri" w:eastAsia="Calibri" w:hAnsi="Calibri"/>
                <w:b w:val="false"/>
                <w:bCs w:val="false"/>
                <w:color w:val="000000"/>
                <w:sz w:val="19"/>
                <w:szCs w:val="19"/>
              </w:rPr>
              <w:t xml:space="preserve">0</w:t>
            </w:r>
          </w:p>
        </w:tc>
        <w:tc>
          <w:tcPr>
            <w:tcW w:type="dxa" w:w="4500"/>
            <w:vAlign w:val="center"/>
          </w:tcPr>
          <w:p>
            <w:r>
              <w:rPr>
                <w:rFonts w:ascii="Calibri" w:cs="Calibri" w:eastAsia="Calibri" w:hAnsi="Calibri"/>
                <w:b w:val="false"/>
                <w:bCs w:val="false"/>
                <w:color w:val="000000"/>
                <w:sz w:val="19"/>
                <w:szCs w:val="19"/>
              </w:rPr>
              <w:t xml:space="preserve">None</w:t>
            </w:r>
          </w:p>
        </w:tc>
      </w:tr>
      <w:tr>
        <w:tc>
          <w:tcPr>
            <w:tcW w:type="dxa" w:w="4200"/>
            <w:vAlign w:val="center"/>
          </w:tcPr>
          <w:p>
            <w:r>
              <w:rPr>
                <w:rFonts w:ascii="Calibri" w:cs="Calibri" w:eastAsia="Calibri" w:hAnsi="Calibri"/>
                <w:b w:val="false"/>
                <w:bCs w:val="false"/>
                <w:color w:val="000000"/>
                <w:sz w:val="19"/>
                <w:szCs w:val="19"/>
              </w:rPr>
              <w:t xml:space="preserve">Transformer / Foundation models</w:t>
            </w:r>
          </w:p>
        </w:tc>
        <w:tc>
          <w:tcPr>
            <w:tcW w:type="dxa" w:w="900"/>
            <w:vAlign w:val="center"/>
          </w:tcPr>
          <w:p>
            <w:r>
              <w:rPr>
                <w:rFonts w:ascii="Calibri" w:cs="Calibri" w:eastAsia="Calibri" w:hAnsi="Calibri"/>
                <w:b w:val="false"/>
                <w:bCs w:val="false"/>
                <w:color w:val="000000"/>
                <w:sz w:val="19"/>
                <w:szCs w:val="19"/>
              </w:rPr>
              <w:t xml:space="preserve">0</w:t>
            </w:r>
          </w:p>
        </w:tc>
        <w:tc>
          <w:tcPr>
            <w:tcW w:type="dxa" w:w="4500"/>
            <w:vAlign w:val="center"/>
          </w:tcPr>
          <w:p>
            <w:r>
              <w:rPr>
                <w:rFonts w:ascii="Calibri" w:cs="Calibri" w:eastAsia="Calibri" w:hAnsi="Calibri"/>
                <w:b w:val="false"/>
                <w:bCs w:val="false"/>
                <w:color w:val="000000"/>
                <w:sz w:val="19"/>
                <w:szCs w:val="19"/>
              </w:rPr>
              <w:t xml:space="preserve">None (named as future work only, in P04)</w:t>
            </w:r>
          </w:p>
        </w:tc>
      </w:tr>
      <w:tr>
        <w:tc>
          <w:tcPr>
            <w:tcW w:type="dxa" w:w="4200"/>
            <w:vAlign w:val="center"/>
          </w:tcPr>
          <w:p>
            <w:r>
              <w:rPr>
                <w:rFonts w:ascii="Calibri" w:cs="Calibri" w:eastAsia="Calibri" w:hAnsi="Calibri"/>
                <w:b w:val="false"/>
                <w:bCs w:val="false"/>
                <w:color w:val="000000"/>
                <w:sz w:val="19"/>
                <w:szCs w:val="19"/>
              </w:rPr>
              <w:t xml:space="preserve">Novel non-SHAP/LIME explainability (VDPR)</w:t>
            </w:r>
          </w:p>
        </w:tc>
        <w:tc>
          <w:tcPr>
            <w:tcW w:type="dxa" w:w="900"/>
            <w:vAlign w:val="center"/>
          </w:tcPr>
          <w:p>
            <w:r>
              <w:rPr>
                <w:rFonts w:ascii="Calibri" w:cs="Calibri" w:eastAsia="Calibri" w:hAnsi="Calibri"/>
                <w:b w:val="false"/>
                <w:bCs w:val="false"/>
                <w:color w:val="000000"/>
                <w:sz w:val="19"/>
                <w:szCs w:val="19"/>
              </w:rPr>
              <w:t xml:space="preserve">1</w:t>
            </w:r>
          </w:p>
        </w:tc>
        <w:tc>
          <w:tcPr>
            <w:tcW w:type="dxa" w:w="4500"/>
            <w:vAlign w:val="center"/>
          </w:tcPr>
          <w:p>
            <w:r>
              <w:rPr>
                <w:rFonts w:ascii="Calibri" w:cs="Calibri" w:eastAsia="Calibri" w:hAnsi="Calibri"/>
                <w:b w:val="false"/>
                <w:bCs w:val="false"/>
                <w:color w:val="000000"/>
                <w:sz w:val="19"/>
                <w:szCs w:val="19"/>
              </w:rPr>
              <w:t xml:space="preserve">P06</w:t>
            </w:r>
          </w:p>
        </w:tc>
      </w:tr>
      <w:tr>
        <w:tc>
          <w:tcPr>
            <w:tcW w:type="dxa" w:w="4200"/>
            <w:vAlign w:val="center"/>
          </w:tcPr>
          <w:p>
            <w:r>
              <w:rPr>
                <w:rFonts w:ascii="Calibri" w:cs="Calibri" w:eastAsia="Calibri" w:hAnsi="Calibri"/>
                <w:b w:val="false"/>
                <w:bCs w:val="false"/>
                <w:color w:val="000000"/>
                <w:sz w:val="19"/>
                <w:szCs w:val="19"/>
              </w:rPr>
              <w:t xml:space="preserve">Automated QA/QC software framework</w:t>
            </w:r>
          </w:p>
        </w:tc>
        <w:tc>
          <w:tcPr>
            <w:tcW w:type="dxa" w:w="900"/>
            <w:vAlign w:val="center"/>
          </w:tcPr>
          <w:p>
            <w:r>
              <w:rPr>
                <w:rFonts w:ascii="Calibri" w:cs="Calibri" w:eastAsia="Calibri" w:hAnsi="Calibri"/>
                <w:b w:val="false"/>
                <w:bCs w:val="false"/>
                <w:color w:val="000000"/>
                <w:sz w:val="19"/>
                <w:szCs w:val="19"/>
              </w:rPr>
              <w:t xml:space="preserve">1</w:t>
            </w:r>
          </w:p>
        </w:tc>
        <w:tc>
          <w:tcPr>
            <w:tcW w:type="dxa" w:w="4500"/>
            <w:vAlign w:val="center"/>
          </w:tcPr>
          <w:p>
            <w:r>
              <w:rPr>
                <w:rFonts w:ascii="Calibri" w:cs="Calibri" w:eastAsia="Calibri" w:hAnsi="Calibri"/>
                <w:b w:val="false"/>
                <w:bCs w:val="false"/>
                <w:color w:val="000000"/>
                <w:sz w:val="19"/>
                <w:szCs w:val="19"/>
              </w:rPr>
              <w:t xml:space="preserve">P12 (SaQC)</w:t>
            </w:r>
          </w:p>
        </w:tc>
      </w:tr>
    </w:tbl>
    <w:p>
      <w:pPr>
        <w:pStyle w:val="Heading1"/>
        <w:spacing w:after="150" w:before="300"/>
      </w:pPr>
      <w:r>
        <w:t xml:space="preserve">Section 3 — Framework-Relevant Capability Counts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000"/>
      </w:tblGrid>
      <w:tr>
        <w:tc>
          <w:tcPr>
            <w:tcW w:type="dxa" w:w="4000"/>
            <w:shd w:fill="1F4E79" w:val="clear"/>
            <w:vAlign w:val="center"/>
          </w:tcPr>
          <w:p>
            <w:r>
              <w:rPr>
                <w:rFonts w:ascii="Calibri" w:cs="Calibri" w:eastAsia="Calibri" w:hAnsi="Calibri"/>
                <w:b/>
                <w:bCs/>
                <w:color w:val="FFFFFF"/>
                <w:sz w:val="19"/>
                <w:szCs w:val="19"/>
              </w:rPr>
              <w:t xml:space="preserve">Capability</w:t>
            </w:r>
          </w:p>
        </w:tc>
        <w:tc>
          <w:tcPr>
            <w:tcW w:type="dxa" w:w="1600"/>
            <w:shd w:fill="1F4E79" w:val="clear"/>
            <w:vAlign w:val="center"/>
          </w:tcPr>
          <w:p>
            <w:r>
              <w:rPr>
                <w:rFonts w:ascii="Calibri" w:cs="Calibri" w:eastAsia="Calibri" w:hAnsi="Calibri"/>
                <w:b/>
                <w:bCs/>
                <w:color w:val="FFFFFF"/>
                <w:sz w:val="19"/>
                <w:szCs w:val="19"/>
              </w:rPr>
              <w:t xml:space="preserve">N (of 14)</w:t>
            </w:r>
          </w:p>
        </w:tc>
        <w:tc>
          <w:tcPr>
            <w:tcW w:type="dxa" w:w="4000"/>
            <w:shd w:fill="1F4E79" w:val="clear"/>
            <w:vAlign w:val="center"/>
          </w:tcPr>
          <w:p>
            <w:r>
              <w:rPr>
                <w:rFonts w:ascii="Calibri" w:cs="Calibri" w:eastAsia="Calibri" w:hAnsi="Calibri"/>
                <w:b/>
                <w:bCs/>
                <w:color w:val="FFFFFF"/>
                <w:sz w:val="19"/>
                <w:szCs w:val="19"/>
              </w:rPr>
              <w:t xml:space="preserve">Note</w:t>
            </w:r>
          </w:p>
        </w:tc>
      </w:tr>
      <w:tr>
        <w:tc>
          <w:tcPr>
            <w:tcW w:type="dxa" w:w="4000"/>
            <w:vAlign w:val="center"/>
          </w:tcPr>
          <w:p>
            <w:r>
              <w:rPr>
                <w:rFonts w:ascii="Calibri" w:cs="Calibri" w:eastAsia="Calibri" w:hAnsi="Calibri"/>
                <w:b w:val="false"/>
                <w:bCs w:val="false"/>
                <w:color w:val="000000"/>
                <w:sz w:val="19"/>
                <w:szCs w:val="19"/>
              </w:rPr>
              <w:t xml:space="preserve">Environmental Interpretation</w:t>
            </w:r>
          </w:p>
        </w:tc>
        <w:tc>
          <w:tcPr>
            <w:tcW w:type="dxa" w:w="1600"/>
            <w:vAlign w:val="center"/>
          </w:tcPr>
          <w:p>
            <w:r>
              <w:rPr>
                <w:rFonts w:ascii="Calibri" w:cs="Calibri" w:eastAsia="Calibri" w:hAnsi="Calibri"/>
                <w:b w:val="false"/>
                <w:bCs w:val="false"/>
                <w:color w:val="000000"/>
                <w:sz w:val="19"/>
                <w:szCs w:val="19"/>
              </w:rPr>
              <w:t xml:space="preserve">10</w:t>
            </w:r>
          </w:p>
        </w:tc>
        <w:tc>
          <w:tcPr>
            <w:tcW w:type="dxa" w:w="4000"/>
            <w:vAlign w:val="center"/>
          </w:tcPr>
          <w:p>
            <w:r>
              <w:rPr>
                <w:rFonts w:ascii="Calibri" w:cs="Calibri" w:eastAsia="Calibri" w:hAnsi="Calibri"/>
                <w:b w:val="false"/>
                <w:bCs w:val="false"/>
                <w:color w:val="000000"/>
                <w:sz w:val="19"/>
                <w:szCs w:val="19"/>
              </w:rPr>
              <w:t xml:space="preserve">Most common capability — nearly all papers discuss what results mean environmentally</w:t>
            </w:r>
          </w:p>
        </w:tc>
      </w:tr>
      <w:tr>
        <w:tc>
          <w:tcPr>
            <w:tcW w:type="dxa" w:w="4000"/>
            <w:vAlign w:val="center"/>
          </w:tcPr>
          <w:p>
            <w:r>
              <w:rPr>
                <w:rFonts w:ascii="Calibri" w:cs="Calibri" w:eastAsia="Calibri" w:hAnsi="Calibri"/>
                <w:b w:val="false"/>
                <w:bCs w:val="false"/>
                <w:color w:val="000000"/>
                <w:sz w:val="19"/>
                <w:szCs w:val="19"/>
              </w:rPr>
              <w:t xml:space="preserve">Decision Support</w:t>
            </w:r>
          </w:p>
        </w:tc>
        <w:tc>
          <w:tcPr>
            <w:tcW w:type="dxa" w:w="1600"/>
            <w:vAlign w:val="center"/>
          </w:tcPr>
          <w:p>
            <w:r>
              <w:rPr>
                <w:rFonts w:ascii="Calibri" w:cs="Calibri" w:eastAsia="Calibri" w:hAnsi="Calibri"/>
                <w:b w:val="false"/>
                <w:bCs w:val="false"/>
                <w:color w:val="000000"/>
                <w:sz w:val="19"/>
                <w:szCs w:val="19"/>
              </w:rPr>
              <w:t xml:space="preserve">8</w:t>
            </w:r>
          </w:p>
        </w:tc>
        <w:tc>
          <w:tcPr>
            <w:tcW w:type="dxa" w:w="4000"/>
            <w:vAlign w:val="center"/>
          </w:tcPr>
          <w:p>
            <w:r>
              <w:rPr>
                <w:rFonts w:ascii="Calibri" w:cs="Calibri" w:eastAsia="Calibri" w:hAnsi="Calibri"/>
                <w:b w:val="false"/>
                <w:bCs w:val="false"/>
                <w:color w:val="000000"/>
                <w:sz w:val="19"/>
                <w:szCs w:val="19"/>
              </w:rPr>
              <w:t xml:space="preserve">Common as framing/motivation; rarely a formally gated, evidence-linked layer</w:t>
            </w:r>
          </w:p>
        </w:tc>
      </w:tr>
      <w:tr>
        <w:tc>
          <w:tcPr>
            <w:tcW w:type="dxa" w:w="4000"/>
            <w:vAlign w:val="center"/>
          </w:tcPr>
          <w:p>
            <w:r>
              <w:rPr>
                <w:rFonts w:ascii="Calibri" w:cs="Calibri" w:eastAsia="Calibri" w:hAnsi="Calibri"/>
                <w:b w:val="false"/>
                <w:bCs w:val="false"/>
                <w:color w:val="000000"/>
                <w:sz w:val="19"/>
                <w:szCs w:val="19"/>
              </w:rPr>
              <w:t xml:space="preserve">Scientific QA</w:t>
            </w:r>
          </w:p>
        </w:tc>
        <w:tc>
          <w:tcPr>
            <w:tcW w:type="dxa" w:w="1600"/>
            <w:vAlign w:val="center"/>
          </w:tcPr>
          <w:p>
            <w:r>
              <w:rPr>
                <w:rFonts w:ascii="Calibri" w:cs="Calibri" w:eastAsia="Calibri" w:hAnsi="Calibri"/>
                <w:b w:val="false"/>
                <w:bCs w:val="false"/>
                <w:color w:val="000000"/>
                <w:sz w:val="19"/>
                <w:szCs w:val="19"/>
              </w:rPr>
              <w:t xml:space="preserve">4</w:t>
            </w:r>
          </w:p>
        </w:tc>
        <w:tc>
          <w:tcPr>
            <w:tcW w:type="dxa" w:w="4000"/>
            <w:vAlign w:val="center"/>
          </w:tcPr>
          <w:p>
            <w:r>
              <w:rPr>
                <w:rFonts w:ascii="Calibri" w:cs="Calibri" w:eastAsia="Calibri" w:hAnsi="Calibri"/>
                <w:b w:val="false"/>
                <w:bCs w:val="false"/>
                <w:color w:val="000000"/>
                <w:sz w:val="19"/>
                <w:szCs w:val="19"/>
              </w:rPr>
              <w:t xml:space="preserve">Only P12 treats QA as the primary contribution</w:t>
            </w:r>
          </w:p>
        </w:tc>
      </w:tr>
      <w:tr>
        <w:tc>
          <w:tcPr>
            <w:tcW w:type="dxa" w:w="4000"/>
            <w:vAlign w:val="center"/>
          </w:tcPr>
          <w:p>
            <w:r>
              <w:rPr>
                <w:rFonts w:ascii="Calibri" w:cs="Calibri" w:eastAsia="Calibri" w:hAnsi="Calibri"/>
                <w:b w:val="false"/>
                <w:bCs w:val="false"/>
                <w:color w:val="000000"/>
                <w:sz w:val="19"/>
                <w:szCs w:val="19"/>
              </w:rPr>
              <w:t xml:space="preserve">Explainability</w:t>
            </w:r>
          </w:p>
        </w:tc>
        <w:tc>
          <w:tcPr>
            <w:tcW w:type="dxa" w:w="1600"/>
            <w:vAlign w:val="center"/>
          </w:tcPr>
          <w:p>
            <w:r>
              <w:rPr>
                <w:rFonts w:ascii="Calibri" w:cs="Calibri" w:eastAsia="Calibri" w:hAnsi="Calibri"/>
                <w:b w:val="false"/>
                <w:bCs w:val="false"/>
                <w:color w:val="000000"/>
                <w:sz w:val="19"/>
                <w:szCs w:val="19"/>
              </w:rPr>
              <w:t xml:space="preserve">4</w:t>
            </w:r>
          </w:p>
        </w:tc>
        <w:tc>
          <w:tcPr>
            <w:tcW w:type="dxa" w:w="4000"/>
            <w:vAlign w:val="center"/>
          </w:tcPr>
          <w:p>
            <w:r>
              <w:rPr>
                <w:rFonts w:ascii="Calibri" w:cs="Calibri" w:eastAsia="Calibri" w:hAnsi="Calibri"/>
                <w:b w:val="false"/>
                <w:bCs w:val="false"/>
                <w:color w:val="000000"/>
                <w:sz w:val="19"/>
                <w:szCs w:val="19"/>
              </w:rPr>
              <w:t xml:space="preserve">SHAP dominates (3/4); only P06 benchmarks a non-SHAP/LIME method</w:t>
            </w:r>
          </w:p>
        </w:tc>
      </w:tr>
      <w:tr>
        <w:tc>
          <w:tcPr>
            <w:tcW w:type="dxa" w:w="4000"/>
            <w:vAlign w:val="center"/>
          </w:tcPr>
          <w:p>
            <w:r>
              <w:rPr>
                <w:rFonts w:ascii="Calibri" w:cs="Calibri" w:eastAsia="Calibri" w:hAnsi="Calibri"/>
                <w:b w:val="false"/>
                <w:bCs w:val="false"/>
                <w:color w:val="000000"/>
                <w:sz w:val="19"/>
                <w:szCs w:val="19"/>
              </w:rPr>
              <w:t xml:space="preserve">Physical Validation / physics-informed constraints</w:t>
            </w:r>
          </w:p>
        </w:tc>
        <w:tc>
          <w:tcPr>
            <w:tcW w:type="dxa" w:w="1600"/>
            <w:vAlign w:val="center"/>
          </w:tcPr>
          <w:p>
            <w:r>
              <w:rPr>
                <w:rFonts w:ascii="Calibri" w:cs="Calibri" w:eastAsia="Calibri" w:hAnsi="Calibri"/>
                <w:b w:val="false"/>
                <w:bCs w:val="false"/>
                <w:color w:val="000000"/>
                <w:sz w:val="19"/>
                <w:szCs w:val="19"/>
              </w:rPr>
              <w:t xml:space="preserve">3</w:t>
            </w:r>
          </w:p>
        </w:tc>
        <w:tc>
          <w:tcPr>
            <w:tcW w:type="dxa" w:w="4000"/>
            <w:vAlign w:val="center"/>
          </w:tcPr>
          <w:p>
            <w:r>
              <w:rPr>
                <w:rFonts w:ascii="Calibri" w:cs="Calibri" w:eastAsia="Calibri" w:hAnsi="Calibri"/>
                <w:b w:val="false"/>
                <w:bCs w:val="false"/>
                <w:color w:val="000000"/>
                <w:sz w:val="19"/>
                <w:szCs w:val="19"/>
              </w:rPr>
              <w:t xml:space="preserve">P13 is the only paper enforcing hard constraints inside a DL architecture</w:t>
            </w:r>
          </w:p>
        </w:tc>
      </w:tr>
      <w:tr>
        <w:tc>
          <w:tcPr>
            <w:tcW w:type="dxa" w:w="4000"/>
            <w:vAlign w:val="center"/>
          </w:tcPr>
          <w:p>
            <w:r>
              <w:rPr>
                <w:rFonts w:ascii="Calibri" w:cs="Calibri" w:eastAsia="Calibri" w:hAnsi="Calibri"/>
                <w:b w:val="false"/>
                <w:bCs w:val="false"/>
                <w:color w:val="000000"/>
                <w:sz w:val="19"/>
                <w:szCs w:val="19"/>
              </w:rPr>
              <w:t xml:space="preserve">Uncertainty Quantification</w:t>
            </w:r>
          </w:p>
        </w:tc>
        <w:tc>
          <w:tcPr>
            <w:tcW w:type="dxa" w:w="1600"/>
            <w:vAlign w:val="center"/>
          </w:tcPr>
          <w:p>
            <w:r>
              <w:rPr>
                <w:rFonts w:ascii="Calibri" w:cs="Calibri" w:eastAsia="Calibri" w:hAnsi="Calibri"/>
                <w:b w:val="false"/>
                <w:bCs w:val="false"/>
                <w:color w:val="000000"/>
                <w:sz w:val="19"/>
                <w:szCs w:val="19"/>
              </w:rPr>
              <w:t xml:space="preserve">3 (1 formal + 2 partial)</w:t>
            </w:r>
          </w:p>
        </w:tc>
        <w:tc>
          <w:tcPr>
            <w:tcW w:type="dxa" w:w="4000"/>
            <w:vAlign w:val="center"/>
          </w:tcPr>
          <w:p>
            <w:r>
              <w:rPr>
                <w:rFonts w:ascii="Calibri" w:cs="Calibri" w:eastAsia="Calibri" w:hAnsi="Calibri"/>
                <w:b w:val="false"/>
                <w:bCs w:val="false"/>
                <w:color w:val="000000"/>
                <w:sz w:val="19"/>
                <w:szCs w:val="19"/>
              </w:rPr>
              <w:t xml:space="preserve">Only P14 treats uncertainty as a first-class, separately scored axis</w:t>
            </w:r>
          </w:p>
        </w:tc>
      </w:tr>
      <w:tr>
        <w:tc>
          <w:tcPr>
            <w:tcW w:type="dxa" w:w="4000"/>
            <w:vAlign w:val="center"/>
          </w:tcPr>
          <w:p>
            <w:r>
              <w:rPr>
                <w:rFonts w:ascii="Calibri" w:cs="Calibri" w:eastAsia="Calibri" w:hAnsi="Calibri"/>
                <w:b w:val="false"/>
                <w:bCs w:val="false"/>
                <w:color w:val="000000"/>
                <w:sz w:val="19"/>
                <w:szCs w:val="19"/>
              </w:rPr>
              <w:t xml:space="preserve">Evidence Validation (multi-pillar)</w:t>
            </w:r>
          </w:p>
        </w:tc>
        <w:tc>
          <w:tcPr>
            <w:tcW w:type="dxa" w:w="1600"/>
            <w:vAlign w:val="center"/>
          </w:tcPr>
          <w:p>
            <w:r>
              <w:rPr>
                <w:rFonts w:ascii="Calibri" w:cs="Calibri" w:eastAsia="Calibri" w:hAnsi="Calibri"/>
                <w:b w:val="false"/>
                <w:bCs w:val="false"/>
                <w:color w:val="000000"/>
                <w:sz w:val="19"/>
                <w:szCs w:val="19"/>
              </w:rPr>
              <w:t xml:space="preserve">0</w:t>
            </w:r>
          </w:p>
        </w:tc>
        <w:tc>
          <w:tcPr>
            <w:tcW w:type="dxa" w:w="4000"/>
            <w:vAlign w:val="center"/>
          </w:tcPr>
          <w:p>
            <w:r>
              <w:rPr>
                <w:rFonts w:ascii="Calibri" w:cs="Calibri" w:eastAsia="Calibri" w:hAnsi="Calibri"/>
                <w:b w:val="false"/>
                <w:bCs w:val="false"/>
                <w:color w:val="000000"/>
                <w:sz w:val="19"/>
                <w:szCs w:val="19"/>
              </w:rPr>
              <w:t xml:space="preserve">No paper formally validates claims against statistical+practical+physical+environmental evidence jointly</w:t>
            </w:r>
          </w:p>
        </w:tc>
      </w:tr>
      <w:tr>
        <w:tc>
          <w:tcPr>
            <w:tcW w:type="dxa" w:w="4000"/>
            <w:vAlign w:val="center"/>
          </w:tcPr>
          <w:p>
            <w:r>
              <w:rPr>
                <w:rFonts w:ascii="Calibri" w:cs="Calibri" w:eastAsia="Calibri" w:hAnsi="Calibri"/>
                <w:b w:val="false"/>
                <w:bCs w:val="false"/>
                <w:color w:val="000000"/>
                <w:sz w:val="19"/>
                <w:szCs w:val="19"/>
              </w:rPr>
              <w:t xml:space="preserve">Framework Validation (self-validation)</w:t>
            </w:r>
          </w:p>
        </w:tc>
        <w:tc>
          <w:tcPr>
            <w:tcW w:type="dxa" w:w="1600"/>
            <w:vAlign w:val="center"/>
          </w:tcPr>
          <w:p>
            <w:r>
              <w:rPr>
                <w:rFonts w:ascii="Calibri" w:cs="Calibri" w:eastAsia="Calibri" w:hAnsi="Calibri"/>
                <w:b w:val="false"/>
                <w:bCs w:val="false"/>
                <w:color w:val="000000"/>
                <w:sz w:val="19"/>
                <w:szCs w:val="19"/>
              </w:rPr>
              <w:t xml:space="preserve">0</w:t>
            </w:r>
          </w:p>
        </w:tc>
        <w:tc>
          <w:tcPr>
            <w:tcW w:type="dxa" w:w="4000"/>
            <w:vAlign w:val="center"/>
          </w:tcPr>
          <w:p>
            <w:r>
              <w:rPr>
                <w:rFonts w:ascii="Calibri" w:cs="Calibri" w:eastAsia="Calibri" w:hAnsi="Calibri"/>
                <w:b w:val="false"/>
                <w:bCs w:val="false"/>
                <w:color w:val="000000"/>
                <w:sz w:val="19"/>
                <w:szCs w:val="19"/>
              </w:rPr>
              <w:t xml:space="preserve">No paper runs a formal test suite/certification against its own architecture</w:t>
            </w:r>
          </w:p>
        </w:tc>
      </w:tr>
      <w:tr>
        <w:tc>
          <w:tcPr>
            <w:tcW w:type="dxa" w:w="4000"/>
            <w:vAlign w:val="center"/>
          </w:tcPr>
          <w:p>
            <w:r>
              <w:rPr>
                <w:rFonts w:ascii="Calibri" w:cs="Calibri" w:eastAsia="Calibri" w:hAnsi="Calibri"/>
                <w:b w:val="false"/>
                <w:bCs w:val="false"/>
                <w:color w:val="000000"/>
                <w:sz w:val="19"/>
                <w:szCs w:val="19"/>
              </w:rPr>
              <w:t xml:space="preserve">Applicability Domain Analysis (formal)</w:t>
            </w:r>
          </w:p>
        </w:tc>
        <w:tc>
          <w:tcPr>
            <w:tcW w:type="dxa" w:w="1600"/>
            <w:vAlign w:val="center"/>
          </w:tcPr>
          <w:p>
            <w:r>
              <w:rPr>
                <w:rFonts w:ascii="Calibri" w:cs="Calibri" w:eastAsia="Calibri" w:hAnsi="Calibri"/>
                <w:b w:val="false"/>
                <w:bCs w:val="false"/>
                <w:color w:val="000000"/>
                <w:sz w:val="19"/>
                <w:szCs w:val="19"/>
              </w:rPr>
              <w:t xml:space="preserve">0</w:t>
            </w:r>
          </w:p>
        </w:tc>
        <w:tc>
          <w:tcPr>
            <w:tcW w:type="dxa" w:w="4000"/>
            <w:vAlign w:val="center"/>
          </w:tcPr>
          <w:p>
            <w:r>
              <w:rPr>
                <w:rFonts w:ascii="Calibri" w:cs="Calibri" w:eastAsia="Calibri" w:hAnsi="Calibri"/>
                <w:b w:val="false"/>
                <w:bCs w:val="false"/>
                <w:color w:val="000000"/>
                <w:sz w:val="19"/>
                <w:szCs w:val="19"/>
              </w:rPr>
              <w:t xml:space="preserve">Transferability is a recurring LIMITATION (P01, P04, P06), never a formal gate</w:t>
            </w:r>
          </w:p>
        </w:tc>
      </w:tr>
      <w:tr>
        <w:tc>
          <w:tcPr>
            <w:tcW w:type="dxa" w:w="4000"/>
            <w:vAlign w:val="center"/>
          </w:tcPr>
          <w:p>
            <w:r>
              <w:rPr>
                <w:rFonts w:ascii="Calibri" w:cs="Calibri" w:eastAsia="Calibri" w:hAnsi="Calibri"/>
                <w:b w:val="false"/>
                <w:bCs w:val="false"/>
                <w:color w:val="000000"/>
                <w:sz w:val="19"/>
                <w:szCs w:val="19"/>
              </w:rPr>
              <w:t xml:space="preserve">Failure Mode Analysis (structured)</w:t>
            </w:r>
          </w:p>
        </w:tc>
        <w:tc>
          <w:tcPr>
            <w:tcW w:type="dxa" w:w="1600"/>
            <w:vAlign w:val="center"/>
          </w:tcPr>
          <w:p>
            <w:r>
              <w:rPr>
                <w:rFonts w:ascii="Calibri" w:cs="Calibri" w:eastAsia="Calibri" w:hAnsi="Calibri"/>
                <w:b w:val="false"/>
                <w:bCs w:val="false"/>
                <w:color w:val="000000"/>
                <w:sz w:val="19"/>
                <w:szCs w:val="19"/>
              </w:rPr>
              <w:t xml:space="preserve">0</w:t>
            </w:r>
          </w:p>
        </w:tc>
        <w:tc>
          <w:tcPr>
            <w:tcW w:type="dxa" w:w="4000"/>
            <w:vAlign w:val="center"/>
          </w:tcPr>
          <w:p>
            <w:r>
              <w:rPr>
                <w:rFonts w:ascii="Calibri" w:cs="Calibri" w:eastAsia="Calibri" w:hAnsi="Calibri"/>
                <w:b w:val="false"/>
                <w:bCs w:val="false"/>
                <w:color w:val="000000"/>
                <w:sz w:val="19"/>
                <w:szCs w:val="19"/>
              </w:rPr>
              <w:t xml:space="preserve">No paper defines/tests a structured failure-mode catalog with severity/recovery</w:t>
            </w:r>
          </w:p>
        </w:tc>
      </w:tr>
    </w:tbl>
    <w:p>
      <w:pPr>
        <w:pStyle w:val="Heading1"/>
        <w:spacing w:after="150" w:before="300"/>
      </w:pPr>
      <w:r>
        <w:t xml:space="preserve">Section 4 — Recurring Limitations</w:t>
      </w:r>
    </w:p>
    <w:p>
      <w:pPr>
        <w:spacing w:after="160"/>
      </w:pPr>
      <w:r>
        <w:rPr>
          <w:rFonts w:ascii="Calibri" w:cs="Calibri" w:eastAsia="Calibri" w:hAnsi="Calibri"/>
          <w:b w:val="false"/>
          <w:bCs w:val="false"/>
          <w:i w:val="false"/>
          <w:iCs w:val="false"/>
          <w:sz w:val="22"/>
          <w:szCs w:val="22"/>
        </w:rPr>
        <w:t xml:space="preserve">Limitations are grouped by theme and counted across the 14-paper set. Because several papers report more than one limitation theme, counts do not sum to 14.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00"/>
      </w:tblGrid>
      <w:tr>
        <w:tc>
          <w:tcPr>
            <w:tcW w:type="dxa" w:w="4600"/>
            <w:shd w:fill="1F4E79" w:val="clear"/>
            <w:vAlign w:val="center"/>
          </w:tcPr>
          <w:p>
            <w:r>
              <w:rPr>
                <w:rFonts w:ascii="Calibri" w:cs="Calibri" w:eastAsia="Calibri" w:hAnsi="Calibri"/>
                <w:b/>
                <w:bCs/>
                <w:color w:val="FFFFFF"/>
                <w:sz w:val="19"/>
                <w:szCs w:val="19"/>
              </w:rPr>
              <w:t xml:space="preserve">Limitation theme</w:t>
            </w:r>
          </w:p>
        </w:tc>
        <w:tc>
          <w:tcPr>
            <w:tcW w:type="dxa" w:w="1200"/>
            <w:shd w:fill="1F4E79" w:val="clear"/>
            <w:vAlign w:val="center"/>
          </w:tcPr>
          <w:p>
            <w:r>
              <w:rPr>
                <w:rFonts w:ascii="Calibri" w:cs="Calibri" w:eastAsia="Calibri" w:hAnsi="Calibri"/>
                <w:b/>
                <w:bCs/>
                <w:color w:val="FFFFFF"/>
                <w:sz w:val="19"/>
                <w:szCs w:val="19"/>
              </w:rPr>
              <w:t xml:space="preserve">N papers</w:t>
            </w:r>
          </w:p>
        </w:tc>
        <w:tc>
          <w:tcPr>
            <w:tcW w:type="dxa" w:w="3800"/>
            <w:shd w:fill="1F4E79" w:val="clear"/>
            <w:vAlign w:val="center"/>
          </w:tcPr>
          <w:p>
            <w:r>
              <w:rPr>
                <w:rFonts w:ascii="Calibri" w:cs="Calibri" w:eastAsia="Calibri" w:hAnsi="Calibri"/>
                <w:b/>
                <w:bCs/>
                <w:color w:val="FFFFFF"/>
                <w:sz w:val="19"/>
                <w:szCs w:val="19"/>
              </w:rPr>
              <w:t xml:space="preserve">Papers</w:t>
            </w:r>
          </w:p>
        </w:tc>
      </w:tr>
      <w:tr>
        <w:tc>
          <w:tcPr>
            <w:tcW w:type="dxa" w:w="4600"/>
            <w:vAlign w:val="center"/>
          </w:tcPr>
          <w:p>
            <w:r>
              <w:rPr>
                <w:rFonts w:ascii="Calibri" w:cs="Calibri" w:eastAsia="Calibri" w:hAnsi="Calibri"/>
                <w:b w:val="false"/>
                <w:bCs w:val="false"/>
                <w:color w:val="000000"/>
                <w:sz w:val="19"/>
                <w:szCs w:val="19"/>
              </w:rPr>
              <w:t xml:space="preserve">No uncertainty quantification at all</w:t>
            </w:r>
          </w:p>
        </w:tc>
        <w:tc>
          <w:tcPr>
            <w:tcW w:type="dxa" w:w="1200"/>
            <w:vAlign w:val="center"/>
          </w:tcPr>
          <w:p>
            <w:r>
              <w:rPr>
                <w:rFonts w:ascii="Calibri" w:cs="Calibri" w:eastAsia="Calibri" w:hAnsi="Calibri"/>
                <w:b w:val="false"/>
                <w:bCs w:val="false"/>
                <w:color w:val="000000"/>
                <w:sz w:val="19"/>
                <w:szCs w:val="19"/>
              </w:rPr>
              <w:t xml:space="preserve">10</w:t>
            </w:r>
          </w:p>
        </w:tc>
        <w:tc>
          <w:tcPr>
            <w:tcW w:type="dxa" w:w="3800"/>
            <w:vAlign w:val="center"/>
          </w:tcPr>
          <w:p>
            <w:r>
              <w:rPr>
                <w:rFonts w:ascii="Calibri" w:cs="Calibri" w:eastAsia="Calibri" w:hAnsi="Calibri"/>
                <w:b w:val="false"/>
                <w:bCs w:val="false"/>
                <w:color w:val="000000"/>
                <w:sz w:val="19"/>
                <w:szCs w:val="19"/>
              </w:rPr>
              <w:t xml:space="preserve">P01, P02, P03, P04, P05, P06, P09, P10, P12, P13</w:t>
            </w:r>
          </w:p>
        </w:tc>
      </w:tr>
      <w:tr>
        <w:tc>
          <w:tcPr>
            <w:tcW w:type="dxa" w:w="4600"/>
            <w:vAlign w:val="center"/>
          </w:tcPr>
          <w:p>
            <w:r>
              <w:rPr>
                <w:rFonts w:ascii="Calibri" w:cs="Calibri" w:eastAsia="Calibri" w:hAnsi="Calibri"/>
                <w:b w:val="false"/>
                <w:bCs w:val="false"/>
                <w:color w:val="000000"/>
                <w:sz w:val="19"/>
                <w:szCs w:val="19"/>
              </w:rPr>
              <w:t xml:space="preserve">No explainability</w:t>
            </w:r>
          </w:p>
        </w:tc>
        <w:tc>
          <w:tcPr>
            <w:tcW w:type="dxa" w:w="1200"/>
            <w:vAlign w:val="center"/>
          </w:tcPr>
          <w:p>
            <w:r>
              <w:rPr>
                <w:rFonts w:ascii="Calibri" w:cs="Calibri" w:eastAsia="Calibri" w:hAnsi="Calibri"/>
                <w:b w:val="false"/>
                <w:bCs w:val="false"/>
                <w:color w:val="000000"/>
                <w:sz w:val="19"/>
                <w:szCs w:val="19"/>
              </w:rPr>
              <w:t xml:space="preserve">10</w:t>
            </w:r>
          </w:p>
        </w:tc>
        <w:tc>
          <w:tcPr>
            <w:tcW w:type="dxa" w:w="3800"/>
            <w:vAlign w:val="center"/>
          </w:tcPr>
          <w:p>
            <w:r>
              <w:rPr>
                <w:rFonts w:ascii="Calibri" w:cs="Calibri" w:eastAsia="Calibri" w:hAnsi="Calibri"/>
                <w:b w:val="false"/>
                <w:bCs w:val="false"/>
                <w:color w:val="000000"/>
                <w:sz w:val="19"/>
                <w:szCs w:val="19"/>
              </w:rPr>
              <w:t xml:space="preserve">P02, P03, P05, P07, P09, P10, P11, P12, P13, P14</w:t>
            </w:r>
          </w:p>
        </w:tc>
      </w:tr>
      <w:tr>
        <w:tc>
          <w:tcPr>
            <w:tcW w:type="dxa" w:w="4600"/>
            <w:vAlign w:val="center"/>
          </w:tcPr>
          <w:p>
            <w:r>
              <w:rPr>
                <w:rFonts w:ascii="Calibri" w:cs="Calibri" w:eastAsia="Calibri" w:hAnsi="Calibri"/>
                <w:b w:val="false"/>
                <w:bCs w:val="false"/>
                <w:color w:val="000000"/>
                <w:sz w:val="19"/>
                <w:szCs w:val="19"/>
              </w:rPr>
              <w:t xml:space="preserve">No formal Applicability Domain / transferability gate (0/14) — recurring as an acknowledged limitation instead</w:t>
            </w:r>
          </w:p>
        </w:tc>
        <w:tc>
          <w:tcPr>
            <w:tcW w:type="dxa" w:w="1200"/>
            <w:vAlign w:val="center"/>
          </w:tcPr>
          <w:p>
            <w:r>
              <w:rPr>
                <w:rFonts w:ascii="Calibri" w:cs="Calibri" w:eastAsia="Calibri" w:hAnsi="Calibri"/>
                <w:b w:val="false"/>
                <w:bCs w:val="false"/>
                <w:color w:val="000000"/>
                <w:sz w:val="19"/>
                <w:szCs w:val="19"/>
              </w:rPr>
              <w:t xml:space="preserve">4</w:t>
            </w:r>
          </w:p>
        </w:tc>
        <w:tc>
          <w:tcPr>
            <w:tcW w:type="dxa" w:w="3800"/>
            <w:vAlign w:val="center"/>
          </w:tcPr>
          <w:p>
            <w:r>
              <w:rPr>
                <w:rFonts w:ascii="Calibri" w:cs="Calibri" w:eastAsia="Calibri" w:hAnsi="Calibri"/>
                <w:b w:val="false"/>
                <w:bCs w:val="false"/>
                <w:color w:val="000000"/>
                <w:sz w:val="19"/>
                <w:szCs w:val="19"/>
              </w:rPr>
              <w:t xml:space="preserve">P01, P04, P06, P08</w:t>
            </w:r>
          </w:p>
        </w:tc>
      </w:tr>
      <w:tr>
        <w:tc>
          <w:tcPr>
            <w:tcW w:type="dxa" w:w="4600"/>
            <w:vAlign w:val="center"/>
          </w:tcPr>
          <w:p>
            <w:r>
              <w:rPr>
                <w:rFonts w:ascii="Calibri" w:cs="Calibri" w:eastAsia="Calibri" w:hAnsi="Calibri"/>
                <w:b w:val="false"/>
                <w:bCs w:val="false"/>
                <w:color w:val="000000"/>
                <w:sz w:val="19"/>
                <w:szCs w:val="19"/>
              </w:rPr>
              <w:t xml:space="preserve">No formal scientific/sensor QA layer</w:t>
            </w:r>
          </w:p>
        </w:tc>
        <w:tc>
          <w:tcPr>
            <w:tcW w:type="dxa" w:w="1200"/>
            <w:vAlign w:val="center"/>
          </w:tcPr>
          <w:p>
            <w:r>
              <w:rPr>
                <w:rFonts w:ascii="Calibri" w:cs="Calibri" w:eastAsia="Calibri" w:hAnsi="Calibri"/>
                <w:b w:val="false"/>
                <w:bCs w:val="false"/>
                <w:color w:val="000000"/>
                <w:sz w:val="19"/>
                <w:szCs w:val="19"/>
              </w:rPr>
              <w:t xml:space="preserve">8</w:t>
            </w:r>
          </w:p>
        </w:tc>
        <w:tc>
          <w:tcPr>
            <w:tcW w:type="dxa" w:w="3800"/>
            <w:vAlign w:val="center"/>
          </w:tcPr>
          <w:p>
            <w:r>
              <w:rPr>
                <w:rFonts w:ascii="Calibri" w:cs="Calibri" w:eastAsia="Calibri" w:hAnsi="Calibri"/>
                <w:b w:val="false"/>
                <w:bCs w:val="false"/>
                <w:color w:val="000000"/>
                <w:sz w:val="19"/>
                <w:szCs w:val="19"/>
              </w:rPr>
              <w:t xml:space="preserve">P01, P04, P05, P06, P09, P10, P13, P14</w:t>
            </w:r>
          </w:p>
        </w:tc>
      </w:tr>
      <w:tr>
        <w:tc>
          <w:tcPr>
            <w:tcW w:type="dxa" w:w="4600"/>
            <w:vAlign w:val="center"/>
          </w:tcPr>
          <w:p>
            <w:r>
              <w:rPr>
                <w:rFonts w:ascii="Calibri" w:cs="Calibri" w:eastAsia="Calibri" w:hAnsi="Calibri"/>
                <w:b w:val="false"/>
                <w:bCs w:val="false"/>
                <w:color w:val="000000"/>
                <w:sz w:val="19"/>
                <w:szCs w:val="19"/>
              </w:rPr>
              <w:t xml:space="preserve">Single-model study, no system/framework architecture</w:t>
            </w:r>
          </w:p>
        </w:tc>
        <w:tc>
          <w:tcPr>
            <w:tcW w:type="dxa" w:w="1200"/>
            <w:vAlign w:val="center"/>
          </w:tcPr>
          <w:p>
            <w:r>
              <w:rPr>
                <w:rFonts w:ascii="Calibri" w:cs="Calibri" w:eastAsia="Calibri" w:hAnsi="Calibri"/>
                <w:b w:val="false"/>
                <w:bCs w:val="false"/>
                <w:color w:val="000000"/>
                <w:sz w:val="19"/>
                <w:szCs w:val="19"/>
              </w:rPr>
              <w:t xml:space="preserve">5</w:t>
            </w:r>
          </w:p>
        </w:tc>
        <w:tc>
          <w:tcPr>
            <w:tcW w:type="dxa" w:w="3800"/>
            <w:vAlign w:val="center"/>
          </w:tcPr>
          <w:p>
            <w:r>
              <w:rPr>
                <w:rFonts w:ascii="Calibri" w:cs="Calibri" w:eastAsia="Calibri" w:hAnsi="Calibri"/>
                <w:b w:val="false"/>
                <w:bCs w:val="false"/>
                <w:color w:val="000000"/>
                <w:sz w:val="19"/>
                <w:szCs w:val="19"/>
              </w:rPr>
              <w:t xml:space="preserve">P04, P05, P06, P13, P14</w:t>
            </w:r>
          </w:p>
        </w:tc>
      </w:tr>
      <w:tr>
        <w:tc>
          <w:tcPr>
            <w:tcW w:type="dxa" w:w="4600"/>
            <w:vAlign w:val="center"/>
          </w:tcPr>
          <w:p>
            <w:r>
              <w:rPr>
                <w:rFonts w:ascii="Calibri" w:cs="Calibri" w:eastAsia="Calibri" w:hAnsi="Calibri"/>
                <w:b w:val="false"/>
                <w:bCs w:val="false"/>
                <w:color w:val="000000"/>
                <w:sz w:val="19"/>
                <w:szCs w:val="19"/>
              </w:rPr>
              <w:t xml:space="preserve">No decision support (or only implied)</w:t>
            </w:r>
          </w:p>
        </w:tc>
        <w:tc>
          <w:tcPr>
            <w:tcW w:type="dxa" w:w="1200"/>
            <w:vAlign w:val="center"/>
          </w:tcPr>
          <w:p>
            <w:r>
              <w:rPr>
                <w:rFonts w:ascii="Calibri" w:cs="Calibri" w:eastAsia="Calibri" w:hAnsi="Calibri"/>
                <w:b w:val="false"/>
                <w:bCs w:val="false"/>
                <w:color w:val="000000"/>
                <w:sz w:val="19"/>
                <w:szCs w:val="19"/>
              </w:rPr>
              <w:t xml:space="preserve">5</w:t>
            </w:r>
          </w:p>
        </w:tc>
        <w:tc>
          <w:tcPr>
            <w:tcW w:type="dxa" w:w="3800"/>
            <w:vAlign w:val="center"/>
          </w:tcPr>
          <w:p>
            <w:r>
              <w:rPr>
                <w:rFonts w:ascii="Calibri" w:cs="Calibri" w:eastAsia="Calibri" w:hAnsi="Calibri"/>
                <w:b w:val="false"/>
                <w:bCs w:val="false"/>
                <w:color w:val="000000"/>
                <w:sz w:val="19"/>
                <w:szCs w:val="19"/>
              </w:rPr>
              <w:t xml:space="preserve">P01, P04, P05, P06, P12</w:t>
            </w:r>
          </w:p>
        </w:tc>
      </w:tr>
      <w:tr>
        <w:tc>
          <w:tcPr>
            <w:tcW w:type="dxa" w:w="4600"/>
            <w:vAlign w:val="center"/>
          </w:tcPr>
          <w:p>
            <w:r>
              <w:rPr>
                <w:rFonts w:ascii="Calibri" w:cs="Calibri" w:eastAsia="Calibri" w:hAnsi="Calibri"/>
                <w:b w:val="false"/>
                <w:bCs w:val="false"/>
                <w:color w:val="000000"/>
                <w:sz w:val="19"/>
                <w:szCs w:val="19"/>
              </w:rPr>
              <w:t xml:space="preserve">No environmental/ecological interpretation beyond raw metrics</w:t>
            </w:r>
          </w:p>
        </w:tc>
        <w:tc>
          <w:tcPr>
            <w:tcW w:type="dxa" w:w="1200"/>
            <w:vAlign w:val="center"/>
          </w:tcPr>
          <w:p>
            <w:r>
              <w:rPr>
                <w:rFonts w:ascii="Calibri" w:cs="Calibri" w:eastAsia="Calibri" w:hAnsi="Calibri"/>
                <w:b w:val="false"/>
                <w:bCs w:val="false"/>
                <w:color w:val="000000"/>
                <w:sz w:val="19"/>
                <w:szCs w:val="19"/>
              </w:rPr>
              <w:t xml:space="preserve">4</w:t>
            </w:r>
          </w:p>
        </w:tc>
        <w:tc>
          <w:tcPr>
            <w:tcW w:type="dxa" w:w="3800"/>
            <w:vAlign w:val="center"/>
          </w:tcPr>
          <w:p>
            <w:r>
              <w:rPr>
                <w:rFonts w:ascii="Calibri" w:cs="Calibri" w:eastAsia="Calibri" w:hAnsi="Calibri"/>
                <w:b w:val="false"/>
                <w:bCs w:val="false"/>
                <w:color w:val="000000"/>
                <w:sz w:val="19"/>
                <w:szCs w:val="19"/>
              </w:rPr>
              <w:t xml:space="preserve">P05, P10, P12, P13</w:t>
            </w:r>
          </w:p>
        </w:tc>
      </w:tr>
      <w:tr>
        <w:tc>
          <w:tcPr>
            <w:tcW w:type="dxa" w:w="4600"/>
            <w:vAlign w:val="center"/>
          </w:tcPr>
          <w:p>
            <w:r>
              <w:rPr>
                <w:rFonts w:ascii="Calibri" w:cs="Calibri" w:eastAsia="Calibri" w:hAnsi="Calibri"/>
                <w:b w:val="false"/>
                <w:bCs w:val="false"/>
                <w:color w:val="000000"/>
                <w:sz w:val="19"/>
                <w:szCs w:val="19"/>
              </w:rPr>
              <w:t xml:space="preserve">Small or reduced-after-cleaning sample size flagged by authors</w:t>
            </w:r>
          </w:p>
        </w:tc>
        <w:tc>
          <w:tcPr>
            <w:tcW w:type="dxa" w:w="1200"/>
            <w:vAlign w:val="center"/>
          </w:tcPr>
          <w:p>
            <w:r>
              <w:rPr>
                <w:rFonts w:ascii="Calibri" w:cs="Calibri" w:eastAsia="Calibri" w:hAnsi="Calibri"/>
                <w:b w:val="false"/>
                <w:bCs w:val="false"/>
                <w:color w:val="000000"/>
                <w:sz w:val="19"/>
                <w:szCs w:val="19"/>
              </w:rPr>
              <w:t xml:space="preserve">3</w:t>
            </w:r>
          </w:p>
        </w:tc>
        <w:tc>
          <w:tcPr>
            <w:tcW w:type="dxa" w:w="3800"/>
            <w:vAlign w:val="center"/>
          </w:tcPr>
          <w:p>
            <w:r>
              <w:rPr>
                <w:rFonts w:ascii="Calibri" w:cs="Calibri" w:eastAsia="Calibri" w:hAnsi="Calibri"/>
                <w:b w:val="false"/>
                <w:bCs w:val="false"/>
                <w:color w:val="000000"/>
                <w:sz w:val="19"/>
                <w:szCs w:val="19"/>
              </w:rPr>
              <w:t xml:space="preserve">P02 (n=20 at one site), P03 (n=80), P04 (1,987 to 390 after cleaning)</w:t>
            </w:r>
          </w:p>
        </w:tc>
      </w:tr>
      <w:tr>
        <w:tc>
          <w:tcPr>
            <w:tcW w:type="dxa" w:w="4600"/>
            <w:vAlign w:val="center"/>
          </w:tcPr>
          <w:p>
            <w:r>
              <w:rPr>
                <w:rFonts w:ascii="Calibri" w:cs="Calibri" w:eastAsia="Calibri" w:hAnsi="Calibri"/>
                <w:b w:val="false"/>
                <w:bCs w:val="false"/>
                <w:color w:val="000000"/>
                <w:sz w:val="19"/>
                <w:szCs w:val="19"/>
              </w:rPr>
              <w:t xml:space="preserve">Reliance on secondary/public or synthetic data rather than fresh field deployment</w:t>
            </w:r>
          </w:p>
        </w:tc>
        <w:tc>
          <w:tcPr>
            <w:tcW w:type="dxa" w:w="1200"/>
            <w:vAlign w:val="center"/>
          </w:tcPr>
          <w:p>
            <w:r>
              <w:rPr>
                <w:rFonts w:ascii="Calibri" w:cs="Calibri" w:eastAsia="Calibri" w:hAnsi="Calibri"/>
                <w:b w:val="false"/>
                <w:bCs w:val="false"/>
                <w:color w:val="000000"/>
                <w:sz w:val="19"/>
                <w:szCs w:val="19"/>
              </w:rPr>
              <w:t xml:space="preserve">2</w:t>
            </w:r>
          </w:p>
        </w:tc>
        <w:tc>
          <w:tcPr>
            <w:tcW w:type="dxa" w:w="3800"/>
            <w:vAlign w:val="center"/>
          </w:tcPr>
          <w:p>
            <w:r>
              <w:rPr>
                <w:rFonts w:ascii="Calibri" w:cs="Calibri" w:eastAsia="Calibri" w:hAnsi="Calibri"/>
                <w:b w:val="false"/>
                <w:bCs w:val="false"/>
                <w:color w:val="000000"/>
                <w:sz w:val="19"/>
                <w:szCs w:val="19"/>
              </w:rPr>
              <w:t xml:space="preserve">P04 (Kaggle dataset), P13 (simulation-generated training data)</w:t>
            </w:r>
          </w:p>
        </w:tc>
      </w:tr>
      <w:tr>
        <w:tc>
          <w:tcPr>
            <w:tcW w:type="dxa" w:w="4600"/>
            <w:vAlign w:val="center"/>
          </w:tcPr>
          <w:p>
            <w:r>
              <w:rPr>
                <w:rFonts w:ascii="Calibri" w:cs="Calibri" w:eastAsia="Calibri" w:hAnsi="Calibri"/>
                <w:b w:val="false"/>
                <w:bCs w:val="false"/>
                <w:color w:val="000000"/>
                <w:sz w:val="19"/>
                <w:szCs w:val="19"/>
              </w:rPr>
              <w:t xml:space="preserve">No Evidence Validation (multi-pillar)</w:t>
            </w:r>
          </w:p>
        </w:tc>
        <w:tc>
          <w:tcPr>
            <w:tcW w:type="dxa" w:w="1200"/>
            <w:vAlign w:val="center"/>
          </w:tcPr>
          <w:p>
            <w:r>
              <w:rPr>
                <w:rFonts w:ascii="Calibri" w:cs="Calibri" w:eastAsia="Calibri" w:hAnsi="Calibri"/>
                <w:b w:val="false"/>
                <w:bCs w:val="false"/>
                <w:color w:val="000000"/>
                <w:sz w:val="19"/>
                <w:szCs w:val="19"/>
              </w:rPr>
              <w:t xml:space="preserve">14</w:t>
            </w:r>
          </w:p>
        </w:tc>
        <w:tc>
          <w:tcPr>
            <w:tcW w:type="dxa" w:w="3800"/>
            <w:vAlign w:val="center"/>
          </w:tcPr>
          <w:p>
            <w:r>
              <w:rPr>
                <w:rFonts w:ascii="Calibri" w:cs="Calibri" w:eastAsia="Calibri" w:hAnsi="Calibri"/>
                <w:b w:val="false"/>
                <w:bCs w:val="false"/>
                <w:color w:val="000000"/>
                <w:sz w:val="19"/>
                <w:szCs w:val="19"/>
              </w:rPr>
              <w:t xml:space="preserve">All 14 — universal gap</w:t>
            </w:r>
          </w:p>
        </w:tc>
      </w:tr>
      <w:tr>
        <w:tc>
          <w:tcPr>
            <w:tcW w:type="dxa" w:w="4600"/>
            <w:vAlign w:val="center"/>
          </w:tcPr>
          <w:p>
            <w:r>
              <w:rPr>
                <w:rFonts w:ascii="Calibri" w:cs="Calibri" w:eastAsia="Calibri" w:hAnsi="Calibri"/>
                <w:b w:val="false"/>
                <w:bCs w:val="false"/>
                <w:color w:val="000000"/>
                <w:sz w:val="19"/>
                <w:szCs w:val="19"/>
              </w:rPr>
              <w:t xml:space="preserve">No Framework (self-)Validation</w:t>
            </w:r>
          </w:p>
        </w:tc>
        <w:tc>
          <w:tcPr>
            <w:tcW w:type="dxa" w:w="1200"/>
            <w:vAlign w:val="center"/>
          </w:tcPr>
          <w:p>
            <w:r>
              <w:rPr>
                <w:rFonts w:ascii="Calibri" w:cs="Calibri" w:eastAsia="Calibri" w:hAnsi="Calibri"/>
                <w:b w:val="false"/>
                <w:bCs w:val="false"/>
                <w:color w:val="000000"/>
                <w:sz w:val="19"/>
                <w:szCs w:val="19"/>
              </w:rPr>
              <w:t xml:space="preserve">14</w:t>
            </w:r>
          </w:p>
        </w:tc>
        <w:tc>
          <w:tcPr>
            <w:tcW w:type="dxa" w:w="3800"/>
            <w:vAlign w:val="center"/>
          </w:tcPr>
          <w:p>
            <w:r>
              <w:rPr>
                <w:rFonts w:ascii="Calibri" w:cs="Calibri" w:eastAsia="Calibri" w:hAnsi="Calibri"/>
                <w:b w:val="false"/>
                <w:bCs w:val="false"/>
                <w:color w:val="000000"/>
                <w:sz w:val="19"/>
                <w:szCs w:val="19"/>
              </w:rPr>
              <w:t xml:space="preserve">All 14 — universal gap</w:t>
            </w:r>
          </w:p>
        </w:tc>
      </w:tr>
      <w:tr>
        <w:tc>
          <w:tcPr>
            <w:tcW w:type="dxa" w:w="4600"/>
            <w:vAlign w:val="center"/>
          </w:tcPr>
          <w:p>
            <w:r>
              <w:rPr>
                <w:rFonts w:ascii="Calibri" w:cs="Calibri" w:eastAsia="Calibri" w:hAnsi="Calibri"/>
                <w:b w:val="false"/>
                <w:bCs w:val="false"/>
                <w:color w:val="000000"/>
                <w:sz w:val="19"/>
                <w:szCs w:val="19"/>
              </w:rPr>
              <w:t xml:space="preserve">No structured Failure Mode Analysis</w:t>
            </w:r>
          </w:p>
        </w:tc>
        <w:tc>
          <w:tcPr>
            <w:tcW w:type="dxa" w:w="1200"/>
            <w:vAlign w:val="center"/>
          </w:tcPr>
          <w:p>
            <w:r>
              <w:rPr>
                <w:rFonts w:ascii="Calibri" w:cs="Calibri" w:eastAsia="Calibri" w:hAnsi="Calibri"/>
                <w:b w:val="false"/>
                <w:bCs w:val="false"/>
                <w:color w:val="000000"/>
                <w:sz w:val="19"/>
                <w:szCs w:val="19"/>
              </w:rPr>
              <w:t xml:space="preserve">14</w:t>
            </w:r>
          </w:p>
        </w:tc>
        <w:tc>
          <w:tcPr>
            <w:tcW w:type="dxa" w:w="3800"/>
            <w:vAlign w:val="center"/>
          </w:tcPr>
          <w:p>
            <w:r>
              <w:rPr>
                <w:rFonts w:ascii="Calibri" w:cs="Calibri" w:eastAsia="Calibri" w:hAnsi="Calibri"/>
                <w:b w:val="false"/>
                <w:bCs w:val="false"/>
                <w:color w:val="000000"/>
                <w:sz w:val="19"/>
                <w:szCs w:val="19"/>
              </w:rPr>
              <w:t xml:space="preserve">All 14 — universal gap</w:t>
            </w:r>
          </w:p>
        </w:tc>
      </w:tr>
    </w:tbl>
    <w:p>
      <w:pPr>
        <w:pStyle w:val="Heading1"/>
        <w:spacing w:after="150" w:before="300"/>
      </w:pPr>
      <w:r>
        <w:t xml:space="preserve">Section 5 — Emerging Trends (2020-2026)</w:t>
      </w:r>
    </w:p>
    <w:p>
      <w:pPr>
        <w:pStyle w:val="ListParagraph"/>
        <w:numPr>
          <w:ilvl w:val="0"/>
          <w:numId w:val="2"/>
        </w:numPr>
        <w:spacing w:after="80"/>
      </w:pPr>
      <w:r>
        <w:rPr>
          <w:rFonts w:ascii="Calibri" w:cs="Calibri" w:eastAsia="Calibri" w:hAnsi="Calibri"/>
          <w:sz w:val="22"/>
          <w:szCs w:val="22"/>
        </w:rPr>
        <w:t xml:space="preserve">Rise of XAI, but narrow: SHAP is the default explainability tool across the review period (P01, 2022; P04, 2025) and even a 2026 paper explicitly designed to improve on it still benchmarks against SHAP rather than replacing it as the field's reference point (P06). LIME did not appear in any of the 14 verified papers.</w:t>
      </w:r>
    </w:p>
    <w:p>
      <w:pPr>
        <w:pStyle w:val="ListParagraph"/>
        <w:numPr>
          <w:ilvl w:val="0"/>
          <w:numId w:val="2"/>
        </w:numPr>
        <w:spacing w:after="80"/>
      </w:pPr>
      <w:r>
        <w:rPr>
          <w:rFonts w:ascii="Calibri" w:cs="Calibri" w:eastAsia="Calibri" w:hAnsi="Calibri"/>
          <w:sz w:val="22"/>
          <w:szCs w:val="22"/>
        </w:rPr>
        <w:t xml:space="preserve">Digital twins expanding beyond infrastructure into ecology: the paradigm moves from water distribution/service infrastructure (P10, 2023) to a general-purpose ecological digital-twin architecture (P11, TwinEco, 2025), suggesting the concept is generalizing beyond its original engineering context.</w:t>
      </w:r>
    </w:p>
    <w:p>
      <w:pPr>
        <w:pStyle w:val="ListParagraph"/>
        <w:numPr>
          <w:ilvl w:val="0"/>
          <w:numId w:val="2"/>
        </w:numPr>
        <w:spacing w:after="80"/>
      </w:pPr>
      <w:r>
        <w:rPr>
          <w:rFonts w:ascii="Calibri" w:cs="Calibri" w:eastAsia="Calibri" w:hAnsi="Calibri"/>
          <w:sz w:val="22"/>
          <w:szCs w:val="22"/>
        </w:rPr>
        <w:t xml:space="preserve">IoT pipelines maturing from basic telemetry to closed-loop systems: P07 (2022) describes a 4-layer sensing-to-dashboard pipeline; by P08 (2026) the pipeline is closed-loop with regulatory-standard sensor calibration, ML/DL prediction, and automated threshold actuation — a clear trajectory toward operational completeness, though still without physics-informed modeling, formal uncertainty, or evidence-based decision gating.</w:t>
      </w:r>
    </w:p>
    <w:p>
      <w:pPr>
        <w:pStyle w:val="ListParagraph"/>
        <w:numPr>
          <w:ilvl w:val="0"/>
          <w:numId w:val="2"/>
        </w:numPr>
        <w:spacing w:after="80"/>
      </w:pPr>
      <w:r>
        <w:rPr>
          <w:rFonts w:ascii="Calibri" w:cs="Calibri" w:eastAsia="Calibri" w:hAnsi="Calibri"/>
          <w:sz w:val="22"/>
          <w:szCs w:val="22"/>
        </w:rPr>
        <w:t xml:space="preserve">Physics-informed AI is emerging but thin in the peer-reviewed water-quality journal literature: only one paper in the verified set embeds hard physical constraints in a learned model (P13, 2023); broader (unverified, not included) search results found substantially more physics-informed hydrology work as arXiv preprints than as published journal papers in this domain, suggesting the approach is still transitioning from preprint to journal publication in water quality specifically.</w:t>
      </w:r>
    </w:p>
    <w:p>
      <w:pPr>
        <w:pStyle w:val="ListParagraph"/>
        <w:numPr>
          <w:ilvl w:val="0"/>
          <w:numId w:val="2"/>
        </w:numPr>
        <w:spacing w:after="80"/>
      </w:pPr>
      <w:r>
        <w:rPr>
          <w:rFonts w:ascii="Calibri" w:cs="Calibri" w:eastAsia="Calibri" w:hAnsi="Calibri"/>
          <w:sz w:val="22"/>
          <w:szCs w:val="22"/>
        </w:rPr>
        <w:t xml:space="preserve">Foundation models are conspicuously absent: none of the 14 verified papers used a pretrained foundation/transformer model for water quality tasks; one paper (P04) names transformer architectures only as future work.</w:t>
      </w:r>
    </w:p>
    <w:p>
      <w:pPr>
        <w:pStyle w:val="ListParagraph"/>
        <w:numPr>
          <w:ilvl w:val="0"/>
          <w:numId w:val="2"/>
        </w:numPr>
        <w:spacing w:after="80"/>
      </w:pPr>
      <w:r>
        <w:rPr>
          <w:rFonts w:ascii="Calibri" w:cs="Calibri" w:eastAsia="Calibri" w:hAnsi="Calibri"/>
          <w:sz w:val="22"/>
          <w:szCs w:val="22"/>
        </w:rPr>
        <w:t xml:space="preserve">The field is bifurcating: mature single-model ML/XAI papers continue to appear even in 2025-2026 (P04, P06) alongside a separate, still-architecturally-shallow trend toward multi-component frameworks (P07, P08, P09, P11) — the two threads have not yet merged in any single surveyed paper.</w:t>
      </w:r>
    </w:p>
    <w:p>
      <w:pPr>
        <w:pStyle w:val="Heading1"/>
        <w:spacing w:after="150" w:before="300"/>
      </w:pPr>
      <w:r>
        <w:t xml:space="preserve">Section 6 — Biggest Unresolved Research Challenges</w:t>
      </w:r>
    </w:p>
    <w:p>
      <w:pPr>
        <w:pStyle w:val="ListParagraph"/>
        <w:numPr>
          <w:ilvl w:val="0"/>
          <w:numId w:val="2"/>
        </w:numPr>
        <w:spacing w:after="80"/>
      </w:pPr>
      <w:r>
        <w:rPr>
          <w:rFonts w:ascii="Calibri" w:cs="Calibri" w:eastAsia="Calibri" w:hAnsi="Calibri"/>
          <w:sz w:val="22"/>
          <w:szCs w:val="22"/>
        </w:rPr>
        <w:t xml:space="preserve">No surveyed paper combines physics-informed constraints, explainability, formal uncertainty quantification, and decision support in one validated system. The closest approaches each cover a different subset: P08 combines QA, ML/DL, and decision support but has no physics-informed modeling or formal uncertainty; P14 has rigorous uncertainty decomposition but no explainability, QA, or decision automation; P13 has physical constraints but no uncertainty, explainability, or decision layer.</w:t>
      </w:r>
    </w:p>
    <w:p>
      <w:pPr>
        <w:pStyle w:val="ListParagraph"/>
        <w:numPr>
          <w:ilvl w:val="0"/>
          <w:numId w:val="2"/>
        </w:numPr>
        <w:spacing w:after="80"/>
      </w:pPr>
      <w:r>
        <w:rPr>
          <w:rFonts w:ascii="Calibri" w:cs="Calibri" w:eastAsia="Calibri" w:hAnsi="Calibri"/>
          <w:sz w:val="22"/>
          <w:szCs w:val="22"/>
        </w:rPr>
        <w:t xml:space="preserve">Uncertainty and evidence reliability are treated as nearly disjoint concerns. Even the one paper with formal uncertainty quantification (P14) scores it as a single undifferentiated concept, not as separate confidence, measurement-uncertainty, and evidence-coverage axes.</w:t>
      </w:r>
    </w:p>
    <w:p>
      <w:pPr>
        <w:pStyle w:val="ListParagraph"/>
        <w:numPr>
          <w:ilvl w:val="0"/>
          <w:numId w:val="2"/>
        </w:numPr>
        <w:spacing w:after="80"/>
      </w:pPr>
      <w:r>
        <w:rPr>
          <w:rFonts w:ascii="Calibri" w:cs="Calibri" w:eastAsia="Calibri" w:hAnsi="Calibri"/>
          <w:sz w:val="22"/>
          <w:szCs w:val="22"/>
        </w:rPr>
        <w:t xml:space="preserve">Applicability/transferability is never a first-class, testable output. Every surveyed paper that raises transferability (P01, P04, P06) does so only as an acknowledged limitation after the fact, never as a formally defined and tested applicability domain.</w:t>
      </w:r>
    </w:p>
    <w:p>
      <w:pPr>
        <w:pStyle w:val="ListParagraph"/>
        <w:numPr>
          <w:ilvl w:val="0"/>
          <w:numId w:val="2"/>
        </w:numPr>
        <w:spacing w:after="80"/>
      </w:pPr>
      <w:r>
        <w:rPr>
          <w:rFonts w:ascii="Calibri" w:cs="Calibri" w:eastAsia="Calibri" w:hAnsi="Calibri"/>
          <w:sz w:val="22"/>
          <w:szCs w:val="22"/>
        </w:rPr>
        <w:t xml:space="preserve">No paper implements structured failure-mode handling. None of the 14 papers define a catalog of ways the system's own outputs could be wrong (sensor failure, distribution shift, model degradation) with associated severity or recovery guidance.</w:t>
      </w:r>
    </w:p>
    <w:p>
      <w:pPr>
        <w:pStyle w:val="ListParagraph"/>
        <w:numPr>
          <w:ilvl w:val="0"/>
          <w:numId w:val="2"/>
        </w:numPr>
        <w:spacing w:after="80"/>
      </w:pPr>
      <w:r>
        <w:rPr>
          <w:rFonts w:ascii="Calibri" w:cs="Calibri" w:eastAsia="Calibri" w:hAnsi="Calibri"/>
          <w:sz w:val="22"/>
          <w:szCs w:val="22"/>
        </w:rPr>
        <w:t xml:space="preserve">No paper validates its own framework architecture. Where a framework/architecture is proposed (P07, P08, P09, P10, P11, P12), validation targets the framework's outputs (e.g., prediction accuracy), never the framework's own internal consistency or completeness against a stated contract.</w:t>
      </w:r>
    </w:p>
    <w:p>
      <w:pPr>
        <w:pStyle w:val="ListParagraph"/>
        <w:numPr>
          <w:ilvl w:val="0"/>
          <w:numId w:val="2"/>
        </w:numPr>
        <w:spacing w:after="80"/>
      </w:pPr>
      <w:r>
        <w:rPr>
          <w:rFonts w:ascii="Calibri" w:cs="Calibri" w:eastAsia="Calibri" w:hAnsi="Calibri"/>
          <w:sz w:val="22"/>
          <w:szCs w:val="22"/>
        </w:rPr>
        <w:t xml:space="preserve">Digital twin papers remain largely conceptual. Both digital-twin papers in the verified set (P10, P11) propose architectures and terminology rather than reporting empirical validation against a deployed, data-driven twin at scale.</w:t>
      </w:r>
    </w:p>
    <w:p>
      <w:pPr>
        <w:pStyle w:val="ListParagraph"/>
        <w:numPr>
          <w:ilvl w:val="0"/>
          <w:numId w:val="2"/>
        </w:numPr>
        <w:spacing w:after="80"/>
      </w:pPr>
      <w:r>
        <w:rPr>
          <w:rFonts w:ascii="Calibri" w:cs="Calibri" w:eastAsia="Calibri" w:hAnsi="Calibri"/>
          <w:sz w:val="22"/>
          <w:szCs w:val="22"/>
        </w:rPr>
        <w:t xml:space="preserve">Coastal-specific literature is comparatively thin. Only two of the 14 verified papers (P01, P02) focus specifically on coastal/estuarine systems, versus the larger body of general freshwater/river water-quality ML literature encountered during the search process.</w:t>
      </w:r>
    </w:p>
    <w:p>
      <w:pPr>
        <w:pStyle w:val="Heading1"/>
        <w:spacing w:after="150" w:before="300"/>
      </w:pPr>
      <w:r>
        <w:t xml:space="preserve">Section 7 — Where the Literature Is Moving</w:t>
      </w:r>
    </w:p>
    <w:p>
      <w:pPr>
        <w:spacing w:after="160"/>
      </w:pPr>
      <w:r>
        <w:rPr>
          <w:rFonts w:ascii="Calibri" w:cs="Calibri" w:eastAsia="Calibri" w:hAnsi="Calibri"/>
          <w:b w:val="false"/>
          <w:bCs w:val="false"/>
          <w:i w:val="false"/>
          <w:iCs w:val="false"/>
          <w:sz w:val="22"/>
          <w:szCs w:val="22"/>
        </w:rPr>
        <w:t xml:space="preserve">Read together, the 14 verified papers describe a field moving along three fronts that have not yet converged:</w:t>
      </w:r>
    </w:p>
    <w:p>
      <w:pPr>
        <w:pStyle w:val="ListParagraph"/>
        <w:numPr>
          <w:ilvl w:val="0"/>
          <w:numId w:val="2"/>
        </w:numPr>
        <w:spacing w:after="80"/>
      </w:pPr>
      <w:r>
        <w:rPr>
          <w:rFonts w:ascii="Calibri" w:cs="Calibri" w:eastAsia="Calibri" w:hAnsi="Calibri"/>
          <w:sz w:val="22"/>
          <w:szCs w:val="22"/>
        </w:rPr>
        <w:t xml:space="preserve">From black-box to explainable prediction — but not yet beyond SHAP as the default (P01 -&gt; P04 -&gt; P06).</w:t>
      </w:r>
    </w:p>
    <w:p>
      <w:pPr>
        <w:pStyle w:val="ListParagraph"/>
        <w:numPr>
          <w:ilvl w:val="0"/>
          <w:numId w:val="2"/>
        </w:numPr>
        <w:spacing w:after="80"/>
      </w:pPr>
      <w:r>
        <w:rPr>
          <w:rFonts w:ascii="Calibri" w:cs="Calibri" w:eastAsia="Calibri" w:hAnsi="Calibri"/>
          <w:sz w:val="22"/>
          <w:szCs w:val="22"/>
        </w:rPr>
        <w:t xml:space="preserve">From standalone sensors to closed-loop IoT pipelines with real deployment validation (P07 -&gt; P08), but without the scientific-validation layers (QA rigor beyond calibration, formal uncertainty, evidence-based decision gating) that would make those pipelines defensible for regulatory or research use.</w:t>
      </w:r>
    </w:p>
    <w:p>
      <w:pPr>
        <w:pStyle w:val="ListParagraph"/>
        <w:numPr>
          <w:ilvl w:val="0"/>
          <w:numId w:val="2"/>
        </w:numPr>
        <w:spacing w:after="80"/>
      </w:pPr>
      <w:r>
        <w:rPr>
          <w:rFonts w:ascii="Calibri" w:cs="Calibri" w:eastAsia="Calibri" w:hAnsi="Calibri"/>
          <w:sz w:val="22"/>
          <w:szCs w:val="22"/>
        </w:rPr>
        <w:t xml:space="preserve">From single-domain water quality modeling toward general-purpose environmental digital-twin and framework concepts (P10 -&gt; P11), but these remain conceptual rather than empirically validated at the same rigor as the single-model prediction literature.</w:t>
      </w:r>
    </w:p>
    <w:p>
      <w:pPr>
        <w:spacing w:after="160"/>
      </w:pPr>
      <w:r>
        <w:rPr>
          <w:rFonts w:ascii="Calibri" w:cs="Calibri" w:eastAsia="Calibri" w:hAnsi="Calibri"/>
          <w:b w:val="false"/>
          <w:bCs w:val="false"/>
          <w:i w:val="false"/>
          <w:iCs w:val="false"/>
          <w:sz w:val="22"/>
          <w:szCs w:val="22"/>
        </w:rPr>
        <w:t xml:space="preserve">None of the 14 verified papers sits at the intersection of all three fronts. This is the specific gap the following section addresses.</w:t>
      </w:r>
    </w:p>
    <w:p>
      <w:pPr>
        <w:pStyle w:val="Heading1"/>
        <w:spacing w:after="150" w:before="300"/>
      </w:pPr>
      <w:r>
        <w:t xml:space="preserve">Section 8 — Capability Matrix</w:t>
      </w:r>
    </w:p>
    <w:p>
      <w:pPr>
        <w:spacing w:after="160"/>
      </w:pPr>
      <w:r>
        <w:rPr>
          <w:rFonts w:ascii="Calibri" w:cs="Calibri" w:eastAsia="Calibri" w:hAnsi="Calibri"/>
          <w:b w:val="false"/>
          <w:bCs w:val="false"/>
          <w:i w:val="false"/>
          <w:iCs w:val="false"/>
          <w:sz w:val="22"/>
          <w:szCs w:val="22"/>
        </w:rPr>
        <w:t xml:space="preserve">The full 13-row x 14-column capability matrix (Scientific QA, Physics Validation, Explainability, ML, DL, Anomaly Detection, Environmental Interpretation, Decision Support, Uncertainty, Framework Validation, Applicability Domain, Knowledge Base, Evidence Validation) is provided in the Excel workbook, sheet '5. Capability Matrix', with colour-coded Yes/Partial/No cells. The counts in Section 3 above are derived directly from that matrix.</w:t>
      </w:r>
    </w:p>
    <w:p>
      <w:pPr>
        <w:pStyle w:val="Heading1"/>
        <w:spacing w:after="150" w:before="300"/>
      </w:pPr>
      <w:r>
        <w:t xml:space="preserve">Section 9 — Where a Comprehensive Environmental Intelligence Framework Fits</w:t>
      </w:r>
    </w:p>
    <w:p>
      <w:pPr>
        <w:spacing w:after="160"/>
      </w:pPr>
      <w:r>
        <w:rPr>
          <w:rFonts w:ascii="Calibri" w:cs="Calibri" w:eastAsia="Calibri" w:hAnsi="Calibri"/>
          <w:b w:val="false"/>
          <w:bCs w:val="false"/>
          <w:i w:val="false"/>
          <w:iCs w:val="false"/>
          <w:sz w:val="22"/>
          <w:szCs w:val="22"/>
        </w:rPr>
        <w:t xml:space="preserve">This section states only what the 14 surveyed papers establish or fail to establish. It does not assess any specific framework's implementation — that comparison belongs in the manuscript itself, using this database as its evidence base. Every claim below is cited to the specific paper(s) it rests on.</w:t>
      </w:r>
    </w:p>
    <w:p>
      <w:pPr>
        <w:spacing w:after="160"/>
      </w:pPr>
      <w:r>
        <w:rPr>
          <w:rFonts w:ascii="Calibri" w:cs="Calibri" w:eastAsia="Calibri" w:hAnsi="Calibri"/>
          <w:b/>
          <w:bCs/>
          <w:i w:val="false"/>
          <w:iCs w:val="false"/>
          <w:sz w:val="22"/>
          <w:szCs w:val="22"/>
        </w:rPr>
        <w:t xml:space="preserve">Established / already well-covered in the literature (a manuscript should not claim novelty here):</w:t>
      </w:r>
    </w:p>
    <w:p>
      <w:pPr>
        <w:pStyle w:val="ListParagraph"/>
        <w:numPr>
          <w:ilvl w:val="0"/>
          <w:numId w:val="2"/>
        </w:numPr>
        <w:spacing w:after="80"/>
      </w:pPr>
      <w:r>
        <w:rPr>
          <w:rFonts w:ascii="Calibri" w:cs="Calibri" w:eastAsia="Calibri" w:hAnsi="Calibri"/>
          <w:sz w:val="22"/>
          <w:szCs w:val="22"/>
        </w:rPr>
        <w:t xml:space="preserve">Machine-learning-based water quality prediction is mature and widely demonstrated, including ensemble methods, deep learning, and hybrid architectures (P01, P03, P04, P05, P08, P09).</w:t>
      </w:r>
    </w:p>
    <w:p>
      <w:pPr>
        <w:pStyle w:val="ListParagraph"/>
        <w:numPr>
          <w:ilvl w:val="0"/>
          <w:numId w:val="2"/>
        </w:numPr>
        <w:spacing w:after="80"/>
      </w:pPr>
      <w:r>
        <w:rPr>
          <w:rFonts w:ascii="Calibri" w:cs="Calibri" w:eastAsia="Calibri" w:hAnsi="Calibri"/>
          <w:sz w:val="22"/>
          <w:szCs w:val="22"/>
        </w:rPr>
        <w:t xml:space="preserve">SHAP-based explainability applied to water-quality/environmental models is established practice, with multiple worked examples across different model families (P01, P04).</w:t>
      </w:r>
    </w:p>
    <w:p>
      <w:pPr>
        <w:pStyle w:val="ListParagraph"/>
        <w:numPr>
          <w:ilvl w:val="0"/>
          <w:numId w:val="2"/>
        </w:numPr>
        <w:spacing w:after="80"/>
      </w:pPr>
      <w:r>
        <w:rPr>
          <w:rFonts w:ascii="Calibri" w:cs="Calibri" w:eastAsia="Calibri" w:hAnsi="Calibri"/>
          <w:sz w:val="22"/>
          <w:szCs w:val="22"/>
        </w:rPr>
        <w:t xml:space="preserve">IoT sensor-to-cloud-to-dashboard pipelines, including sensor calibration against regulatory standards and threshold-based alerting, are demonstrated at production scale in real, multi-month deployments (P07, P08).</w:t>
      </w:r>
    </w:p>
    <w:p>
      <w:pPr>
        <w:pStyle w:val="ListParagraph"/>
        <w:numPr>
          <w:ilvl w:val="0"/>
          <w:numId w:val="2"/>
        </w:numPr>
        <w:spacing w:after="80"/>
      </w:pPr>
      <w:r>
        <w:rPr>
          <w:rFonts w:ascii="Calibri" w:cs="Calibri" w:eastAsia="Calibri" w:hAnsi="Calibri"/>
          <w:sz w:val="22"/>
          <w:szCs w:val="22"/>
        </w:rPr>
        <w:t xml:space="preserve">Framing predictive outputs as decision support for water/environmental managers is common motivational language across the majority of surveyed papers (P02, P07, P08, P09, P10, P11, P14).</w:t>
      </w:r>
    </w:p>
    <w:p>
      <w:pPr>
        <w:spacing w:after="160"/>
      </w:pPr>
      <w:r>
        <w:rPr>
          <w:rFonts w:ascii="Calibri" w:cs="Calibri" w:eastAsia="Calibri" w:hAnsi="Calibri"/>
          <w:b/>
          <w:bCs/>
          <w:i w:val="false"/>
          <w:iCs w:val="false"/>
          <w:sz w:val="22"/>
          <w:szCs w:val="22"/>
        </w:rPr>
        <w:t xml:space="preserve">Gaps the surveyed literature leaves open (a manuscript can defensibly claim contribution here, citing the absence below):</w:t>
      </w:r>
    </w:p>
    <w:p>
      <w:pPr>
        <w:pStyle w:val="ListParagraph"/>
        <w:numPr>
          <w:ilvl w:val="0"/>
          <w:numId w:val="2"/>
        </w:numPr>
        <w:spacing w:after="80"/>
      </w:pPr>
      <w:r>
        <w:rPr>
          <w:rFonts w:ascii="Calibri" w:cs="Calibri" w:eastAsia="Calibri" w:hAnsi="Calibri"/>
          <w:sz w:val="22"/>
          <w:szCs w:val="22"/>
        </w:rPr>
        <w:t xml:space="preserve">Formal, multi-pillar evidence validation — jointly weighing statistical, practical, physical, and environmental evidence for a single claim — appears in none of the 14 surveyed papers (0/14).</w:t>
      </w:r>
    </w:p>
    <w:p>
      <w:pPr>
        <w:pStyle w:val="ListParagraph"/>
        <w:numPr>
          <w:ilvl w:val="0"/>
          <w:numId w:val="2"/>
        </w:numPr>
        <w:spacing w:after="80"/>
      </w:pPr>
      <w:r>
        <w:rPr>
          <w:rFonts w:ascii="Calibri" w:cs="Calibri" w:eastAsia="Calibri" w:hAnsi="Calibri"/>
          <w:sz w:val="22"/>
          <w:szCs w:val="22"/>
        </w:rPr>
        <w:t xml:space="preserve">A first-class, separately reported Applicability Domain (rather than an after-the-fact limitation) appears in none of the 14 surveyed papers; transferability is raised only as an acknowledged weakness (P01, P04, P06) (0/14).</w:t>
      </w:r>
    </w:p>
    <w:p>
      <w:pPr>
        <w:pStyle w:val="ListParagraph"/>
        <w:numPr>
          <w:ilvl w:val="0"/>
          <w:numId w:val="2"/>
        </w:numPr>
        <w:spacing w:after="80"/>
      </w:pPr>
      <w:r>
        <w:rPr>
          <w:rFonts w:ascii="Calibri" w:cs="Calibri" w:eastAsia="Calibri" w:hAnsi="Calibri"/>
          <w:sz w:val="22"/>
          <w:szCs w:val="22"/>
        </w:rPr>
        <w:t xml:space="preserve">Structured failure-mode analysis — a defined catalog of ways a system's own outputs could be wrong, with severity and recovery guidance — appears in none of the 14 surveyed papers (0/14).</w:t>
      </w:r>
    </w:p>
    <w:p>
      <w:pPr>
        <w:pStyle w:val="ListParagraph"/>
        <w:numPr>
          <w:ilvl w:val="0"/>
          <w:numId w:val="2"/>
        </w:numPr>
        <w:spacing w:after="80"/>
      </w:pPr>
      <w:r>
        <w:rPr>
          <w:rFonts w:ascii="Calibri" w:cs="Calibri" w:eastAsia="Calibri" w:hAnsi="Calibri"/>
          <w:sz w:val="22"/>
          <w:szCs w:val="22"/>
        </w:rPr>
        <w:t xml:space="preserve">Self-validation of a framework's own architecture against a stated contract or test suite, as distinct from validating the framework's predictive outputs, appears in none of the 14 surveyed papers (0/14).</w:t>
      </w:r>
    </w:p>
    <w:p>
      <w:pPr>
        <w:pStyle w:val="ListParagraph"/>
        <w:numPr>
          <w:ilvl w:val="0"/>
          <w:numId w:val="2"/>
        </w:numPr>
        <w:spacing w:after="80"/>
      </w:pPr>
      <w:r>
        <w:rPr>
          <w:rFonts w:ascii="Calibri" w:cs="Calibri" w:eastAsia="Calibri" w:hAnsi="Calibri"/>
          <w:sz w:val="22"/>
          <w:szCs w:val="22"/>
        </w:rPr>
        <w:t xml:space="preserve">Uncertainty quantification that separates confidence, measurement uncertainty, and evidence reliability/coverage into distinct, independently reported axes is not demonstrated by any surveyed paper — the one paper with rigorous formal uncertainty quantification (P14) treats it as a single undifferentiated quantity, and no paper couples formal uncertainty with explainability, scientific QA, and decision support in the same system.</w:t>
      </w:r>
    </w:p>
    <w:p>
      <w:pPr>
        <w:pStyle w:val="ListParagraph"/>
        <w:numPr>
          <w:ilvl w:val="0"/>
          <w:numId w:val="2"/>
        </w:numPr>
        <w:spacing w:after="80"/>
      </w:pPr>
      <w:r>
        <w:rPr>
          <w:rFonts w:ascii="Calibri" w:cs="Calibri" w:eastAsia="Calibri" w:hAnsi="Calibri"/>
          <w:sz w:val="22"/>
          <w:szCs w:val="22"/>
        </w:rPr>
        <w:t xml:space="preserve">No surveyed paper integrates physics-informed constraints (as in P13) with explainability, uncertainty quantification, and decision support in one validated pipeline — each capability is demonstrated only in isolation across different papers.</w:t>
      </w:r>
    </w:p>
    <w:p>
      <w:pPr>
        <w:spacing w:after="160"/>
      </w:pPr>
      <w:r>
        <w:rPr>
          <w:rFonts w:ascii="Calibri" w:cs="Calibri" w:eastAsia="Calibri" w:hAnsi="Calibri"/>
          <w:b w:val="false"/>
          <w:bCs w:val="false"/>
          <w:i w:val="false"/>
          <w:iCs w:val="false"/>
          <w:sz w:val="22"/>
          <w:szCs w:val="22"/>
        </w:rPr>
        <w:t xml:space="preserve">In short: the surveyed literature demonstrates the individual building blocks of an environmental intelligence system (prediction, explainability, IoT pipelines, decision-support framing, digital-twin concepts, physics-informed modeling, uncertainty quantification) but not their integration, and specifically not the evidence-validation, applicability-domain, failure-mode, or framework-self-validation layers. A framework that implements and empirically validates those specific capabilities together would be addressing gaps this literature sample does not fill — a narrower and more defensible claim than asserting general novelty in prediction accuracy or explainability alone, both of which are already well established (P01, P04).</w:t>
      </w:r>
    </w:p>
    <w:p>
      <w:pPr>
        <w:pStyle w:val="Heading1"/>
        <w:spacing w:after="150" w:before="300"/>
      </w:pPr>
      <w:r>
        <w:t xml:space="preserve">Complete References (APA style)</w:t>
      </w:r>
    </w:p>
    <w:p>
      <w:pPr>
        <w:spacing w:after="160"/>
      </w:pPr>
      <w:r>
        <w:rPr>
          <w:rFonts w:ascii="Calibri" w:cs="Calibri" w:eastAsia="Calibri" w:hAnsi="Calibri"/>
          <w:b w:val="false"/>
          <w:bCs w:val="false"/>
          <w:i w:val="false"/>
          <w:iCs w:val="false"/>
          <w:sz w:val="22"/>
          <w:szCs w:val="22"/>
        </w:rPr>
        <w:t xml:space="preserve">Bertels, D., &amp; Willems, P. (2023). Physics-informed machine learning method for modelling transport of a conservative pollutant in surface water systems. Journal of Hydrology, 619, 129354. https://doi.org/10.1016/j.jhydrol.2023.129354</w:t>
      </w:r>
    </w:p>
    <w:p>
      <w:pPr>
        <w:spacing w:after="160"/>
      </w:pPr>
      <w:r>
        <w:rPr>
          <w:rFonts w:ascii="Calibri" w:cs="Calibri" w:eastAsia="Calibri" w:hAnsi="Calibri"/>
          <w:b w:val="false"/>
          <w:bCs w:val="false"/>
          <w:i w:val="false"/>
          <w:iCs w:val="false"/>
          <w:sz w:val="22"/>
          <w:szCs w:val="22"/>
        </w:rPr>
        <w:t xml:space="preserve">Choudhary, R., Kumar, A., C., P., Naik, M. M., Choudhury, M., &amp; Khan, N. A. (2025). Predicting water quality index using stacked ensemble regression and SHAP based explainable artificial intelligence. Scientific Reports, 15, 31139. https://doi.org/10.1038/s41598-025-09463-4</w:t>
      </w:r>
    </w:p>
    <w:p>
      <w:pPr>
        <w:spacing w:after="160"/>
      </w:pPr>
      <w:r>
        <w:rPr>
          <w:rFonts w:ascii="Calibri" w:cs="Calibri" w:eastAsia="Calibri" w:hAnsi="Calibri"/>
          <w:b w:val="false"/>
          <w:bCs w:val="false"/>
          <w:i w:val="false"/>
          <w:iCs w:val="false"/>
          <w:sz w:val="22"/>
          <w:szCs w:val="22"/>
        </w:rPr>
        <w:t xml:space="preserve">Ciliberti, F. G., Berardi, L., Laucelli, D. B., Ariza, A. D., Enriquez, L. V., &amp; Giustolisi, O. (2023). From digital twin paradigm to digital water services. Journal of Hydroinformatics, 25(6), 2444-2459. https://doi.org/10.2166/hydro.2023.237</w:t>
      </w:r>
    </w:p>
    <w:p>
      <w:pPr>
        <w:spacing w:after="160"/>
      </w:pPr>
      <w:r>
        <w:rPr>
          <w:rFonts w:ascii="Calibri" w:cs="Calibri" w:eastAsia="Calibri" w:hAnsi="Calibri"/>
          <w:b w:val="false"/>
          <w:bCs w:val="false"/>
          <w:i w:val="false"/>
          <w:iCs w:val="false"/>
          <w:sz w:val="22"/>
          <w:szCs w:val="22"/>
        </w:rPr>
        <w:t xml:space="preserve">Farzana, S. Z., Paudyal, D. R., Chadalavada, S., &amp; Alam, M. J. (2024). Decision support framework for water quality management in reservoirs integrating artificial intelligence and statistical approaches. Water, 16(20), 2944. https://doi.org/10.3390/w16202944</w:t>
      </w:r>
    </w:p>
    <w:p>
      <w:pPr>
        <w:spacing w:after="160"/>
      </w:pPr>
      <w:r>
        <w:rPr>
          <w:rFonts w:ascii="Calibri" w:cs="Calibri" w:eastAsia="Calibri" w:hAnsi="Calibri"/>
          <w:b w:val="false"/>
          <w:bCs w:val="false"/>
          <w:i w:val="false"/>
          <w:iCs w:val="false"/>
          <w:sz w:val="22"/>
          <w:szCs w:val="22"/>
        </w:rPr>
        <w:t xml:space="preserve">Grbcic, L., Druzeta, S., Mausa, G., Lipic, T., Vukic Lusic, D., Alvir, M., Lucin, I., Sikirica, A., Davidovic, D., Travas, V., Kalafatovic, D., Pikelj, K., Fajkovic, H., Holjevic, T., &amp; Kranjcevic, L. (2022). Coastal water quality prediction based on machine learning with feature interpretation and spatio-temporal analysis. Environmental Modelling &amp; Software, 155, 105458. https://doi.org/10.1016/j.envsoft.2022.105458</w:t>
      </w:r>
    </w:p>
    <w:p>
      <w:pPr>
        <w:spacing w:after="160"/>
      </w:pPr>
      <w:r>
        <w:rPr>
          <w:rFonts w:ascii="Calibri" w:cs="Calibri" w:eastAsia="Calibri" w:hAnsi="Calibri"/>
          <w:b w:val="false"/>
          <w:bCs w:val="false"/>
          <w:i w:val="false"/>
          <w:iCs w:val="false"/>
          <w:sz w:val="22"/>
          <w:szCs w:val="22"/>
        </w:rPr>
        <w:t xml:space="preserve">Khan, T., de Koning, K., Endresen, D., Chala, D., &amp; Kusch, E. (2025). TwinEco: A unified framework for dynamic data-driven digital twins in ecology. Ecological Informatics. https://doi.org/10.1016/j.ecoinf.2025.103407</w:t>
      </w:r>
    </w:p>
    <w:p>
      <w:pPr>
        <w:spacing w:after="160"/>
      </w:pPr>
      <w:r>
        <w:rPr>
          <w:rFonts w:ascii="Calibri" w:cs="Calibri" w:eastAsia="Calibri" w:hAnsi="Calibri"/>
          <w:b w:val="false"/>
          <w:bCs w:val="false"/>
          <w:i w:val="false"/>
          <w:iCs w:val="false"/>
          <w:sz w:val="22"/>
          <w:szCs w:val="22"/>
        </w:rPr>
        <w:t xml:space="preserve">Mahajan, S. (2022). Design and development of an open-source framework for citizen-centric environmental monitoring and data analysis. Scientific Reports, 12, 15612. https://doi.org/10.1038/s41598-022-18700-z</w:t>
      </w:r>
    </w:p>
    <w:p>
      <w:pPr>
        <w:spacing w:after="160"/>
      </w:pPr>
      <w:r>
        <w:rPr>
          <w:rFonts w:ascii="Calibri" w:cs="Calibri" w:eastAsia="Calibri" w:hAnsi="Calibri"/>
          <w:b w:val="false"/>
          <w:bCs w:val="false"/>
          <w:i w:val="false"/>
          <w:iCs w:val="false"/>
          <w:sz w:val="22"/>
          <w:szCs w:val="22"/>
        </w:rPr>
        <w:t xml:space="preserve">Rigueira, X., Olivieri, D., Araujo, M., &amp; Pazo, M. (2026). An explainable AI model for anomaly detection in water quality data. Water Resources Management, 40, 305. https://doi.org/10.1007/s11269-026-04676-2</w:t>
      </w:r>
    </w:p>
    <w:p>
      <w:pPr>
        <w:spacing w:after="160"/>
      </w:pPr>
      <w:r>
        <w:rPr>
          <w:rFonts w:ascii="Calibri" w:cs="Calibri" w:eastAsia="Calibri" w:hAnsi="Calibri"/>
          <w:b w:val="false"/>
          <w:bCs w:val="false"/>
          <w:i w:val="false"/>
          <w:iCs w:val="false"/>
          <w:sz w:val="22"/>
          <w:szCs w:val="22"/>
        </w:rPr>
        <w:t xml:space="preserve">Sarker, S., Krug, L. A., Islam, K. M., Basak, S. C., Huda, A. N. M. S., Hossain, M. S., Das, N., Riya, S. C., Liyana, E., &amp; Chowdhury, G. W. (2024). An integrated coastal ecosystem monitoring strategy: Pilot case in Naf-Saint Martin Peninsula, Bangladesh. Science of the Total Environment. https://doi.org/10.1016/j.scitotenv.2023.169718</w:t>
      </w:r>
    </w:p>
    <w:p>
      <w:pPr>
        <w:spacing w:after="160"/>
      </w:pPr>
      <w:r>
        <w:rPr>
          <w:rFonts w:ascii="Calibri" w:cs="Calibri" w:eastAsia="Calibri" w:hAnsi="Calibri"/>
          <w:b w:val="false"/>
          <w:bCs w:val="false"/>
          <w:i w:val="false"/>
          <w:iCs w:val="false"/>
          <w:sz w:val="22"/>
          <w:szCs w:val="22"/>
        </w:rPr>
        <w:t xml:space="preserve">Schmidt, L., Schafer, D., Geller, J., Lunenschloss, P., Palm, B., Rinke, K., Rebmann, C., Rode, M., &amp; Bumberger, J. (2023). System for automated Quality Control (SaQC) to enable traceable and reproducible data streams in environmental science. Environmental Modelling &amp; Software, 165, 105809. https://doi.org/10.1016/j.envsoft.2023.105809</w:t>
      </w:r>
    </w:p>
    <w:p>
      <w:pPr>
        <w:spacing w:after="160"/>
      </w:pPr>
      <w:r>
        <w:rPr>
          <w:rFonts w:ascii="Calibri" w:cs="Calibri" w:eastAsia="Calibri" w:hAnsi="Calibri"/>
          <w:b w:val="false"/>
          <w:bCs w:val="false"/>
          <w:i w:val="false"/>
          <w:iCs w:val="false"/>
          <w:sz w:val="22"/>
          <w:szCs w:val="22"/>
        </w:rPr>
        <w:t xml:space="preserve">Singh, Y., &amp; Walingo, T. (2024). Smart water quality monitoring with IoT wireless sensor networks. Sensors, 24(9), 2871. https://doi.org/10.3390/s24092871</w:t>
      </w:r>
    </w:p>
    <w:p>
      <w:pPr>
        <w:spacing w:after="160"/>
      </w:pPr>
      <w:r>
        <w:rPr>
          <w:rFonts w:ascii="Calibri" w:cs="Calibri" w:eastAsia="Calibri" w:hAnsi="Calibri"/>
          <w:b w:val="false"/>
          <w:bCs w:val="false"/>
          <w:i w:val="false"/>
          <w:iCs w:val="false"/>
          <w:sz w:val="22"/>
          <w:szCs w:val="22"/>
        </w:rPr>
        <w:t xml:space="preserve">Tanzila, Ali, S., Aslam, M. I., Ahmed, I., Ayub, M. S., Kulsoom, S. K., Hussain, M., Asif, M., &amp; Koo, I. (2026). Design, development, and evaluation of ML-IoT enabled environment quality monitoring system. Frontiers in Environmental Science. https://doi.org/10.3389/fenvs.2026.1822757</w:t>
      </w:r>
    </w:p>
    <w:p>
      <w:pPr>
        <w:spacing w:after="160"/>
      </w:pPr>
      <w:r>
        <w:rPr>
          <w:rFonts w:ascii="Calibri" w:cs="Calibri" w:eastAsia="Calibri" w:hAnsi="Calibri"/>
          <w:b w:val="false"/>
          <w:bCs w:val="false"/>
          <w:i w:val="false"/>
          <w:iCs w:val="false"/>
          <w:sz w:val="22"/>
          <w:szCs w:val="22"/>
        </w:rPr>
        <w:t xml:space="preserve">Uddin, M. G., Nash, S., Rahman, A., &amp; Olbert, A. I. (2023). A novel approach for estimating and predicting uncertainty in water quality index model using machine learning approaches. Water Research, 229, 119422. https://doi.org/10.1016/j.watres.2022.119422</w:t>
      </w:r>
    </w:p>
    <w:p>
      <w:pPr>
        <w:spacing w:after="160"/>
      </w:pPr>
      <w:r>
        <w:rPr>
          <w:rFonts w:ascii="Calibri" w:cs="Calibri" w:eastAsia="Calibri" w:hAnsi="Calibri"/>
          <w:b w:val="false"/>
          <w:bCs w:val="false"/>
          <w:i w:val="false"/>
          <w:iCs w:val="false"/>
          <w:sz w:val="22"/>
          <w:szCs w:val="22"/>
        </w:rPr>
        <w:t xml:space="preserve">Yang, Y., Xiong, Q., Wu, C., Zou, Q., Yu, Y., Yi, H., &amp; Gao, M. (2021). A study on water quality prediction by a hybrid CNN-LSTM model with attention mechanism. Environmental Science and Pollution Research, 28, 55129-55139. https://doi.org/10.1007/s11356-021-14687-8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999999"/>
        <w:sz w:val="16"/>
        <w:szCs w:val="16"/>
      </w:rPr>
      <w:t xml:space="preserve">Environmental Intelligence Framework — SOTA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2026-07-19T15:08:39.820Z</dcterms:created>
  <dcterms:modified xsi:type="dcterms:W3CDTF">2026-07-19T15:08:39.823Z</dcterms:modified>
</cp:coreProperties>
</file>

<file path=docProps/custom.xml><?xml version="1.0" encoding="utf-8"?>
<Properties xmlns="http://schemas.openxmlformats.org/officeDocument/2006/custom-properties" xmlns:vt="http://schemas.openxmlformats.org/officeDocument/2006/docPropsVTypes"/>
</file>