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none" w:color="FFFFFF" w:sz="0"/>
              <w:left w:val="none" w:color="FFFFFF" w:sz="0"/>
              <w:bottom w:val="none" w:color="FFFFFF" w:sz="0"/>
              <w:right w:val="none" w:color="FFFFFF" w:sz="0"/>
            </w:tcBorders>
            <w:shd w:fill="003366" w:val="clear"/>
            <w:tcMar>
              <w:top w:type="dxa" w:w="500"/>
              <w:left w:type="dxa" w:w="400"/>
              <w:bottom w:type="dxa" w:w="500"/>
              <w:right w:type="dxa" w:w="400"/>
            </w:tcMar>
          </w:tcPr>
          <w:p>
            <w:pPr>
              <w:spacing w:after="80" w:before="0"/>
              <w:jc w:val="center"/>
            </w:pPr>
            <w:r>
              <w:rPr>
                <w:rFonts w:ascii="Arial" w:cs="Arial" w:eastAsia="Arial" w:hAnsi="Arial"/>
                <w:b/>
                <w:bCs/>
                <w:color w:val="FFFFFF"/>
                <w:sz w:val="52"/>
                <w:szCs w:val="52"/>
              </w:rPr>
              <w:t xml:space="preserve">SAP ERP IMPLEMENTATION</w:t>
            </w:r>
          </w:p>
          <w:p>
            <w:pPr>
              <w:spacing w:after="60" w:before="0"/>
              <w:jc w:val="center"/>
            </w:pPr>
            <w:r>
              <w:rPr>
                <w:rFonts w:ascii="Arial" w:cs="Arial" w:eastAsia="Arial" w:hAnsi="Arial"/>
                <w:b/>
                <w:bCs/>
                <w:color w:val="85B7EB"/>
                <w:sz w:val="64"/>
                <w:szCs w:val="64"/>
              </w:rPr>
              <w:t xml:space="preserve">BUSINESS BLUEPRINT DOCUMENT</w:t>
            </w:r>
          </w:p>
          <w:p>
            <w:pPr>
              <w:spacing w:after="0" w:before="60"/>
              <w:jc w:val="center"/>
            </w:pPr>
            <w:r>
              <w:rPr>
                <w:rFonts w:ascii="Arial" w:cs="Arial" w:eastAsia="Arial" w:hAnsi="Arial"/>
                <w:color w:val="B5D4F4"/>
                <w:sz w:val="24"/>
                <w:szCs w:val="24"/>
              </w:rPr>
              <w:t xml:space="preserve">Financial Accounting (FI)   |   Materials Management (MM)   |   Sales &amp; Distribution (SD)</w:t>
            </w:r>
          </w:p>
        </w:tc>
      </w:tr>
    </w:tbl>
    <w:p>
      <w:pPr>
        <w:spacing w:after="40" w:before="4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7440"/>
      </w:tblGrid>
      <w:tr>
        <w:trPr>
          <w:tblHeader/>
        </w:trPr>
        <w:tc>
          <w:tcPr>
            <w:tcW w:type="dxa" w:w="30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Field</w:t>
            </w:r>
          </w:p>
        </w:tc>
        <w:tc>
          <w:tcPr>
            <w:tcW w:type="dxa" w:w="744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Details</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Company Name</w:t>
            </w:r>
          </w:p>
        </w:tc>
        <w:tc>
          <w:tcPr>
            <w:tcW w:type="dxa" w:w="74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NexGen Manufacturing Solutions Pvt. Ltd.</w:t>
            </w:r>
          </w:p>
        </w:tc>
      </w:tr>
      <w:tr>
        <w:tc>
          <w:tcPr>
            <w:tcW w:type="dxa" w:w="3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Company Code</w:t>
            </w:r>
          </w:p>
        </w:tc>
        <w:tc>
          <w:tcPr>
            <w:tcW w:type="dxa" w:w="74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NGMS</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Headquarters</w:t>
            </w:r>
          </w:p>
        </w:tc>
        <w:tc>
          <w:tcPr>
            <w:tcW w:type="dxa" w:w="74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Hyderabad, Telangana, India</w:t>
            </w:r>
          </w:p>
        </w:tc>
      </w:tr>
      <w:tr>
        <w:tc>
          <w:tcPr>
            <w:tcW w:type="dxa" w:w="3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Document Type</w:t>
            </w:r>
          </w:p>
        </w:tc>
        <w:tc>
          <w:tcPr>
            <w:tcW w:type="dxa" w:w="74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Business Blueprint — SAP Project Report</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Prepared By</w:t>
            </w:r>
          </w:p>
        </w:tc>
        <w:tc>
          <w:tcPr>
            <w:tcW w:type="dxa" w:w="74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Sudiksha Rao Rongla — KIIT University</w:t>
            </w:r>
          </w:p>
        </w:tc>
      </w:tr>
      <w:tr>
        <w:tc>
          <w:tcPr>
            <w:tcW w:type="dxa" w:w="3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Roll Number</w:t>
            </w:r>
          </w:p>
        </w:tc>
        <w:tc>
          <w:tcPr>
            <w:tcW w:type="dxa" w:w="74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2306154</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Batch/Program</w:t>
            </w:r>
          </w:p>
        </w:tc>
        <w:tc>
          <w:tcPr>
            <w:tcW w:type="dxa" w:w="74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SAP Data Analytics — KIIT University</w:t>
            </w:r>
          </w:p>
        </w:tc>
      </w:tr>
      <w:tr>
        <w:tc>
          <w:tcPr>
            <w:tcW w:type="dxa" w:w="3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Modules</w:t>
            </w:r>
          </w:p>
        </w:tc>
        <w:tc>
          <w:tcPr>
            <w:tcW w:type="dxa" w:w="74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SAP FI  |  SAP MM  |  SAP SD</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ERP Version</w:t>
            </w:r>
          </w:p>
        </w:tc>
        <w:tc>
          <w:tcPr>
            <w:tcW w:type="dxa" w:w="74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SAP S/4HANA 2023</w:t>
            </w:r>
          </w:p>
        </w:tc>
      </w:tr>
      <w:tr>
        <w:tc>
          <w:tcPr>
            <w:tcW w:type="dxa" w:w="3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Fiscal Year</w:t>
            </w:r>
          </w:p>
        </w:tc>
        <w:tc>
          <w:tcPr>
            <w:tcW w:type="dxa" w:w="74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April 2025 — March 2026</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Version</w:t>
            </w:r>
          </w:p>
        </w:tc>
        <w:tc>
          <w:tcPr>
            <w:tcW w:type="dxa" w:w="74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1.0 — Final Submission</w:t>
            </w:r>
          </w:p>
        </w:tc>
      </w:tr>
      <w:tr>
        <w:tc>
          <w:tcPr>
            <w:tcW w:type="dxa" w:w="3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Date</w:t>
            </w:r>
          </w:p>
        </w:tc>
        <w:tc>
          <w:tcPr>
            <w:tcW w:type="dxa" w:w="74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April 2026</w:t>
            </w:r>
          </w:p>
        </w:tc>
      </w:tr>
    </w:tbl>
    <w:p>
      <w:pPr>
        <w:spacing w:after="40" w:before="40"/>
      </w:pPr>
      <w:r>
        <w:t xml:space="preserve"/>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SAP S/4HANA Logon Screen — Client 800, NexGen Manufacturing Solutions</w:t>
      </w:r>
    </w:p>
    <w:p>
      <w:r>
        <w:br w:type="page"/>
      </w:r>
    </w:p>
    <w:p>
      <w:pPr>
        <w:pStyle w:val="Heading1"/>
        <w:pBdr>
          <w:bottom w:val="single" w:color="0070D2" w:sz="8" w:space="1"/>
        </w:pBdr>
        <w:spacing w:after="160" w:before="360"/>
      </w:pPr>
      <w:r>
        <w:rPr>
          <w:rFonts w:ascii="Arial" w:cs="Arial" w:eastAsia="Arial" w:hAnsi="Arial"/>
          <w:b/>
          <w:bCs/>
          <w:color w:val="003366"/>
          <w:sz w:val="36"/>
          <w:szCs w:val="36"/>
        </w:rPr>
        <w:t xml:space="preserve">1. Executive Summary</w:t>
      </w:r>
    </w:p>
    <w:p>
      <w:pPr>
        <w:spacing w:after="80" w:before="60"/>
        <w:jc w:val="left"/>
      </w:pPr>
      <w:r>
        <w:rPr>
          <w:rFonts w:ascii="Arial" w:cs="Arial" w:eastAsia="Arial" w:hAnsi="Arial"/>
          <w:b w:val="false"/>
          <w:bCs w:val="false"/>
          <w:i w:val="false"/>
          <w:iCs w:val="false"/>
          <w:color w:val="444444"/>
          <w:sz w:val="22"/>
          <w:szCs w:val="22"/>
        </w:rPr>
        <w:t xml:space="preserve">NexGen Manufacturing Solutions Pvt. Ltd. is a fictitious mid-sized manufacturing and trading company headquartered in Hyderabad, India. This Business Blueprint documents the complete SAP ERP implementation covering three core functional modules:</w:t>
      </w:r>
    </w:p>
    <w:p>
      <w:pPr>
        <w:spacing w:after="40" w:before="40"/>
      </w:pPr>
      <w:r>
        <w:t xml:space="preserve"/>
      </w:r>
    </w:p>
    <w:p>
      <w:pPr>
        <w:pStyle w:val="ListParagraph"/>
        <w:numPr>
          <w:ilvl w:val="0"/>
          <w:numId w:val="2"/>
        </w:numPr>
        <w:spacing w:after="60" w:before="40"/>
      </w:pPr>
      <w:r>
        <w:rPr>
          <w:rFonts w:ascii="Arial" w:cs="Arial" w:eastAsia="Arial" w:hAnsi="Arial"/>
          <w:b w:val="false"/>
          <w:bCs w:val="false"/>
          <w:i w:val="false"/>
          <w:iCs w:val="false"/>
          <w:color w:val="444444"/>
          <w:sz w:val="22"/>
          <w:szCs w:val="22"/>
        </w:rPr>
        <w:t xml:space="preserve">SAP Financial Accounting (FI) — General Ledger, Accounts Payable, Accounts Receivable, Asset Accounting, and Controlling (CO).</w:t>
      </w:r>
    </w:p>
    <w:p>
      <w:pPr>
        <w:pStyle w:val="ListParagraph"/>
        <w:numPr>
          <w:ilvl w:val="0"/>
          <w:numId w:val="2"/>
        </w:numPr>
        <w:spacing w:after="60" w:before="40"/>
      </w:pPr>
      <w:r>
        <w:rPr>
          <w:rFonts w:ascii="Arial" w:cs="Arial" w:eastAsia="Arial" w:hAnsi="Arial"/>
          <w:b w:val="false"/>
          <w:bCs w:val="false"/>
          <w:i w:val="false"/>
          <w:iCs w:val="false"/>
          <w:color w:val="444444"/>
          <w:sz w:val="22"/>
          <w:szCs w:val="22"/>
        </w:rPr>
        <w:t xml:space="preserve">SAP Materials Management (MM) — Procurement, Inventory Management, Vendor Management, and Logistics Invoice Verification.</w:t>
      </w:r>
    </w:p>
    <w:p>
      <w:pPr>
        <w:pStyle w:val="ListParagraph"/>
        <w:numPr>
          <w:ilvl w:val="0"/>
          <w:numId w:val="2"/>
        </w:numPr>
        <w:spacing w:after="60" w:before="40"/>
      </w:pPr>
      <w:r>
        <w:rPr>
          <w:rFonts w:ascii="Arial" w:cs="Arial" w:eastAsia="Arial" w:hAnsi="Arial"/>
          <w:b w:val="false"/>
          <w:bCs w:val="false"/>
          <w:i w:val="false"/>
          <w:iCs w:val="false"/>
          <w:color w:val="444444"/>
          <w:sz w:val="22"/>
          <w:szCs w:val="22"/>
        </w:rPr>
        <w:t xml:space="preserve">SAP Sales &amp; Distribution (SD) — Sales Order Processing, Pricing, Delivery, Shipping, and Billing.</w:t>
      </w:r>
    </w:p>
    <w:p>
      <w:pPr>
        <w:spacing w:after="40" w:before="40"/>
      </w:pPr>
      <w:r>
        <w:t xml:space="preserve"/>
      </w:r>
    </w:p>
    <w:p>
      <w:pPr>
        <w:spacing w:after="80" w:before="60"/>
        <w:jc w:val="left"/>
      </w:pPr>
      <w:r>
        <w:rPr>
          <w:rFonts w:ascii="Arial" w:cs="Arial" w:eastAsia="Arial" w:hAnsi="Arial"/>
          <w:b w:val="false"/>
          <w:bCs w:val="false"/>
          <w:i w:val="false"/>
          <w:iCs w:val="false"/>
          <w:color w:val="444444"/>
          <w:sz w:val="22"/>
          <w:szCs w:val="22"/>
        </w:rPr>
        <w:t xml:space="preserve">The document covers organizational structure, master data design, IMG customization steps with T-codes, and end-to-end business process scenarios with actual system screenshots.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single" w:color="E8A000" w:sz="1"/>
              <w:left w:val="single" w:color="E8A000" w:sz="6"/>
              <w:bottom w:val="single" w:color="E8A000" w:sz="1"/>
              <w:right w:val="single" w:color="E8A000" w:sz="1"/>
            </w:tcBorders>
            <w:shd w:fill="FFFBF0" w:val="clear"/>
            <w:tcMar>
              <w:top w:type="dxa" w:w="100"/>
              <w:left w:type="dxa" w:w="160"/>
              <w:bottom w:type="dxa" w:w="100"/>
              <w:right w:type="dxa" w:w="160"/>
            </w:tcMar>
          </w:tcPr>
          <w:p>
            <w:pPr>
              <w:spacing w:after="40" w:before="0"/>
            </w:pPr>
            <w:r>
              <w:rPr>
                <w:rFonts w:ascii="Arial" w:cs="Arial" w:eastAsia="Arial" w:hAnsi="Arial"/>
                <w:b/>
                <w:bCs/>
                <w:color w:val="854F0B"/>
                <w:sz w:val="20"/>
                <w:szCs w:val="20"/>
              </w:rPr>
              <w:t xml:space="preserve">Student Observations / Notes:</w:t>
            </w:r>
          </w:p>
          <w:p>
            <w:pPr>
              <w:spacing w:after="0" w:before="40"/>
            </w:pPr>
            <w:r>
              <w:rPr>
                <w:rFonts w:ascii="Arial" w:cs="Arial" w:eastAsia="Arial" w:hAnsi="Arial"/>
                <w:color w:val="DDDDDD"/>
                <w:sz w:val="20"/>
                <w:szCs w:val="20"/>
              </w:rPr>
              <w:t xml:space="preserve">_______________________________________________________________________________________________</w:t>
            </w:r>
          </w:p>
          <w:p>
            <w:pPr>
              <w:spacing w:after="0" w:before="80"/>
            </w:pPr>
            <w:r>
              <w:rPr>
                <w:rFonts w:ascii="Arial" w:cs="Arial" w:eastAsia="Arial" w:hAnsi="Arial"/>
                <w:color w:val="DDDDDD"/>
                <w:sz w:val="20"/>
                <w:szCs w:val="20"/>
              </w:rPr>
              <w:t xml:space="preserve">_______________________________________________________________________________________________</w:t>
            </w:r>
          </w:p>
          <w:p>
            <w:pPr>
              <w:spacing w:after="0" w:before="80"/>
            </w:pPr>
            <w:r>
              <w:rPr>
                <w:rFonts w:ascii="Arial" w:cs="Arial" w:eastAsia="Arial" w:hAnsi="Arial"/>
                <w:color w:val="DDDDDD"/>
                <w:sz w:val="20"/>
                <w:szCs w:val="20"/>
              </w:rPr>
              <w:t xml:space="preserve">_______________________________________________________________________________________________</w:t>
            </w:r>
          </w:p>
        </w:tc>
      </w:tr>
    </w:tbl>
    <w:p>
      <w:r>
        <w:br w:type="page"/>
      </w:r>
    </w:p>
    <w:p>
      <w:pPr>
        <w:pStyle w:val="Heading1"/>
        <w:pBdr>
          <w:bottom w:val="single" w:color="0070D2" w:sz="8" w:space="1"/>
        </w:pBdr>
        <w:spacing w:after="160" w:before="360"/>
      </w:pPr>
      <w:r>
        <w:rPr>
          <w:rFonts w:ascii="Arial" w:cs="Arial" w:eastAsia="Arial" w:hAnsi="Arial"/>
          <w:b/>
          <w:bCs/>
          <w:color w:val="003366"/>
          <w:sz w:val="36"/>
          <w:szCs w:val="36"/>
        </w:rPr>
        <w:t xml:space="preserve">2. Company Overview — NexGen Manufacturing Solutions Pvt. Ltd.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610"/>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OX02</w:t>
            </w:r>
          </w:p>
        </w:tc>
        <w:tc>
          <w:tcPr>
            <w:tcW w:type="dxa" w:w="2610"/>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OX03</w:t>
            </w:r>
          </w:p>
        </w:tc>
        <w:tc>
          <w:tcPr>
            <w:tcW w:type="dxa" w:w="2610"/>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OX10</w:t>
            </w:r>
          </w:p>
        </w:tc>
        <w:tc>
          <w:tcPr>
            <w:tcW w:type="dxa" w:w="2610"/>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OX08</w:t>
            </w:r>
          </w:p>
        </w:tc>
      </w:tr>
    </w:tbl>
    <w:p>
      <w:pPr>
        <w:spacing w:after="40" w:before="40"/>
      </w:pPr>
      <w:r>
        <w:t xml:space="preserve"/>
      </w:r>
    </w:p>
    <w:p>
      <w:pPr>
        <w:pStyle w:val="Heading2"/>
        <w:spacing w:after="100" w:before="240"/>
      </w:pPr>
      <w:r>
        <w:rPr>
          <w:rFonts w:ascii="Arial" w:cs="Arial" w:eastAsia="Arial" w:hAnsi="Arial"/>
          <w:b/>
          <w:bCs/>
          <w:color w:val="185FA5"/>
          <w:sz w:val="26"/>
          <w:szCs w:val="26"/>
        </w:rPr>
        <w:t xml:space="preserve">2.1 Company Profile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200"/>
        <w:gridCol w:w="7240"/>
      </w:tblGrid>
      <w:tr>
        <w:trPr>
          <w:tblHeader/>
        </w:trPr>
        <w:tc>
          <w:tcPr>
            <w:tcW w:type="dxa" w:w="32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Attribute</w:t>
            </w:r>
          </w:p>
        </w:tc>
        <w:tc>
          <w:tcPr>
            <w:tcW w:type="dxa" w:w="724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Details</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Company Name</w:t>
            </w:r>
          </w:p>
        </w:tc>
        <w:tc>
          <w:tcPr>
            <w:tcW w:type="dxa" w:w="7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NexGen Manufacturing Solutions Pvt. Ltd.</w:t>
            </w:r>
          </w:p>
        </w:tc>
      </w:tr>
      <w:tr>
        <w:tc>
          <w:tcPr>
            <w:tcW w:type="dxa" w:w="32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Company Code</w:t>
            </w:r>
          </w:p>
        </w:tc>
        <w:tc>
          <w:tcPr>
            <w:tcW w:type="dxa" w:w="72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NGMS</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Industry</w:t>
            </w:r>
          </w:p>
        </w:tc>
        <w:tc>
          <w:tcPr>
            <w:tcW w:type="dxa" w:w="7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Manufacturing &amp; Trading</w:t>
            </w:r>
          </w:p>
        </w:tc>
      </w:tr>
      <w:tr>
        <w:tc>
          <w:tcPr>
            <w:tcW w:type="dxa" w:w="32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Fiscal Year</w:t>
            </w:r>
          </w:p>
        </w:tc>
        <w:tc>
          <w:tcPr>
            <w:tcW w:type="dxa" w:w="72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April 1 – March 31 (Indian Fiscal Year)</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Currency</w:t>
            </w:r>
          </w:p>
        </w:tc>
        <w:tc>
          <w:tcPr>
            <w:tcW w:type="dxa" w:w="7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INR — Indian Rupee</w:t>
            </w:r>
          </w:p>
        </w:tc>
      </w:tr>
      <w:tr>
        <w:tc>
          <w:tcPr>
            <w:tcW w:type="dxa" w:w="32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Chart of Accounts</w:t>
            </w:r>
          </w:p>
        </w:tc>
        <w:tc>
          <w:tcPr>
            <w:tcW w:type="dxa" w:w="72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NGCA (NexGen Chart of Accounts)</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ERP System</w:t>
            </w:r>
          </w:p>
        </w:tc>
        <w:tc>
          <w:tcPr>
            <w:tcW w:type="dxa" w:w="7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SAP S/4HANA 2023</w:t>
            </w:r>
          </w:p>
        </w:tc>
      </w:tr>
      <w:tr>
        <w:tc>
          <w:tcPr>
            <w:tcW w:type="dxa" w:w="32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GSTIN</w:t>
            </w:r>
          </w:p>
        </w:tc>
        <w:tc>
          <w:tcPr>
            <w:tcW w:type="dxa" w:w="72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36AABCN1234M1ZX</w:t>
            </w:r>
          </w:p>
        </w:tc>
      </w:tr>
    </w:tbl>
    <w:p>
      <w:pPr>
        <w:spacing w:after="40" w:before="40"/>
      </w:pPr>
      <w:r>
        <w:t xml:space="preserve"/>
      </w:r>
    </w:p>
    <w:p>
      <w:pPr>
        <w:pStyle w:val="Heading2"/>
        <w:spacing w:after="100" w:before="240"/>
      </w:pPr>
      <w:r>
        <w:rPr>
          <w:rFonts w:ascii="Arial" w:cs="Arial" w:eastAsia="Arial" w:hAnsi="Arial"/>
          <w:b/>
          <w:bCs/>
          <w:color w:val="185FA5"/>
          <w:sz w:val="26"/>
          <w:szCs w:val="26"/>
        </w:rPr>
        <w:t xml:space="preserve">2.2 Organizational Units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6440"/>
      </w:tblGrid>
      <w:tr>
        <w:trPr>
          <w:tblHeader/>
        </w:trPr>
        <w:tc>
          <w:tcPr>
            <w:tcW w:type="dxa" w:w="20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SAP Object</w:t>
            </w:r>
          </w:p>
        </w:tc>
        <w:tc>
          <w:tcPr>
            <w:tcW w:type="dxa" w:w="20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ID</w:t>
            </w:r>
          </w:p>
        </w:tc>
        <w:tc>
          <w:tcPr>
            <w:tcW w:type="dxa" w:w="644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Company Code</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NGMS</w:t>
            </w:r>
          </w:p>
        </w:tc>
        <w:tc>
          <w:tcPr>
            <w:tcW w:type="dxa" w:w="64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Primary legal entity — all financials</w:t>
            </w:r>
          </w:p>
        </w:tc>
      </w:tr>
      <w:tr>
        <w:tc>
          <w:tcPr>
            <w:tcW w:type="dxa" w:w="2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Business Area</w:t>
            </w:r>
          </w:p>
        </w:tc>
        <w:tc>
          <w:tcPr>
            <w:tcW w:type="dxa" w:w="2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BA01</w:t>
            </w:r>
          </w:p>
        </w:tc>
        <w:tc>
          <w:tcPr>
            <w:tcW w:type="dxa" w:w="64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Manufacturing Division</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Business Area</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BA02</w:t>
            </w:r>
          </w:p>
        </w:tc>
        <w:tc>
          <w:tcPr>
            <w:tcW w:type="dxa" w:w="64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Trading Division</w:t>
            </w:r>
          </w:p>
        </w:tc>
      </w:tr>
      <w:tr>
        <w:tc>
          <w:tcPr>
            <w:tcW w:type="dxa" w:w="2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Business Area</w:t>
            </w:r>
          </w:p>
        </w:tc>
        <w:tc>
          <w:tcPr>
            <w:tcW w:type="dxa" w:w="2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BA03</w:t>
            </w:r>
          </w:p>
        </w:tc>
        <w:tc>
          <w:tcPr>
            <w:tcW w:type="dxa" w:w="64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Services Division</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Plant</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HYD1</w:t>
            </w:r>
          </w:p>
        </w:tc>
        <w:tc>
          <w:tcPr>
            <w:tcW w:type="dxa" w:w="64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Hyderabad Main Plant</w:t>
            </w:r>
          </w:p>
        </w:tc>
      </w:tr>
      <w:tr>
        <w:tc>
          <w:tcPr>
            <w:tcW w:type="dxa" w:w="2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Plant</w:t>
            </w:r>
          </w:p>
        </w:tc>
        <w:tc>
          <w:tcPr>
            <w:tcW w:type="dxa" w:w="2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PUN1</w:t>
            </w:r>
          </w:p>
        </w:tc>
        <w:tc>
          <w:tcPr>
            <w:tcW w:type="dxa" w:w="64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Pune Manufacturing Plant</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Plant</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CHE1</w:t>
            </w:r>
          </w:p>
        </w:tc>
        <w:tc>
          <w:tcPr>
            <w:tcW w:type="dxa" w:w="64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Chennai Depot / Warehouse</w:t>
            </w:r>
          </w:p>
        </w:tc>
      </w:tr>
      <w:tr>
        <w:tc>
          <w:tcPr>
            <w:tcW w:type="dxa" w:w="2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Purchasing Org</w:t>
            </w:r>
          </w:p>
        </w:tc>
        <w:tc>
          <w:tcPr>
            <w:tcW w:type="dxa" w:w="2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PO01</w:t>
            </w:r>
          </w:p>
        </w:tc>
        <w:tc>
          <w:tcPr>
            <w:tcW w:type="dxa" w:w="64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NexGen Central Purchasing</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Sales Org</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SO01</w:t>
            </w:r>
          </w:p>
        </w:tc>
        <w:tc>
          <w:tcPr>
            <w:tcW w:type="dxa" w:w="64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India Sales Organization</w:t>
            </w:r>
          </w:p>
        </w:tc>
      </w:tr>
    </w:tbl>
    <w:p>
      <w:pPr>
        <w:spacing w:after="40" w:before="40"/>
      </w:pPr>
      <w:r>
        <w:t xml:space="preserve"/>
      </w:r>
    </w:p>
    <w:p>
      <w:pPr>
        <w:pStyle w:val="Heading2"/>
        <w:spacing w:after="100" w:before="240"/>
      </w:pPr>
      <w:r>
        <w:rPr>
          <w:rFonts w:ascii="Arial" w:cs="Arial" w:eastAsia="Arial" w:hAnsi="Arial"/>
          <w:b/>
          <w:bCs/>
          <w:color w:val="185FA5"/>
          <w:sz w:val="26"/>
          <w:szCs w:val="26"/>
        </w:rPr>
        <w:t xml:space="preserve">2.3 Company Code Configuration — T-code OX02</w:t>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OX02 — Company Code NGMS creation: Country IN, Currency INR, Language EN</w:t>
      </w:r>
    </w:p>
    <w:p>
      <w:pPr>
        <w:spacing w:after="40" w:before="40"/>
      </w:pPr>
      <w:r>
        <w:t xml:space="preserve"/>
      </w:r>
    </w:p>
    <w:p>
      <w:pPr>
        <w:pStyle w:val="Heading2"/>
        <w:spacing w:after="100" w:before="240"/>
      </w:pPr>
      <w:r>
        <w:rPr>
          <w:rFonts w:ascii="Arial" w:cs="Arial" w:eastAsia="Arial" w:hAnsi="Arial"/>
          <w:b/>
          <w:bCs/>
          <w:color w:val="185FA5"/>
          <w:sz w:val="26"/>
          <w:szCs w:val="26"/>
        </w:rPr>
        <w:t xml:space="preserve">2.4 Plant Definition — T-code OX10</w:t>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OX10 — Plants HYD1, PUN1, CHE1 defined and assigned to Company Code NGMS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single" w:color="E8A000" w:sz="1"/>
              <w:left w:val="single" w:color="E8A000" w:sz="6"/>
              <w:bottom w:val="single" w:color="E8A000" w:sz="1"/>
              <w:right w:val="single" w:color="E8A000" w:sz="1"/>
            </w:tcBorders>
            <w:shd w:fill="FFFBF0" w:val="clear"/>
            <w:tcMar>
              <w:top w:type="dxa" w:w="100"/>
              <w:left w:type="dxa" w:w="160"/>
              <w:bottom w:type="dxa" w:w="100"/>
              <w:right w:type="dxa" w:w="160"/>
            </w:tcMar>
          </w:tcPr>
          <w:p>
            <w:pPr>
              <w:spacing w:after="40" w:before="0"/>
            </w:pPr>
            <w:r>
              <w:rPr>
                <w:rFonts w:ascii="Arial" w:cs="Arial" w:eastAsia="Arial" w:hAnsi="Arial"/>
                <w:b/>
                <w:bCs/>
                <w:color w:val="854F0B"/>
                <w:sz w:val="20"/>
                <w:szCs w:val="20"/>
              </w:rPr>
              <w:t xml:space="preserve">Student Observations / Notes:</w:t>
            </w:r>
          </w:p>
          <w:p>
            <w:pPr>
              <w:spacing w:after="0" w:before="40"/>
            </w:pPr>
            <w:r>
              <w:rPr>
                <w:rFonts w:ascii="Arial" w:cs="Arial" w:eastAsia="Arial" w:hAnsi="Arial"/>
                <w:color w:val="DDDDDD"/>
                <w:sz w:val="20"/>
                <w:szCs w:val="20"/>
              </w:rPr>
              <w:t xml:space="preserve">_______________________________________________________________________________________________</w:t>
            </w:r>
          </w:p>
          <w:p>
            <w:pPr>
              <w:spacing w:after="0" w:before="80"/>
            </w:pPr>
            <w:r>
              <w:rPr>
                <w:rFonts w:ascii="Arial" w:cs="Arial" w:eastAsia="Arial" w:hAnsi="Arial"/>
                <w:color w:val="DDDDDD"/>
                <w:sz w:val="20"/>
                <w:szCs w:val="20"/>
              </w:rPr>
              <w:t xml:space="preserve">_______________________________________________________________________________________________</w:t>
            </w:r>
          </w:p>
          <w:p>
            <w:pPr>
              <w:spacing w:after="0" w:before="80"/>
            </w:pPr>
            <w:r>
              <w:rPr>
                <w:rFonts w:ascii="Arial" w:cs="Arial" w:eastAsia="Arial" w:hAnsi="Arial"/>
                <w:color w:val="DDDDDD"/>
                <w:sz w:val="20"/>
                <w:szCs w:val="20"/>
              </w:rPr>
              <w:t xml:space="preserve">_______________________________________________________________________________________________</w:t>
            </w:r>
          </w:p>
        </w:tc>
      </w:tr>
    </w:tbl>
    <w:p>
      <w:r>
        <w:br w:type="page"/>
      </w:r>
    </w:p>
    <w:p>
      <w:pPr>
        <w:pStyle w:val="Heading1"/>
        <w:pBdr>
          <w:bottom w:val="single" w:color="0070D2" w:sz="8" w:space="1"/>
        </w:pBdr>
        <w:spacing w:after="160" w:before="360"/>
      </w:pPr>
      <w:r>
        <w:rPr>
          <w:rFonts w:ascii="Arial" w:cs="Arial" w:eastAsia="Arial" w:hAnsi="Arial"/>
          <w:b/>
          <w:bCs/>
          <w:color w:val="003366"/>
          <w:sz w:val="36"/>
          <w:szCs w:val="36"/>
        </w:rPr>
        <w:t xml:space="preserve">3. SAP FI — Financial Accounting Configuration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305"/>
        <w:gridCol w:w="1305"/>
        <w:gridCol w:w="1305"/>
        <w:gridCol w:w="1305"/>
        <w:gridCol w:w="1305"/>
        <w:gridCol w:w="1305"/>
        <w:gridCol w:w="1305"/>
        <w:gridCol w:w="1305"/>
      </w:tblGrid>
      <w:tr>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OB13</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OB62</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OBD4</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OB29</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OBBP</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FS00</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OBB8</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FBZP</w:t>
            </w:r>
          </w:p>
        </w:tc>
      </w:tr>
    </w:tbl>
    <w:p>
      <w:pPr>
        <w:spacing w:after="40" w:before="40"/>
      </w:pPr>
      <w:r>
        <w:t xml:space="preserve"/>
      </w:r>
    </w:p>
    <w:p>
      <w:pPr>
        <w:pStyle w:val="Heading2"/>
        <w:spacing w:after="100" w:before="240"/>
      </w:pPr>
      <w:r>
        <w:rPr>
          <w:rFonts w:ascii="Arial" w:cs="Arial" w:eastAsia="Arial" w:hAnsi="Arial"/>
          <w:b/>
          <w:bCs/>
          <w:color w:val="185FA5"/>
          <w:sz w:val="26"/>
          <w:szCs w:val="26"/>
        </w:rPr>
        <w:t xml:space="preserve">3.1 Chart of Accounts &amp; G/L Structure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5740"/>
      </w:tblGrid>
      <w:tr>
        <w:trPr>
          <w:tblHeader/>
        </w:trPr>
        <w:tc>
          <w:tcPr>
            <w:tcW w:type="dxa" w:w="21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Account Range</w:t>
            </w:r>
          </w:p>
        </w:tc>
        <w:tc>
          <w:tcPr>
            <w:tcW w:type="dxa" w:w="26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Account Class</w:t>
            </w:r>
          </w:p>
        </w:tc>
        <w:tc>
          <w:tcPr>
            <w:tcW w:type="dxa" w:w="574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Examples</w:t>
            </w:r>
          </w:p>
        </w:tc>
      </w:tr>
      <w:t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100000–199999</w:t>
            </w:r>
          </w:p>
        </w:tc>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Assets</w:t>
            </w:r>
          </w:p>
        </w:tc>
        <w:tc>
          <w:tcPr>
            <w:tcW w:type="dxa" w:w="57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Cash, Bank, Receivables, Fixed Assets</w:t>
            </w:r>
          </w:p>
        </w:tc>
      </w:tr>
      <w:tr>
        <w:tc>
          <w:tcPr>
            <w:tcW w:type="dxa" w:w="21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200000–299999</w:t>
            </w:r>
          </w:p>
        </w:tc>
        <w:tc>
          <w:tcPr>
            <w:tcW w:type="dxa" w:w="26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Liabilities</w:t>
            </w:r>
          </w:p>
        </w:tc>
        <w:tc>
          <w:tcPr>
            <w:tcW w:type="dxa" w:w="57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Payables, Loans, Provisions</w:t>
            </w:r>
          </w:p>
        </w:tc>
      </w:tr>
      <w:t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300000–399999</w:t>
            </w:r>
          </w:p>
        </w:tc>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Equity</w:t>
            </w:r>
          </w:p>
        </w:tc>
        <w:tc>
          <w:tcPr>
            <w:tcW w:type="dxa" w:w="57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Share Capital, Retained Earnings</w:t>
            </w:r>
          </w:p>
        </w:tc>
      </w:tr>
      <w:tr>
        <w:tc>
          <w:tcPr>
            <w:tcW w:type="dxa" w:w="21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400000–499999</w:t>
            </w:r>
          </w:p>
        </w:tc>
        <w:tc>
          <w:tcPr>
            <w:tcW w:type="dxa" w:w="26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Revenue</w:t>
            </w:r>
          </w:p>
        </w:tc>
        <w:tc>
          <w:tcPr>
            <w:tcW w:type="dxa" w:w="57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Sales Revenue, Service Income</w:t>
            </w:r>
          </w:p>
        </w:tc>
      </w:tr>
      <w:t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500000–599999</w:t>
            </w:r>
          </w:p>
        </w:tc>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COGS</w:t>
            </w:r>
          </w:p>
        </w:tc>
        <w:tc>
          <w:tcPr>
            <w:tcW w:type="dxa" w:w="57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Material Consumption</w:t>
            </w:r>
          </w:p>
        </w:tc>
      </w:tr>
      <w:tr>
        <w:tc>
          <w:tcPr>
            <w:tcW w:type="dxa" w:w="21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600000–699999</w:t>
            </w:r>
          </w:p>
        </w:tc>
        <w:tc>
          <w:tcPr>
            <w:tcW w:type="dxa" w:w="26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Operating Expenses</w:t>
            </w:r>
          </w:p>
        </w:tc>
        <w:tc>
          <w:tcPr>
            <w:tcW w:type="dxa" w:w="57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Salaries, Rent, Utilities</w:t>
            </w:r>
          </w:p>
        </w:tc>
      </w:tr>
      <w:tr>
        <w:tc>
          <w:tcPr>
            <w:tcW w:type="dxa" w:w="2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700000–799999</w:t>
            </w:r>
          </w:p>
        </w:tc>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Other Income/Expense</w:t>
            </w:r>
          </w:p>
        </w:tc>
        <w:tc>
          <w:tcPr>
            <w:tcW w:type="dxa" w:w="57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Interest, Depreciation</w:t>
            </w:r>
          </w:p>
        </w:tc>
      </w:tr>
    </w:tbl>
    <w:p>
      <w:pPr>
        <w:spacing w:after="40" w:before="40"/>
      </w:pPr>
      <w:r>
        <w:t xml:space="preserve"/>
      </w:r>
    </w:p>
    <w:p>
      <w:pPr>
        <w:pStyle w:val="Heading2"/>
        <w:spacing w:after="100" w:before="240"/>
      </w:pPr>
      <w:r>
        <w:rPr>
          <w:rFonts w:ascii="Arial" w:cs="Arial" w:eastAsia="Arial" w:hAnsi="Arial"/>
          <w:b/>
          <w:bCs/>
          <w:color w:val="185FA5"/>
          <w:sz w:val="26"/>
          <w:szCs w:val="26"/>
        </w:rPr>
        <w:t xml:space="preserve">3.2 Configuration Steps</w:t>
      </w:r>
    </w:p>
    <w:p>
      <w:pPr>
        <w:pStyle w:val="ListParagraph"/>
        <w:numPr>
          <w:ilvl w:val="0"/>
          <w:numId w:val="3"/>
        </w:numPr>
        <w:spacing w:after="60" w:before="40"/>
      </w:pPr>
      <w:r>
        <w:rPr>
          <w:rFonts w:ascii="Arial" w:cs="Arial" w:eastAsia="Arial" w:hAnsi="Arial"/>
          <w:b w:val="false"/>
          <w:bCs w:val="false"/>
          <w:i w:val="false"/>
          <w:iCs w:val="false"/>
          <w:color w:val="444444"/>
          <w:sz w:val="22"/>
          <w:szCs w:val="22"/>
        </w:rPr>
        <w:t xml:space="preserve">OB13 — Create Chart of Accounts NGCA (Type: Operating CoA)</w:t>
      </w:r>
    </w:p>
    <w:p>
      <w:pPr>
        <w:pStyle w:val="ListParagraph"/>
        <w:numPr>
          <w:ilvl w:val="0"/>
          <w:numId w:val="3"/>
        </w:numPr>
        <w:spacing w:after="60" w:before="40"/>
      </w:pPr>
      <w:r>
        <w:rPr>
          <w:rFonts w:ascii="Arial" w:cs="Arial" w:eastAsia="Arial" w:hAnsi="Arial"/>
          <w:b w:val="false"/>
          <w:bCs w:val="false"/>
          <w:i w:val="false"/>
          <w:iCs w:val="false"/>
          <w:color w:val="444444"/>
          <w:sz w:val="22"/>
          <w:szCs w:val="22"/>
        </w:rPr>
        <w:t xml:space="preserve">OB62 — Assign CoA NGCA to Company Code NGMS</w:t>
      </w:r>
    </w:p>
    <w:p>
      <w:pPr>
        <w:pStyle w:val="ListParagraph"/>
        <w:numPr>
          <w:ilvl w:val="0"/>
          <w:numId w:val="3"/>
        </w:numPr>
        <w:spacing w:after="60" w:before="40"/>
      </w:pPr>
      <w:r>
        <w:rPr>
          <w:rFonts w:ascii="Arial" w:cs="Arial" w:eastAsia="Arial" w:hAnsi="Arial"/>
          <w:b w:val="false"/>
          <w:bCs w:val="false"/>
          <w:i w:val="false"/>
          <w:iCs w:val="false"/>
          <w:color w:val="444444"/>
          <w:sz w:val="22"/>
          <w:szCs w:val="22"/>
        </w:rPr>
        <w:t xml:space="preserve">OBD4 — Define Account Groups: CASH, BANK, RECON, REVENUE, COGS, OPEX</w:t>
      </w:r>
    </w:p>
    <w:p>
      <w:pPr>
        <w:pStyle w:val="ListParagraph"/>
        <w:numPr>
          <w:ilvl w:val="0"/>
          <w:numId w:val="3"/>
        </w:numPr>
        <w:spacing w:after="60" w:before="40"/>
      </w:pPr>
      <w:r>
        <w:rPr>
          <w:rFonts w:ascii="Arial" w:cs="Arial" w:eastAsia="Arial" w:hAnsi="Arial"/>
          <w:b w:val="false"/>
          <w:bCs w:val="false"/>
          <w:i w:val="false"/>
          <w:iCs w:val="false"/>
          <w:color w:val="444444"/>
          <w:sz w:val="22"/>
          <w:szCs w:val="22"/>
        </w:rPr>
        <w:t xml:space="preserve">OB29 — Create Fiscal Year Variant FV01 (April–March, 4 special periods)</w:t>
      </w:r>
    </w:p>
    <w:p>
      <w:pPr>
        <w:pStyle w:val="ListParagraph"/>
        <w:numPr>
          <w:ilvl w:val="0"/>
          <w:numId w:val="3"/>
        </w:numPr>
        <w:spacing w:after="60" w:before="40"/>
      </w:pPr>
      <w:r>
        <w:rPr>
          <w:rFonts w:ascii="Arial" w:cs="Arial" w:eastAsia="Arial" w:hAnsi="Arial"/>
          <w:b w:val="false"/>
          <w:bCs w:val="false"/>
          <w:i w:val="false"/>
          <w:iCs w:val="false"/>
          <w:color w:val="444444"/>
          <w:sz w:val="22"/>
          <w:szCs w:val="22"/>
        </w:rPr>
        <w:t xml:space="preserve">OB37 — Assign Fiscal Year Variant FV01 to Company Code NGMS</w:t>
      </w:r>
    </w:p>
    <w:p>
      <w:pPr>
        <w:pStyle w:val="ListParagraph"/>
        <w:numPr>
          <w:ilvl w:val="0"/>
          <w:numId w:val="3"/>
        </w:numPr>
        <w:spacing w:after="60" w:before="40"/>
      </w:pPr>
      <w:r>
        <w:rPr>
          <w:rFonts w:ascii="Arial" w:cs="Arial" w:eastAsia="Arial" w:hAnsi="Arial"/>
          <w:b w:val="false"/>
          <w:bCs w:val="false"/>
          <w:i w:val="false"/>
          <w:iCs w:val="false"/>
          <w:color w:val="444444"/>
          <w:sz w:val="22"/>
          <w:szCs w:val="22"/>
        </w:rPr>
        <w:t xml:space="preserve">OBBP — Assign Posting Period Variant PPV1 to Company Code NGMS</w:t>
      </w:r>
    </w:p>
    <w:p>
      <w:pPr>
        <w:pStyle w:val="ListParagraph"/>
        <w:numPr>
          <w:ilvl w:val="0"/>
          <w:numId w:val="3"/>
        </w:numPr>
        <w:spacing w:after="60" w:before="40"/>
      </w:pPr>
      <w:r>
        <w:rPr>
          <w:rFonts w:ascii="Arial" w:cs="Arial" w:eastAsia="Arial" w:hAnsi="Arial"/>
          <w:b w:val="false"/>
          <w:bCs w:val="false"/>
          <w:i w:val="false"/>
          <w:iCs w:val="false"/>
          <w:color w:val="444444"/>
          <w:sz w:val="22"/>
          <w:szCs w:val="22"/>
        </w:rPr>
        <w:t xml:space="preserve">FBN1 — Configure Document Number Ranges for SA, KR, DR, RE, AB document types</w:t>
      </w:r>
    </w:p>
    <w:p>
      <w:pPr>
        <w:pStyle w:val="ListParagraph"/>
        <w:numPr>
          <w:ilvl w:val="0"/>
          <w:numId w:val="3"/>
        </w:numPr>
        <w:spacing w:after="60" w:before="40"/>
      </w:pPr>
      <w:r>
        <w:rPr>
          <w:rFonts w:ascii="Arial" w:cs="Arial" w:eastAsia="Arial" w:hAnsi="Arial"/>
          <w:b w:val="false"/>
          <w:bCs w:val="false"/>
          <w:i w:val="false"/>
          <w:iCs w:val="false"/>
          <w:color w:val="444444"/>
          <w:sz w:val="22"/>
          <w:szCs w:val="22"/>
        </w:rPr>
        <w:t xml:space="preserve">OB53 — Define Retained Earnings Account: G/L 300100</w:t>
      </w:r>
    </w:p>
    <w:p>
      <w:pPr>
        <w:spacing w:after="40" w:before="40"/>
      </w:pPr>
      <w:r>
        <w:t xml:space="preserve"/>
      </w:r>
    </w:p>
    <w:p>
      <w:pPr>
        <w:pStyle w:val="Heading2"/>
        <w:spacing w:after="100" w:before="240"/>
      </w:pPr>
      <w:r>
        <w:rPr>
          <w:rFonts w:ascii="Arial" w:cs="Arial" w:eastAsia="Arial" w:hAnsi="Arial"/>
          <w:b/>
          <w:bCs/>
          <w:color w:val="185FA5"/>
          <w:sz w:val="26"/>
          <w:szCs w:val="26"/>
        </w:rPr>
        <w:t xml:space="preserve">3.3 G/L Account Master — T-code FS00</w:t>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FS00 — G/L Account 400000 (Domestic Sales Revenue) — Account Group REVENUE, Tax Category V</w:t>
      </w:r>
    </w:p>
    <w:p>
      <w:pPr>
        <w:spacing w:after="40" w:before="40"/>
      </w:pPr>
      <w:r>
        <w:t xml:space="preserve"/>
      </w:r>
    </w:p>
    <w:p>
      <w:pPr>
        <w:pStyle w:val="Heading2"/>
        <w:spacing w:after="100" w:before="240"/>
      </w:pPr>
      <w:r>
        <w:rPr>
          <w:rFonts w:ascii="Arial" w:cs="Arial" w:eastAsia="Arial" w:hAnsi="Arial"/>
          <w:b/>
          <w:bCs/>
          <w:color w:val="185FA5"/>
          <w:sz w:val="26"/>
          <w:szCs w:val="26"/>
        </w:rPr>
        <w:t xml:space="preserve">3.4 Automatic Payment Program — T-code FBZP</w:t>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FBZP — Automatic Payment Program configuration: House Banks SBI_HYD, HDFC_HYD assigned</w:t>
      </w:r>
    </w:p>
    <w:p>
      <w:pPr>
        <w:spacing w:after="40" w:before="40"/>
      </w:pPr>
      <w:r>
        <w:t xml:space="preserve"/>
      </w:r>
    </w:p>
    <w:p>
      <w:pPr>
        <w:pStyle w:val="Heading2"/>
        <w:spacing w:after="100" w:before="240"/>
      </w:pPr>
      <w:r>
        <w:rPr>
          <w:rFonts w:ascii="Arial" w:cs="Arial" w:eastAsia="Arial" w:hAnsi="Arial"/>
          <w:b/>
          <w:bCs/>
          <w:color w:val="185FA5"/>
          <w:sz w:val="26"/>
          <w:szCs w:val="26"/>
        </w:rPr>
        <w:t xml:space="preserve">3.5 Accounts Payable &amp; Receivable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640"/>
      </w:tblGrid>
      <w:tr>
        <w:trPr>
          <w:tblHeader/>
        </w:trPr>
        <w:tc>
          <w:tcPr>
            <w:tcW w:type="dxa" w:w="22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Activity</w:t>
            </w:r>
          </w:p>
        </w:tc>
        <w:tc>
          <w:tcPr>
            <w:tcW w:type="dxa" w:w="16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T-Code</w:t>
            </w:r>
          </w:p>
        </w:tc>
        <w:tc>
          <w:tcPr>
            <w:tcW w:type="dxa" w:w="664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Define Vendor Account Groups</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OBD3</w:t>
            </w:r>
          </w:p>
        </w:tc>
        <w:tc>
          <w:tcPr>
            <w:tcW w:type="dxa" w:w="66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Domestic, Foreign, One-Time vendors</w:t>
            </w:r>
          </w:p>
        </w:tc>
      </w:tr>
      <w:tr>
        <w:tc>
          <w:tcPr>
            <w:tcW w:type="dxa" w:w="22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Define Customer Account Groups</w:t>
            </w:r>
          </w:p>
        </w:tc>
        <w:tc>
          <w:tcPr>
            <w:tcW w:type="dxa" w:w="16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OBD2</w:t>
            </w:r>
          </w:p>
        </w:tc>
        <w:tc>
          <w:tcPr>
            <w:tcW w:type="dxa" w:w="66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Domestic, Foreign customers</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Define Payment Terms</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OBB8</w:t>
            </w:r>
          </w:p>
        </w:tc>
        <w:tc>
          <w:tcPr>
            <w:tcW w:type="dxa" w:w="66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ZN30 — Net 30, ZN45 — Net 45</w:t>
            </w:r>
          </w:p>
        </w:tc>
      </w:tr>
      <w:tr>
        <w:tc>
          <w:tcPr>
            <w:tcW w:type="dxa" w:w="22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Configure Payment Program</w:t>
            </w:r>
          </w:p>
        </w:tc>
        <w:tc>
          <w:tcPr>
            <w:tcW w:type="dxa" w:w="16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FBZP</w:t>
            </w:r>
          </w:p>
        </w:tc>
        <w:tc>
          <w:tcPr>
            <w:tcW w:type="dxa" w:w="66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House banks, payment methods</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Define Credit Control Area</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OB45</w:t>
            </w:r>
          </w:p>
        </w:tc>
        <w:tc>
          <w:tcPr>
            <w:tcW w:type="dxa" w:w="66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NGCC — NexGen Credit Control</w:t>
            </w:r>
          </w:p>
        </w:tc>
      </w:tr>
      <w:tr>
        <w:tc>
          <w:tcPr>
            <w:tcW w:type="dxa" w:w="22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Configure Dunning Procedure</w:t>
            </w:r>
          </w:p>
        </w:tc>
        <w:tc>
          <w:tcPr>
            <w:tcW w:type="dxa" w:w="16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FBMP</w:t>
            </w:r>
          </w:p>
        </w:tc>
        <w:tc>
          <w:tcPr>
            <w:tcW w:type="dxa" w:w="66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3-level dunning with escalation</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Create Vendor Master</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XK01</w:t>
            </w:r>
          </w:p>
        </w:tc>
        <w:tc>
          <w:tcPr>
            <w:tcW w:type="dxa" w:w="66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VEND-001 to VEND-003</w:t>
            </w:r>
          </w:p>
        </w:tc>
      </w:tr>
      <w:tr>
        <w:tc>
          <w:tcPr>
            <w:tcW w:type="dxa" w:w="22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Create Customer Master</w:t>
            </w:r>
          </w:p>
        </w:tc>
        <w:tc>
          <w:tcPr>
            <w:tcW w:type="dxa" w:w="16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XD01</w:t>
            </w:r>
          </w:p>
        </w:tc>
        <w:tc>
          <w:tcPr>
            <w:tcW w:type="dxa" w:w="66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CUST-001 to CUST-003</w:t>
            </w:r>
          </w:p>
        </w:tc>
      </w:tr>
    </w:tbl>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single" w:color="E8A000" w:sz="1"/>
              <w:left w:val="single" w:color="E8A000" w:sz="6"/>
              <w:bottom w:val="single" w:color="E8A000" w:sz="1"/>
              <w:right w:val="single" w:color="E8A000" w:sz="1"/>
            </w:tcBorders>
            <w:shd w:fill="FFFBF0" w:val="clear"/>
            <w:tcMar>
              <w:top w:type="dxa" w:w="100"/>
              <w:left w:type="dxa" w:w="160"/>
              <w:bottom w:type="dxa" w:w="100"/>
              <w:right w:type="dxa" w:w="160"/>
            </w:tcMar>
          </w:tcPr>
          <w:p>
            <w:pPr>
              <w:spacing w:after="40" w:before="0"/>
            </w:pPr>
            <w:r>
              <w:rPr>
                <w:rFonts w:ascii="Arial" w:cs="Arial" w:eastAsia="Arial" w:hAnsi="Arial"/>
                <w:b/>
                <w:bCs/>
                <w:color w:val="854F0B"/>
                <w:sz w:val="20"/>
                <w:szCs w:val="20"/>
              </w:rPr>
              <w:t xml:space="preserve">Student Observations / Notes:</w:t>
            </w:r>
          </w:p>
          <w:p>
            <w:pPr>
              <w:spacing w:after="0" w:before="40"/>
            </w:pPr>
            <w:r>
              <w:rPr>
                <w:rFonts w:ascii="Arial" w:cs="Arial" w:eastAsia="Arial" w:hAnsi="Arial"/>
                <w:color w:val="DDDDDD"/>
                <w:sz w:val="20"/>
                <w:szCs w:val="20"/>
              </w:rPr>
              <w:t xml:space="preserve">_______________________________________________________________________________________________</w:t>
            </w:r>
          </w:p>
          <w:p>
            <w:pPr>
              <w:spacing w:after="0" w:before="80"/>
            </w:pPr>
            <w:r>
              <w:rPr>
                <w:rFonts w:ascii="Arial" w:cs="Arial" w:eastAsia="Arial" w:hAnsi="Arial"/>
                <w:color w:val="DDDDDD"/>
                <w:sz w:val="20"/>
                <w:szCs w:val="20"/>
              </w:rPr>
              <w:t xml:space="preserve">_______________________________________________________________________________________________</w:t>
            </w:r>
          </w:p>
          <w:p>
            <w:pPr>
              <w:spacing w:after="0" w:before="80"/>
            </w:pPr>
            <w:r>
              <w:rPr>
                <w:rFonts w:ascii="Arial" w:cs="Arial" w:eastAsia="Arial" w:hAnsi="Arial"/>
                <w:color w:val="DDDDDD"/>
                <w:sz w:val="20"/>
                <w:szCs w:val="20"/>
              </w:rPr>
              <w:t xml:space="preserve">_______________________________________________________________________________________________</w:t>
            </w:r>
          </w:p>
        </w:tc>
      </w:tr>
    </w:tbl>
    <w:p>
      <w:r>
        <w:br w:type="page"/>
      </w:r>
    </w:p>
    <w:p>
      <w:pPr>
        <w:pStyle w:val="Heading1"/>
        <w:pBdr>
          <w:bottom w:val="single" w:color="0070D2" w:sz="8" w:space="1"/>
        </w:pBdr>
        <w:spacing w:after="160" w:before="360"/>
      </w:pPr>
      <w:r>
        <w:rPr>
          <w:rFonts w:ascii="Arial" w:cs="Arial" w:eastAsia="Arial" w:hAnsi="Arial"/>
          <w:b/>
          <w:bCs/>
          <w:color w:val="003366"/>
          <w:sz w:val="36"/>
          <w:szCs w:val="36"/>
        </w:rPr>
        <w:t xml:space="preserve">4. SAP MM — Materials Management Configuration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305"/>
        <w:gridCol w:w="1305"/>
        <w:gridCol w:w="1305"/>
        <w:gridCol w:w="1305"/>
        <w:gridCol w:w="1305"/>
        <w:gridCol w:w="1305"/>
        <w:gridCol w:w="1305"/>
        <w:gridCol w:w="1305"/>
      </w:tblGrid>
      <w:tr>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OX10</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OX08</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OMS2</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MM01</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ME21N</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MIGO</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MIRO</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OBYC</w:t>
            </w:r>
          </w:p>
        </w:tc>
      </w:tr>
    </w:tbl>
    <w:p>
      <w:pPr>
        <w:spacing w:after="40" w:before="40"/>
      </w:pPr>
      <w:r>
        <w:t xml:space="preserve"/>
      </w:r>
    </w:p>
    <w:p>
      <w:pPr>
        <w:pStyle w:val="Heading2"/>
        <w:spacing w:after="100" w:before="240"/>
      </w:pPr>
      <w:r>
        <w:rPr>
          <w:rFonts w:ascii="Arial" w:cs="Arial" w:eastAsia="Arial" w:hAnsi="Arial"/>
          <w:b/>
          <w:bCs/>
          <w:color w:val="185FA5"/>
          <w:sz w:val="26"/>
          <w:szCs w:val="26"/>
        </w:rPr>
        <w:t xml:space="preserve">4.1 Material Master — T-code MM01</w:t>
      </w:r>
    </w:p>
    <w:p>
      <w:pPr>
        <w:spacing w:after="80" w:before="60"/>
        <w:jc w:val="left"/>
      </w:pPr>
      <w:r>
        <w:rPr>
          <w:rFonts w:ascii="Arial" w:cs="Arial" w:eastAsia="Arial" w:hAnsi="Arial"/>
          <w:b w:val="false"/>
          <w:bCs w:val="false"/>
          <w:i w:val="false"/>
          <w:iCs w:val="false"/>
          <w:color w:val="444444"/>
          <w:sz w:val="22"/>
          <w:szCs w:val="22"/>
        </w:rPr>
        <w:t xml:space="preserve">Material Master is the central data object in SAP MM. All relevant data is organized into views. Key views maintained for NexGen materials:</w:t>
      </w:r>
    </w:p>
    <w:p>
      <w:pPr>
        <w:spacing w:after="40" w:before="40"/>
      </w:pPr>
      <w:r>
        <w:t xml:space="preserve"/>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MM01 — Material MAT-001 (Precision Steel Shaft): Type ROH, Base UoM EA, Material Group MG01</w:t>
      </w:r>
    </w:p>
    <w:p>
      <w:pPr>
        <w:spacing w:after="40" w:before="40"/>
      </w:pPr>
      <w:r>
        <w:t xml:space="preserve"/>
      </w:r>
    </w:p>
    <w:p>
      <w:pPr>
        <w:pStyle w:val="Heading2"/>
        <w:spacing w:after="100" w:before="240"/>
      </w:pPr>
      <w:r>
        <w:rPr>
          <w:rFonts w:ascii="Arial" w:cs="Arial" w:eastAsia="Arial" w:hAnsi="Arial"/>
          <w:b/>
          <w:bCs/>
          <w:color w:val="185FA5"/>
          <w:sz w:val="26"/>
          <w:szCs w:val="26"/>
        </w:rPr>
        <w:t xml:space="preserve">4.2 Sample Materials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1000"/>
        <w:gridCol w:w="1600"/>
        <w:gridCol w:w="1840"/>
      </w:tblGrid>
      <w:tr>
        <w:trPr>
          <w:tblHeader/>
        </w:trPr>
        <w:tc>
          <w:tcPr>
            <w:tcW w:type="dxa" w:w="20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Material</w:t>
            </w:r>
          </w:p>
        </w:tc>
        <w:tc>
          <w:tcPr>
            <w:tcW w:type="dxa" w:w="28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w:t>
            </w:r>
          </w:p>
        </w:tc>
        <w:tc>
          <w:tcPr>
            <w:tcW w:type="dxa" w:w="12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10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UoM</w:t>
            </w:r>
          </w:p>
        </w:tc>
        <w:tc>
          <w:tcPr>
            <w:tcW w:type="dxa" w:w="16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 Class</w:t>
            </w:r>
          </w:p>
        </w:tc>
        <w:tc>
          <w:tcPr>
            <w:tcW w:type="dxa" w:w="184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Price</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MAT-001</w:t>
            </w:r>
          </w:p>
        </w:tc>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Precision Steel Shaft</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ROH</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EA</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3000</w:t>
            </w:r>
          </w:p>
        </w:tc>
        <w:tc>
          <w:tcPr>
            <w:tcW w:type="dxa" w:w="18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V — MAP</w:t>
            </w:r>
          </w:p>
        </w:tc>
      </w:tr>
      <w:tr>
        <w:tc>
          <w:tcPr>
            <w:tcW w:type="dxa" w:w="2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MAT-002</w:t>
            </w:r>
          </w:p>
        </w:tc>
        <w:tc>
          <w:tcPr>
            <w:tcW w:type="dxa" w:w="28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Electronic Control Unit</w:t>
            </w:r>
          </w:p>
        </w:tc>
        <w:tc>
          <w:tcPr>
            <w:tcW w:type="dxa" w:w="12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HAWA</w:t>
            </w:r>
          </w:p>
        </w:tc>
        <w:tc>
          <w:tcPr>
            <w:tcW w:type="dxa" w:w="1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EA</w:t>
            </w:r>
          </w:p>
        </w:tc>
        <w:tc>
          <w:tcPr>
            <w:tcW w:type="dxa" w:w="16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3100</w:t>
            </w:r>
          </w:p>
        </w:tc>
        <w:tc>
          <w:tcPr>
            <w:tcW w:type="dxa" w:w="18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V — MAP</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MAT-003</w:t>
            </w:r>
          </w:p>
        </w:tc>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Assembled Gear Box</w:t>
            </w:r>
          </w:p>
        </w:tc>
        <w:tc>
          <w:tcPr>
            <w:tcW w:type="dxa" w:w="1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FERT</w:t>
            </w:r>
          </w:p>
        </w:tc>
        <w:tc>
          <w:tcPr>
            <w:tcW w:type="dxa" w:w="1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EA</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7920</w:t>
            </w:r>
          </w:p>
        </w:tc>
        <w:tc>
          <w:tcPr>
            <w:tcW w:type="dxa" w:w="18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S — Std</w:t>
            </w:r>
          </w:p>
        </w:tc>
      </w:tr>
      <w:tr>
        <w:tc>
          <w:tcPr>
            <w:tcW w:type="dxa" w:w="2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MAT-004</w:t>
            </w:r>
          </w:p>
        </w:tc>
        <w:tc>
          <w:tcPr>
            <w:tcW w:type="dxa" w:w="28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Packing Box</w:t>
            </w:r>
          </w:p>
        </w:tc>
        <w:tc>
          <w:tcPr>
            <w:tcW w:type="dxa" w:w="12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VERP</w:t>
            </w:r>
          </w:p>
        </w:tc>
        <w:tc>
          <w:tcPr>
            <w:tcW w:type="dxa" w:w="1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EA</w:t>
            </w:r>
          </w:p>
        </w:tc>
        <w:tc>
          <w:tcPr>
            <w:tcW w:type="dxa" w:w="16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3200</w:t>
            </w:r>
          </w:p>
        </w:tc>
        <w:tc>
          <w:tcPr>
            <w:tcW w:type="dxa" w:w="18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V — MAP</w:t>
            </w:r>
          </w:p>
        </w:tc>
      </w:tr>
    </w:tbl>
    <w:p>
      <w:pPr>
        <w:spacing w:after="40" w:before="40"/>
      </w:pPr>
      <w:r>
        <w:t xml:space="preserve"/>
      </w:r>
    </w:p>
    <w:p>
      <w:pPr>
        <w:pStyle w:val="Heading2"/>
        <w:spacing w:after="100" w:before="240"/>
      </w:pPr>
      <w:r>
        <w:rPr>
          <w:rFonts w:ascii="Arial" w:cs="Arial" w:eastAsia="Arial" w:hAnsi="Arial"/>
          <w:b/>
          <w:bCs/>
          <w:color w:val="185FA5"/>
          <w:sz w:val="26"/>
          <w:szCs w:val="26"/>
        </w:rPr>
        <w:t xml:space="preserve">4.3 Purchase Order — T-code ME21N</w:t>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ME21N — Purchase Order 4500000001: Vendor VEND-001 (Bharat Steel), Total PO Value INR 8,11,250</w:t>
      </w:r>
    </w:p>
    <w:p>
      <w:pPr>
        <w:spacing w:after="40" w:before="40"/>
      </w:pPr>
      <w:r>
        <w:t xml:space="preserve"/>
      </w:r>
    </w:p>
    <w:p>
      <w:pPr>
        <w:pStyle w:val="Heading2"/>
        <w:spacing w:after="100" w:before="240"/>
      </w:pPr>
      <w:r>
        <w:rPr>
          <w:rFonts w:ascii="Arial" w:cs="Arial" w:eastAsia="Arial" w:hAnsi="Arial"/>
          <w:b/>
          <w:bCs/>
          <w:color w:val="185FA5"/>
          <w:sz w:val="26"/>
          <w:szCs w:val="26"/>
        </w:rPr>
        <w:t xml:space="preserve">4.4 Goods Receipt — T-code MIGO</w:t>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MIGO — Goods Receipt (Movement Type 101) against PO 4500000001: MAT-001 x 100 EA, MAT-002 x 50 EA</w:t>
      </w:r>
    </w:p>
    <w:p>
      <w:pPr>
        <w:spacing w:after="40" w:before="40"/>
      </w:pPr>
      <w:r>
        <w:t xml:space="preserve"/>
      </w:r>
    </w:p>
    <w:p>
      <w:pPr>
        <w:pStyle w:val="Heading2"/>
        <w:spacing w:after="100" w:before="240"/>
      </w:pPr>
      <w:r>
        <w:rPr>
          <w:rFonts w:ascii="Arial" w:cs="Arial" w:eastAsia="Arial" w:hAnsi="Arial"/>
          <w:b/>
          <w:bCs/>
          <w:color w:val="185FA5"/>
          <w:sz w:val="26"/>
          <w:szCs w:val="26"/>
        </w:rPr>
        <w:t xml:space="preserve">4.5 Account Determination — T-code OBYC</w:t>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OBYC — Automatic Account Determination: BSX→130500 (Stock), WRX→210500 (GR/IR), GBB-VBR→500000 (Consumption)</w:t>
      </w:r>
    </w:p>
    <w:p>
      <w:pPr>
        <w:spacing w:after="40" w:before="40"/>
      </w:pPr>
      <w:r>
        <w:t xml:space="preserve"/>
      </w:r>
    </w:p>
    <w:p>
      <w:pPr>
        <w:pStyle w:val="Heading2"/>
        <w:spacing w:after="100" w:before="240"/>
      </w:pPr>
      <w:r>
        <w:rPr>
          <w:rFonts w:ascii="Arial" w:cs="Arial" w:eastAsia="Arial" w:hAnsi="Arial"/>
          <w:b/>
          <w:bCs/>
          <w:color w:val="185FA5"/>
          <w:sz w:val="26"/>
          <w:szCs w:val="26"/>
        </w:rPr>
        <w:t xml:space="preserve">4.6 Invoice Verification — T-code MIRO</w:t>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MIRO — Logistics Invoice Verification: Vendor invoice INV-BSS-2026-0874, Amount INR 6,87,500, Balance = 0</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single" w:color="E8A000" w:sz="1"/>
              <w:left w:val="single" w:color="E8A000" w:sz="6"/>
              <w:bottom w:val="single" w:color="E8A000" w:sz="1"/>
              <w:right w:val="single" w:color="E8A000" w:sz="1"/>
            </w:tcBorders>
            <w:shd w:fill="FFFBF0" w:val="clear"/>
            <w:tcMar>
              <w:top w:type="dxa" w:w="100"/>
              <w:left w:type="dxa" w:w="160"/>
              <w:bottom w:type="dxa" w:w="100"/>
              <w:right w:type="dxa" w:w="160"/>
            </w:tcMar>
          </w:tcPr>
          <w:p>
            <w:pPr>
              <w:spacing w:after="40" w:before="0"/>
            </w:pPr>
            <w:r>
              <w:rPr>
                <w:rFonts w:ascii="Arial" w:cs="Arial" w:eastAsia="Arial" w:hAnsi="Arial"/>
                <w:b/>
                <w:bCs/>
                <w:color w:val="854F0B"/>
                <w:sz w:val="20"/>
                <w:szCs w:val="20"/>
              </w:rPr>
              <w:t xml:space="preserve">Student Observations / Notes:</w:t>
            </w:r>
          </w:p>
          <w:p>
            <w:pPr>
              <w:spacing w:after="0" w:before="40"/>
            </w:pPr>
            <w:r>
              <w:rPr>
                <w:rFonts w:ascii="Arial" w:cs="Arial" w:eastAsia="Arial" w:hAnsi="Arial"/>
                <w:color w:val="DDDDDD"/>
                <w:sz w:val="20"/>
                <w:szCs w:val="20"/>
              </w:rPr>
              <w:t xml:space="preserve">_______________________________________________________________________________________________</w:t>
            </w:r>
          </w:p>
          <w:p>
            <w:pPr>
              <w:spacing w:after="0" w:before="80"/>
            </w:pPr>
            <w:r>
              <w:rPr>
                <w:rFonts w:ascii="Arial" w:cs="Arial" w:eastAsia="Arial" w:hAnsi="Arial"/>
                <w:color w:val="DDDDDD"/>
                <w:sz w:val="20"/>
                <w:szCs w:val="20"/>
              </w:rPr>
              <w:t xml:space="preserve">_______________________________________________________________________________________________</w:t>
            </w:r>
          </w:p>
          <w:p>
            <w:pPr>
              <w:spacing w:after="0" w:before="80"/>
            </w:pPr>
            <w:r>
              <w:rPr>
                <w:rFonts w:ascii="Arial" w:cs="Arial" w:eastAsia="Arial" w:hAnsi="Arial"/>
                <w:color w:val="DDDDDD"/>
                <w:sz w:val="20"/>
                <w:szCs w:val="20"/>
              </w:rPr>
              <w:t xml:space="preserve">_______________________________________________________________________________________________</w:t>
            </w:r>
          </w:p>
        </w:tc>
      </w:tr>
    </w:tbl>
    <w:p>
      <w:r>
        <w:br w:type="page"/>
      </w:r>
    </w:p>
    <w:p>
      <w:pPr>
        <w:pStyle w:val="Heading1"/>
        <w:pBdr>
          <w:bottom w:val="single" w:color="0070D2" w:sz="8" w:space="1"/>
        </w:pBdr>
        <w:spacing w:after="160" w:before="360"/>
      </w:pPr>
      <w:r>
        <w:rPr>
          <w:rFonts w:ascii="Arial" w:cs="Arial" w:eastAsia="Arial" w:hAnsi="Arial"/>
          <w:b/>
          <w:bCs/>
          <w:color w:val="003366"/>
          <w:sz w:val="36"/>
          <w:szCs w:val="36"/>
        </w:rPr>
        <w:t xml:space="preserve">5. SAP SD — Sales &amp; Distribution Configuration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305"/>
        <w:gridCol w:w="1305"/>
        <w:gridCol w:w="1305"/>
        <w:gridCol w:w="1305"/>
        <w:gridCol w:w="1305"/>
        <w:gridCol w:w="1305"/>
        <w:gridCol w:w="1305"/>
        <w:gridCol w:w="1305"/>
      </w:tblGrid>
      <w:tr>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OVX5</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OVXI</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OVXB</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VOV8</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V/08</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OVKK</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VL01N</w:t>
            </w:r>
          </w:p>
        </w:tc>
        <w:tc>
          <w:tcPr>
            <w:tcW w:type="dxa" w:w="1305"/>
            <w:tcBorders>
              <w:top w:val="single" w:color="B5D4F4" w:sz="1"/>
              <w:left w:val="single" w:color="B5D4F4" w:sz="1"/>
              <w:bottom w:val="single" w:color="B5D4F4" w:sz="1"/>
              <w:right w:val="single" w:color="B5D4F4" w:sz="1"/>
            </w:tcBorders>
            <w:shd w:fill="E6F1FB" w:val="clear"/>
            <w:tcMar>
              <w:top w:type="dxa" w:w="60"/>
              <w:left w:type="dxa" w:w="80"/>
              <w:bottom w:type="dxa" w:w="60"/>
              <w:right w:type="dxa" w:w="80"/>
            </w:tcMar>
          </w:tcPr>
          <w:p>
            <w:pPr>
              <w:jc w:val="center"/>
            </w:pPr>
            <w:r>
              <w:rPr>
                <w:rFonts w:ascii="Courier New" w:cs="Courier New" w:eastAsia="Courier New" w:hAnsi="Courier New"/>
                <w:b/>
                <w:bCs/>
                <w:color w:val="003366"/>
                <w:sz w:val="19"/>
                <w:szCs w:val="19"/>
              </w:rPr>
              <w:t xml:space="preserve">VF01</w:t>
            </w:r>
          </w:p>
        </w:tc>
      </w:tr>
    </w:tbl>
    <w:p>
      <w:pPr>
        <w:spacing w:after="40" w:before="40"/>
      </w:pPr>
      <w:r>
        <w:t xml:space="preserve"/>
      </w:r>
    </w:p>
    <w:p>
      <w:pPr>
        <w:pStyle w:val="Heading2"/>
        <w:spacing w:after="100" w:before="240"/>
      </w:pPr>
      <w:r>
        <w:rPr>
          <w:rFonts w:ascii="Arial" w:cs="Arial" w:eastAsia="Arial" w:hAnsi="Arial"/>
          <w:b/>
          <w:bCs/>
          <w:color w:val="185FA5"/>
          <w:sz w:val="26"/>
          <w:szCs w:val="26"/>
        </w:rPr>
        <w:t xml:space="preserve">5.1 Sales Organizational Structure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3640"/>
      </w:tblGrid>
      <w:tr>
        <w:trPr>
          <w:tblHeader/>
        </w:trPr>
        <w:tc>
          <w:tcPr>
            <w:tcW w:type="dxa" w:w="22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Object</w:t>
            </w:r>
          </w:p>
        </w:tc>
        <w:tc>
          <w:tcPr>
            <w:tcW w:type="dxa" w:w="14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ID</w:t>
            </w:r>
          </w:p>
        </w:tc>
        <w:tc>
          <w:tcPr>
            <w:tcW w:type="dxa" w:w="32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w:t>
            </w:r>
          </w:p>
        </w:tc>
        <w:tc>
          <w:tcPr>
            <w:tcW w:type="dxa" w:w="364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Assigned To</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Sales Organization</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SO01</w:t>
            </w:r>
          </w:p>
        </w:tc>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India Sales Organization</w:t>
            </w:r>
          </w:p>
        </w:tc>
        <w:tc>
          <w:tcPr>
            <w:tcW w:type="dxa" w:w="36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Company Code NGMS</w:t>
            </w:r>
          </w:p>
        </w:tc>
      </w:tr>
      <w:tr>
        <w:tc>
          <w:tcPr>
            <w:tcW w:type="dxa" w:w="22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Distribution Channel</w:t>
            </w:r>
          </w:p>
        </w:tc>
        <w:tc>
          <w:tcPr>
            <w:tcW w:type="dxa" w:w="14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DC01</w:t>
            </w:r>
          </w:p>
        </w:tc>
        <w:tc>
          <w:tcPr>
            <w:tcW w:type="dxa" w:w="32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Direct Sales</w:t>
            </w:r>
          </w:p>
        </w:tc>
        <w:tc>
          <w:tcPr>
            <w:tcW w:type="dxa" w:w="36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Sales Org SO01</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Distribution Channel</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DC02</w:t>
            </w:r>
          </w:p>
        </w:tc>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Dealer / Distributor</w:t>
            </w:r>
          </w:p>
        </w:tc>
        <w:tc>
          <w:tcPr>
            <w:tcW w:type="dxa" w:w="36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Sales Org SO01</w:t>
            </w:r>
          </w:p>
        </w:tc>
      </w:tr>
      <w:tr>
        <w:tc>
          <w:tcPr>
            <w:tcW w:type="dxa" w:w="22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Distribution Channel</w:t>
            </w:r>
          </w:p>
        </w:tc>
        <w:tc>
          <w:tcPr>
            <w:tcW w:type="dxa" w:w="14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DC03</w:t>
            </w:r>
          </w:p>
        </w:tc>
        <w:tc>
          <w:tcPr>
            <w:tcW w:type="dxa" w:w="32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Online / E-Commerce</w:t>
            </w:r>
          </w:p>
        </w:tc>
        <w:tc>
          <w:tcPr>
            <w:tcW w:type="dxa" w:w="36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Sales Org SO01</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Division</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DV01</w:t>
            </w:r>
          </w:p>
        </w:tc>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Manufactured Components</w:t>
            </w:r>
          </w:p>
        </w:tc>
        <w:tc>
          <w:tcPr>
            <w:tcW w:type="dxa" w:w="36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Sales Org SO01</w:t>
            </w:r>
          </w:p>
        </w:tc>
      </w:tr>
      <w:tr>
        <w:tc>
          <w:tcPr>
            <w:tcW w:type="dxa" w:w="22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Division</w:t>
            </w:r>
          </w:p>
        </w:tc>
        <w:tc>
          <w:tcPr>
            <w:tcW w:type="dxa" w:w="14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DV02</w:t>
            </w:r>
          </w:p>
        </w:tc>
        <w:tc>
          <w:tcPr>
            <w:tcW w:type="dxa" w:w="32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Traded Goods</w:t>
            </w:r>
          </w:p>
        </w:tc>
        <w:tc>
          <w:tcPr>
            <w:tcW w:type="dxa" w:w="36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Sales Org SO01</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Shipping Point</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SP01</w:t>
            </w:r>
          </w:p>
        </w:tc>
        <w:tc>
          <w:tcPr>
            <w:tcW w:type="dxa" w:w="3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Hyderabad Dispatch</w:t>
            </w:r>
          </w:p>
        </w:tc>
        <w:tc>
          <w:tcPr>
            <w:tcW w:type="dxa" w:w="36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Plant HYD1</w:t>
            </w:r>
          </w:p>
        </w:tc>
      </w:tr>
    </w:tbl>
    <w:p>
      <w:pPr>
        <w:spacing w:after="40" w:before="40"/>
      </w:pPr>
      <w:r>
        <w:t xml:space="preserve"/>
      </w:r>
    </w:p>
    <w:p>
      <w:pPr>
        <w:pStyle w:val="Heading2"/>
        <w:spacing w:after="100" w:before="240"/>
      </w:pPr>
      <w:r>
        <w:rPr>
          <w:rFonts w:ascii="Arial" w:cs="Arial" w:eastAsia="Arial" w:hAnsi="Arial"/>
          <w:b/>
          <w:bCs/>
          <w:color w:val="185FA5"/>
          <w:sz w:val="26"/>
          <w:szCs w:val="26"/>
        </w:rPr>
        <w:t xml:space="preserve">5.2 Pricing Procedure NGPRC — T-code V/08</w:t>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V/08 — Pricing Procedure NGPRC: Steps PR00 (Price), K007 (Discount), MWST (GST 18%), KF00 (Freight)</w:t>
      </w:r>
    </w:p>
    <w:p>
      <w:pPr>
        <w:spacing w:after="40" w:before="40"/>
      </w:pPr>
      <w:r>
        <w:t xml:space="preserve"/>
      </w:r>
    </w:p>
    <w:p>
      <w:pPr>
        <w:pStyle w:val="Heading2"/>
        <w:spacing w:after="100" w:before="240"/>
      </w:pPr>
      <w:r>
        <w:rPr>
          <w:rFonts w:ascii="Arial" w:cs="Arial" w:eastAsia="Arial" w:hAnsi="Arial"/>
          <w:b/>
          <w:bCs/>
          <w:color w:val="185FA5"/>
          <w:sz w:val="26"/>
          <w:szCs w:val="26"/>
        </w:rPr>
        <w:t xml:space="preserve">5.3 Sales Order — T-code VA01</w:t>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VA01 — Sales Order for CUST-001 (AutoTech Industries): MAT-003 x 200 EA, Total INR 29,50,000</w:t>
      </w:r>
    </w:p>
    <w:p>
      <w:pPr>
        <w:spacing w:after="40" w:before="40"/>
      </w:pPr>
      <w:r>
        <w:t xml:space="preserve"/>
      </w:r>
    </w:p>
    <w:p>
      <w:pPr>
        <w:pStyle w:val="Heading2"/>
        <w:spacing w:after="100" w:before="240"/>
      </w:pPr>
      <w:r>
        <w:rPr>
          <w:rFonts w:ascii="Arial" w:cs="Arial" w:eastAsia="Arial" w:hAnsi="Arial"/>
          <w:b/>
          <w:bCs/>
          <w:color w:val="185FA5"/>
          <w:sz w:val="26"/>
          <w:szCs w:val="26"/>
        </w:rPr>
        <w:t xml:space="preserve">5.4 Billing Document — T-code VF01</w:t>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VF01 — Customer Invoice F2: Payer CUST-001, FI Document auto-posted — Dr Customer, Cr Revenue 400000, Cr GST 220000</w:t>
      </w:r>
    </w:p>
    <w:p>
      <w:pPr>
        <w:spacing w:after="40" w:before="40"/>
      </w:pPr>
      <w:r>
        <w:t xml:space="preserve"/>
      </w:r>
    </w:p>
    <w:p>
      <w:pPr>
        <w:pStyle w:val="Heading2"/>
        <w:spacing w:after="100" w:before="240"/>
      </w:pPr>
      <w:r>
        <w:rPr>
          <w:rFonts w:ascii="Arial" w:cs="Arial" w:eastAsia="Arial" w:hAnsi="Arial"/>
          <w:b/>
          <w:bCs/>
          <w:color w:val="185FA5"/>
          <w:sz w:val="26"/>
          <w:szCs w:val="26"/>
        </w:rPr>
        <w:t xml:space="preserve">5.5 SD Configuration Steps</w:t>
      </w:r>
    </w:p>
    <w:p>
      <w:pPr>
        <w:pStyle w:val="ListParagraph"/>
        <w:numPr>
          <w:ilvl w:val="0"/>
          <w:numId w:val="3"/>
        </w:numPr>
        <w:spacing w:after="60" w:before="40"/>
      </w:pPr>
      <w:r>
        <w:rPr>
          <w:rFonts w:ascii="Arial" w:cs="Arial" w:eastAsia="Arial" w:hAnsi="Arial"/>
          <w:b w:val="false"/>
          <w:bCs w:val="false"/>
          <w:i w:val="false"/>
          <w:iCs w:val="false"/>
          <w:color w:val="444444"/>
          <w:sz w:val="22"/>
          <w:szCs w:val="22"/>
        </w:rPr>
        <w:t xml:space="preserve">OVX5 — Define Sales Organization SO01, assign to Company Code NGMS</w:t>
      </w:r>
    </w:p>
    <w:p>
      <w:pPr>
        <w:pStyle w:val="ListParagraph"/>
        <w:numPr>
          <w:ilvl w:val="0"/>
          <w:numId w:val="3"/>
        </w:numPr>
        <w:spacing w:after="60" w:before="40"/>
      </w:pPr>
      <w:r>
        <w:rPr>
          <w:rFonts w:ascii="Arial" w:cs="Arial" w:eastAsia="Arial" w:hAnsi="Arial"/>
          <w:b w:val="false"/>
          <w:bCs w:val="false"/>
          <w:i w:val="false"/>
          <w:iCs w:val="false"/>
          <w:color w:val="444444"/>
          <w:sz w:val="22"/>
          <w:szCs w:val="22"/>
        </w:rPr>
        <w:t xml:space="preserve">OVXI — Define Distribution Channels DC01, DC02, DC03</w:t>
      </w:r>
    </w:p>
    <w:p>
      <w:pPr>
        <w:pStyle w:val="ListParagraph"/>
        <w:numPr>
          <w:ilvl w:val="0"/>
          <w:numId w:val="3"/>
        </w:numPr>
        <w:spacing w:after="60" w:before="40"/>
      </w:pPr>
      <w:r>
        <w:rPr>
          <w:rFonts w:ascii="Arial" w:cs="Arial" w:eastAsia="Arial" w:hAnsi="Arial"/>
          <w:b w:val="false"/>
          <w:bCs w:val="false"/>
          <w:i w:val="false"/>
          <w:iCs w:val="false"/>
          <w:color w:val="444444"/>
          <w:sz w:val="22"/>
          <w:szCs w:val="22"/>
        </w:rPr>
        <w:t xml:space="preserve">OVXB — Define Divisions DV01 (Manufacturing), DV02 (Trading), DV03 (Services)</w:t>
      </w:r>
    </w:p>
    <w:p>
      <w:pPr>
        <w:pStyle w:val="ListParagraph"/>
        <w:numPr>
          <w:ilvl w:val="0"/>
          <w:numId w:val="3"/>
        </w:numPr>
        <w:spacing w:after="60" w:before="40"/>
      </w:pPr>
      <w:r>
        <w:rPr>
          <w:rFonts w:ascii="Arial" w:cs="Arial" w:eastAsia="Arial" w:hAnsi="Arial"/>
          <w:b w:val="false"/>
          <w:bCs w:val="false"/>
          <w:i w:val="false"/>
          <w:iCs w:val="false"/>
          <w:color w:val="444444"/>
          <w:sz w:val="22"/>
          <w:szCs w:val="22"/>
        </w:rPr>
        <w:t xml:space="preserve">OVXD — Define Shipping Points SP01–SP03 and assign to Plants</w:t>
      </w:r>
    </w:p>
    <w:p>
      <w:pPr>
        <w:pStyle w:val="ListParagraph"/>
        <w:numPr>
          <w:ilvl w:val="0"/>
          <w:numId w:val="3"/>
        </w:numPr>
        <w:spacing w:after="60" w:before="40"/>
      </w:pPr>
      <w:r>
        <w:rPr>
          <w:rFonts w:ascii="Arial" w:cs="Arial" w:eastAsia="Arial" w:hAnsi="Arial"/>
          <w:b w:val="false"/>
          <w:bCs w:val="false"/>
          <w:i w:val="false"/>
          <w:iCs w:val="false"/>
          <w:color w:val="444444"/>
          <w:sz w:val="22"/>
          <w:szCs w:val="22"/>
        </w:rPr>
        <w:t xml:space="preserve">VOV8 — Define Sales Document Type OR (Standard Order) with number range</w:t>
      </w:r>
    </w:p>
    <w:p>
      <w:pPr>
        <w:pStyle w:val="ListParagraph"/>
        <w:numPr>
          <w:ilvl w:val="0"/>
          <w:numId w:val="3"/>
        </w:numPr>
        <w:spacing w:after="60" w:before="40"/>
      </w:pPr>
      <w:r>
        <w:rPr>
          <w:rFonts w:ascii="Arial" w:cs="Arial" w:eastAsia="Arial" w:hAnsi="Arial"/>
          <w:b w:val="false"/>
          <w:bCs w:val="false"/>
          <w:i w:val="false"/>
          <w:iCs w:val="false"/>
          <w:color w:val="444444"/>
          <w:sz w:val="22"/>
          <w:szCs w:val="22"/>
        </w:rPr>
        <w:t xml:space="preserve">VOV7 — Define Item Category TAN and assign to document type OR</w:t>
      </w:r>
    </w:p>
    <w:p>
      <w:pPr>
        <w:pStyle w:val="ListParagraph"/>
        <w:numPr>
          <w:ilvl w:val="0"/>
          <w:numId w:val="3"/>
        </w:numPr>
        <w:spacing w:after="60" w:before="40"/>
      </w:pPr>
      <w:r>
        <w:rPr>
          <w:rFonts w:ascii="Arial" w:cs="Arial" w:eastAsia="Arial" w:hAnsi="Arial"/>
          <w:b w:val="false"/>
          <w:bCs w:val="false"/>
          <w:i w:val="false"/>
          <w:iCs w:val="false"/>
          <w:color w:val="444444"/>
          <w:sz w:val="22"/>
          <w:szCs w:val="22"/>
        </w:rPr>
        <w:t xml:space="preserve">V/06 — Define Condition Types: PR00, K007, MWST, KF00, SKTO</w:t>
      </w:r>
    </w:p>
    <w:p>
      <w:pPr>
        <w:pStyle w:val="ListParagraph"/>
        <w:numPr>
          <w:ilvl w:val="0"/>
          <w:numId w:val="3"/>
        </w:numPr>
        <w:spacing w:after="60" w:before="40"/>
      </w:pPr>
      <w:r>
        <w:rPr>
          <w:rFonts w:ascii="Arial" w:cs="Arial" w:eastAsia="Arial" w:hAnsi="Arial"/>
          <w:b w:val="false"/>
          <w:bCs w:val="false"/>
          <w:i w:val="false"/>
          <w:iCs w:val="false"/>
          <w:color w:val="444444"/>
          <w:sz w:val="22"/>
          <w:szCs w:val="22"/>
        </w:rPr>
        <w:t xml:space="preserve">V/08 — Define Pricing Procedure NGPRC with all condition steps and account keys</w:t>
      </w:r>
    </w:p>
    <w:p>
      <w:pPr>
        <w:pStyle w:val="ListParagraph"/>
        <w:numPr>
          <w:ilvl w:val="0"/>
          <w:numId w:val="3"/>
        </w:numPr>
        <w:spacing w:after="60" w:before="40"/>
      </w:pPr>
      <w:r>
        <w:rPr>
          <w:rFonts w:ascii="Arial" w:cs="Arial" w:eastAsia="Arial" w:hAnsi="Arial"/>
          <w:b w:val="false"/>
          <w:bCs w:val="false"/>
          <w:i w:val="false"/>
          <w:iCs w:val="false"/>
          <w:color w:val="444444"/>
          <w:sz w:val="22"/>
          <w:szCs w:val="22"/>
        </w:rPr>
        <w:t xml:space="preserve">OVKK — Assign Pricing Procedure NGPRC to Sales Area SO01/DC01/DV01</w:t>
      </w:r>
    </w:p>
    <w:p>
      <w:pPr>
        <w:pStyle w:val="ListParagraph"/>
        <w:numPr>
          <w:ilvl w:val="0"/>
          <w:numId w:val="3"/>
        </w:numPr>
        <w:spacing w:after="60" w:before="40"/>
      </w:pPr>
      <w:r>
        <w:rPr>
          <w:rFonts w:ascii="Arial" w:cs="Arial" w:eastAsia="Arial" w:hAnsi="Arial"/>
          <w:b w:val="false"/>
          <w:bCs w:val="false"/>
          <w:i w:val="false"/>
          <w:iCs w:val="false"/>
          <w:color w:val="444444"/>
          <w:sz w:val="22"/>
          <w:szCs w:val="22"/>
        </w:rPr>
        <w:t xml:space="preserve">VKOA — Configure Revenue Account Determination: ERL→400000, MWS→220000</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single" w:color="E8A000" w:sz="1"/>
              <w:left w:val="single" w:color="E8A000" w:sz="6"/>
              <w:bottom w:val="single" w:color="E8A000" w:sz="1"/>
              <w:right w:val="single" w:color="E8A000" w:sz="1"/>
            </w:tcBorders>
            <w:shd w:fill="FFFBF0" w:val="clear"/>
            <w:tcMar>
              <w:top w:type="dxa" w:w="100"/>
              <w:left w:type="dxa" w:w="160"/>
              <w:bottom w:type="dxa" w:w="100"/>
              <w:right w:type="dxa" w:w="160"/>
            </w:tcMar>
          </w:tcPr>
          <w:p>
            <w:pPr>
              <w:spacing w:after="40" w:before="0"/>
            </w:pPr>
            <w:r>
              <w:rPr>
                <w:rFonts w:ascii="Arial" w:cs="Arial" w:eastAsia="Arial" w:hAnsi="Arial"/>
                <w:b/>
                <w:bCs/>
                <w:color w:val="854F0B"/>
                <w:sz w:val="20"/>
                <w:szCs w:val="20"/>
              </w:rPr>
              <w:t xml:space="preserve">Student Observations / Notes:</w:t>
            </w:r>
          </w:p>
          <w:p>
            <w:pPr>
              <w:spacing w:after="0" w:before="40"/>
            </w:pPr>
            <w:r>
              <w:rPr>
                <w:rFonts w:ascii="Arial" w:cs="Arial" w:eastAsia="Arial" w:hAnsi="Arial"/>
                <w:color w:val="DDDDDD"/>
                <w:sz w:val="20"/>
                <w:szCs w:val="20"/>
              </w:rPr>
              <w:t xml:space="preserve">_______________________________________________________________________________________________</w:t>
            </w:r>
          </w:p>
          <w:p>
            <w:pPr>
              <w:spacing w:after="0" w:before="80"/>
            </w:pPr>
            <w:r>
              <w:rPr>
                <w:rFonts w:ascii="Arial" w:cs="Arial" w:eastAsia="Arial" w:hAnsi="Arial"/>
                <w:color w:val="DDDDDD"/>
                <w:sz w:val="20"/>
                <w:szCs w:val="20"/>
              </w:rPr>
              <w:t xml:space="preserve">_______________________________________________________________________________________________</w:t>
            </w:r>
          </w:p>
          <w:p>
            <w:pPr>
              <w:spacing w:after="0" w:before="80"/>
            </w:pPr>
            <w:r>
              <w:rPr>
                <w:rFonts w:ascii="Arial" w:cs="Arial" w:eastAsia="Arial" w:hAnsi="Arial"/>
                <w:color w:val="DDDDDD"/>
                <w:sz w:val="20"/>
                <w:szCs w:val="20"/>
              </w:rPr>
              <w:t xml:space="preserve">_______________________________________________________________________________________________</w:t>
            </w:r>
          </w:p>
        </w:tc>
      </w:tr>
    </w:tbl>
    <w:p>
      <w:r>
        <w:br w:type="page"/>
      </w:r>
    </w:p>
    <w:p>
      <w:pPr>
        <w:pStyle w:val="Heading1"/>
        <w:pBdr>
          <w:bottom w:val="single" w:color="0070D2" w:sz="8" w:space="1"/>
        </w:pBdr>
        <w:spacing w:after="160" w:before="360"/>
      </w:pPr>
      <w:r>
        <w:rPr>
          <w:rFonts w:ascii="Arial" w:cs="Arial" w:eastAsia="Arial" w:hAnsi="Arial"/>
          <w:b/>
          <w:bCs/>
          <w:color w:val="003366"/>
          <w:sz w:val="36"/>
          <w:szCs w:val="36"/>
        </w:rPr>
        <w:t xml:space="preserve">6. End-to-End Business Scenarios</w:t>
      </w:r>
    </w:p>
    <w:p>
      <w:pPr>
        <w:pStyle w:val="Heading2"/>
        <w:spacing w:after="100" w:before="240"/>
      </w:pPr>
      <w:r>
        <w:rPr>
          <w:rFonts w:ascii="Arial" w:cs="Arial" w:eastAsia="Arial" w:hAnsi="Arial"/>
          <w:b/>
          <w:bCs/>
          <w:color w:val="185FA5"/>
          <w:sz w:val="26"/>
          <w:szCs w:val="26"/>
        </w:rPr>
        <w:t xml:space="preserve">6.1 Procure-to-Pay (P2P) Cycle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5240"/>
      </w:tblGrid>
      <w:tr>
        <w:trPr>
          <w:tblHeader/>
        </w:trPr>
        <w:tc>
          <w:tcPr>
            <w:tcW w:type="dxa" w:w="6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Step</w:t>
            </w:r>
          </w:p>
        </w:tc>
        <w:tc>
          <w:tcPr>
            <w:tcW w:type="dxa" w:w="28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Activity</w:t>
            </w:r>
          </w:p>
        </w:tc>
        <w:tc>
          <w:tcPr>
            <w:tcW w:type="dxa" w:w="18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T-Code</w:t>
            </w:r>
          </w:p>
        </w:tc>
        <w:tc>
          <w:tcPr>
            <w:tcW w:type="dxa" w:w="524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Result</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1</w:t>
            </w:r>
          </w:p>
        </w:tc>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Create Purchase Requisition</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ME51N</w:t>
            </w:r>
          </w:p>
        </w:tc>
        <w:tc>
          <w:tcPr>
            <w:tcW w:type="dxa" w:w="5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PR Document</w:t>
            </w:r>
          </w:p>
        </w:tc>
      </w:tr>
      <w:tr>
        <w:tc>
          <w:tcPr>
            <w:tcW w:type="dxa" w:w="6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2</w:t>
            </w:r>
          </w:p>
        </w:tc>
        <w:tc>
          <w:tcPr>
            <w:tcW w:type="dxa" w:w="28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Create Request for Quotation</w:t>
            </w:r>
          </w:p>
        </w:tc>
        <w:tc>
          <w:tcPr>
            <w:tcW w:type="dxa" w:w="18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ME41</w:t>
            </w:r>
          </w:p>
        </w:tc>
        <w:tc>
          <w:tcPr>
            <w:tcW w:type="dxa" w:w="52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RFQ Document</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3</w:t>
            </w:r>
          </w:p>
        </w:tc>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Maintain &amp; Compare Quotations</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ME47 / ME49</w:t>
            </w:r>
          </w:p>
        </w:tc>
        <w:tc>
          <w:tcPr>
            <w:tcW w:type="dxa" w:w="5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Vendor Selected</w:t>
            </w:r>
          </w:p>
        </w:tc>
      </w:tr>
      <w:tr>
        <w:tc>
          <w:tcPr>
            <w:tcW w:type="dxa" w:w="6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4</w:t>
            </w:r>
          </w:p>
        </w:tc>
        <w:tc>
          <w:tcPr>
            <w:tcW w:type="dxa" w:w="28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Create Purchase Order</w:t>
            </w:r>
          </w:p>
        </w:tc>
        <w:tc>
          <w:tcPr>
            <w:tcW w:type="dxa" w:w="18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ME21N</w:t>
            </w:r>
          </w:p>
        </w:tc>
        <w:tc>
          <w:tcPr>
            <w:tcW w:type="dxa" w:w="52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PO 4500000001</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5</w:t>
            </w:r>
          </w:p>
        </w:tc>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Goods Receipt</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MIGO (Mvt 101)</w:t>
            </w:r>
          </w:p>
        </w:tc>
        <w:tc>
          <w:tcPr>
            <w:tcW w:type="dxa" w:w="5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Material + FI Doc</w:t>
            </w:r>
          </w:p>
        </w:tc>
      </w:tr>
      <w:tr>
        <w:tc>
          <w:tcPr>
            <w:tcW w:type="dxa" w:w="6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6</w:t>
            </w:r>
          </w:p>
        </w:tc>
        <w:tc>
          <w:tcPr>
            <w:tcW w:type="dxa" w:w="28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Invoice Verification</w:t>
            </w:r>
          </w:p>
        </w:tc>
        <w:tc>
          <w:tcPr>
            <w:tcW w:type="dxa" w:w="18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MIRO</w:t>
            </w:r>
          </w:p>
        </w:tc>
        <w:tc>
          <w:tcPr>
            <w:tcW w:type="dxa" w:w="52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Vendor Invoice Posted</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7</w:t>
            </w:r>
          </w:p>
        </w:tc>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Automatic Payment Run</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F110</w:t>
            </w:r>
          </w:p>
        </w:tc>
        <w:tc>
          <w:tcPr>
            <w:tcW w:type="dxa" w:w="5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Payment + Clearing</w:t>
            </w:r>
          </w:p>
        </w:tc>
      </w:tr>
    </w:tbl>
    <w:p>
      <w:pPr>
        <w:spacing w:after="40" w:before="40"/>
      </w:pPr>
      <w:r>
        <w:t xml:space="preserve"/>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P2P Step 4 — ME21N: Purchase Order 4500000001, Vendor VEND-001, Total INR 8,11,250</w:t>
      </w:r>
    </w:p>
    <w:p>
      <w:pPr>
        <w:spacing w:after="40" w:before="40"/>
      </w:pPr>
      <w:r>
        <w:t xml:space="preserve"/>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P2P Step 5 — MIGO: Goods Receipt Movement Type 101 — MAT-001 x 100 EA received at Plant HYD1</w:t>
      </w:r>
    </w:p>
    <w:p>
      <w:pPr>
        <w:spacing w:after="40" w:before="40"/>
      </w:pPr>
      <w:r>
        <w:t xml:space="preserve"/>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P2P Step 6 — MIRO: Vendor Invoice posted, Balance = 0, GR-Based Invoice Verification confirmed</w:t>
      </w:r>
    </w:p>
    <w:p>
      <w:pPr>
        <w:spacing w:after="40" w:before="40"/>
      </w:pPr>
      <w:r>
        <w:t xml:space="preserve"/>
      </w:r>
    </w:p>
    <w:p>
      <w:pPr>
        <w:pStyle w:val="Heading2"/>
        <w:spacing w:after="100" w:before="240"/>
      </w:pPr>
      <w:r>
        <w:rPr>
          <w:rFonts w:ascii="Arial" w:cs="Arial" w:eastAsia="Arial" w:hAnsi="Arial"/>
          <w:b/>
          <w:bCs/>
          <w:color w:val="185FA5"/>
          <w:sz w:val="26"/>
          <w:szCs w:val="26"/>
        </w:rPr>
        <w:t xml:space="preserve">6.2 Automatic Payment Program — T-code F110</w:t>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F110 — Automatic Payment Run: Company Code NGMS, Run Date 19.04.2026, Payment Methods C (Cheque) and T (Bank Transfer)</w:t>
      </w:r>
    </w:p>
    <w:p>
      <w:pPr>
        <w:spacing w:after="40" w:before="40"/>
      </w:pPr>
      <w:r>
        <w:t xml:space="preserve"/>
      </w:r>
    </w:p>
    <w:p>
      <w:pPr>
        <w:pStyle w:val="Heading2"/>
        <w:spacing w:after="100" w:before="240"/>
      </w:pPr>
      <w:r>
        <w:rPr>
          <w:rFonts w:ascii="Arial" w:cs="Arial" w:eastAsia="Arial" w:hAnsi="Arial"/>
          <w:b/>
          <w:bCs/>
          <w:color w:val="185FA5"/>
          <w:sz w:val="26"/>
          <w:szCs w:val="26"/>
        </w:rPr>
        <w:t xml:space="preserve">6.3 Order-to-Cash (O2C) Cycle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5240"/>
      </w:tblGrid>
      <w:tr>
        <w:trPr>
          <w:tblHeader/>
        </w:trPr>
        <w:tc>
          <w:tcPr>
            <w:tcW w:type="dxa" w:w="6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Step</w:t>
            </w:r>
          </w:p>
        </w:tc>
        <w:tc>
          <w:tcPr>
            <w:tcW w:type="dxa" w:w="28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Activity</w:t>
            </w:r>
          </w:p>
        </w:tc>
        <w:tc>
          <w:tcPr>
            <w:tcW w:type="dxa" w:w="18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T-Code</w:t>
            </w:r>
          </w:p>
        </w:tc>
        <w:tc>
          <w:tcPr>
            <w:tcW w:type="dxa" w:w="524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Result</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1</w:t>
            </w:r>
          </w:p>
        </w:tc>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Create Sales Quotation</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VA21</w:t>
            </w:r>
          </w:p>
        </w:tc>
        <w:tc>
          <w:tcPr>
            <w:tcW w:type="dxa" w:w="5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Quotation</w:t>
            </w:r>
          </w:p>
        </w:tc>
      </w:tr>
      <w:tr>
        <w:tc>
          <w:tcPr>
            <w:tcW w:type="dxa" w:w="6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2</w:t>
            </w:r>
          </w:p>
        </w:tc>
        <w:tc>
          <w:tcPr>
            <w:tcW w:type="dxa" w:w="28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Create Sales Order</w:t>
            </w:r>
          </w:p>
        </w:tc>
        <w:tc>
          <w:tcPr>
            <w:tcW w:type="dxa" w:w="18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VA01</w:t>
            </w:r>
          </w:p>
        </w:tc>
        <w:tc>
          <w:tcPr>
            <w:tcW w:type="dxa" w:w="52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SO 1000000001</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3</w:t>
            </w:r>
          </w:p>
        </w:tc>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Availability Check</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Automatic</w:t>
            </w:r>
          </w:p>
        </w:tc>
        <w:tc>
          <w:tcPr>
            <w:tcW w:type="dxa" w:w="5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Confirmed Dates</w:t>
            </w:r>
          </w:p>
        </w:tc>
      </w:tr>
      <w:tr>
        <w:tc>
          <w:tcPr>
            <w:tcW w:type="dxa" w:w="6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4</w:t>
            </w:r>
          </w:p>
        </w:tc>
        <w:tc>
          <w:tcPr>
            <w:tcW w:type="dxa" w:w="28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Create Outbound Delivery</w:t>
            </w:r>
          </w:p>
        </w:tc>
        <w:tc>
          <w:tcPr>
            <w:tcW w:type="dxa" w:w="18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VL01N</w:t>
            </w:r>
          </w:p>
        </w:tc>
        <w:tc>
          <w:tcPr>
            <w:tcW w:type="dxa" w:w="52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Delivery Doc</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5</w:t>
            </w:r>
          </w:p>
        </w:tc>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Post Goods Issue</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VL02N</w:t>
            </w:r>
          </w:p>
        </w:tc>
        <w:tc>
          <w:tcPr>
            <w:tcW w:type="dxa" w:w="5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COGS Posting</w:t>
            </w:r>
          </w:p>
        </w:tc>
      </w:tr>
      <w:tr>
        <w:tc>
          <w:tcPr>
            <w:tcW w:type="dxa" w:w="6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6</w:t>
            </w:r>
          </w:p>
        </w:tc>
        <w:tc>
          <w:tcPr>
            <w:tcW w:type="dxa" w:w="28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Create Customer Invoice</w:t>
            </w:r>
          </w:p>
        </w:tc>
        <w:tc>
          <w:tcPr>
            <w:tcW w:type="dxa" w:w="18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VF01</w:t>
            </w:r>
          </w:p>
        </w:tc>
        <w:tc>
          <w:tcPr>
            <w:tcW w:type="dxa" w:w="52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Billing Doc + FI</w:t>
            </w:r>
          </w:p>
        </w:tc>
      </w:tr>
      <w:tr>
        <w:tc>
          <w:tcPr>
            <w:tcW w:type="dxa" w:w="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7</w:t>
            </w:r>
          </w:p>
        </w:tc>
        <w:tc>
          <w:tcPr>
            <w:tcW w:type="dxa" w:w="2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Post Customer Payment</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F-28</w:t>
            </w:r>
          </w:p>
        </w:tc>
        <w:tc>
          <w:tcPr>
            <w:tcW w:type="dxa" w:w="5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Clearing Doc</w:t>
            </w:r>
          </w:p>
        </w:tc>
      </w:tr>
    </w:tbl>
    <w:p>
      <w:pPr>
        <w:spacing w:after="40" w:before="40"/>
      </w:pPr>
      <w:r>
        <w:t xml:space="preserve"/>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O2C Step 2 — VA01: Sales Order for CUST-001 (AutoTech), MAT-003 x 200 EA, Net INR 25,00,000</w:t>
      </w:r>
    </w:p>
    <w:p>
      <w:pPr>
        <w:spacing w:after="40" w:before="40"/>
      </w:pPr>
      <w:r>
        <w:t xml:space="preserve"/>
      </w:r>
    </w:p>
    <w:p>
      <w:pPr>
        <w:spacing w:after="40" w:before="8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781425"/>
                    </a:xfrm>
                    <a:prstGeom prst="rect">
                      <a:avLst/>
                    </a:prstGeom>
                  </pic:spPr>
                </pic:pic>
              </a:graphicData>
            </a:graphic>
          </wp:inline>
        </w:drawing>
      </w:r>
    </w:p>
    <w:p>
      <w:pPr>
        <w:pBdr>
          <w:top w:val="single" w:color="CCCCCC" w:sz="2" w:space="1"/>
        </w:pBdr>
        <w:spacing w:after="120" w:before="0"/>
        <w:jc w:val="center"/>
      </w:pPr>
      <w:r>
        <w:rPr>
          <w:rFonts w:ascii="Arial" w:cs="Arial" w:eastAsia="Arial" w:hAnsi="Arial"/>
          <w:b/>
          <w:bCs/>
          <w:color w:val="185FA5"/>
          <w:sz w:val="18"/>
          <w:szCs w:val="18"/>
        </w:rPr>
        <w:t xml:space="preserve">Fig: </w:t>
      </w:r>
      <w:r>
        <w:rPr>
          <w:rFonts w:ascii="Arial" w:cs="Arial" w:eastAsia="Arial" w:hAnsi="Arial"/>
          <w:color w:val="444444"/>
          <w:sz w:val="18"/>
          <w:szCs w:val="18"/>
        </w:rPr>
        <w:t xml:space="preserve">O2C Step 6 — VF01: Customer Invoice F2, FI Document Dr Customer CUST-001 / Cr Revenue 400000 / Cr GST 220000</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single" w:color="E8A000" w:sz="1"/>
              <w:left w:val="single" w:color="E8A000" w:sz="6"/>
              <w:bottom w:val="single" w:color="E8A000" w:sz="1"/>
              <w:right w:val="single" w:color="E8A000" w:sz="1"/>
            </w:tcBorders>
            <w:shd w:fill="FFFBF0" w:val="clear"/>
            <w:tcMar>
              <w:top w:type="dxa" w:w="100"/>
              <w:left w:type="dxa" w:w="160"/>
              <w:bottom w:type="dxa" w:w="100"/>
              <w:right w:type="dxa" w:w="160"/>
            </w:tcMar>
          </w:tcPr>
          <w:p>
            <w:pPr>
              <w:spacing w:after="40" w:before="0"/>
            </w:pPr>
            <w:r>
              <w:rPr>
                <w:rFonts w:ascii="Arial" w:cs="Arial" w:eastAsia="Arial" w:hAnsi="Arial"/>
                <w:b/>
                <w:bCs/>
                <w:color w:val="854F0B"/>
                <w:sz w:val="20"/>
                <w:szCs w:val="20"/>
              </w:rPr>
              <w:t xml:space="preserve">Student Observations / Notes:</w:t>
            </w:r>
          </w:p>
          <w:p>
            <w:pPr>
              <w:spacing w:after="0" w:before="40"/>
            </w:pPr>
            <w:r>
              <w:rPr>
                <w:rFonts w:ascii="Arial" w:cs="Arial" w:eastAsia="Arial" w:hAnsi="Arial"/>
                <w:color w:val="DDDDDD"/>
                <w:sz w:val="20"/>
                <w:szCs w:val="20"/>
              </w:rPr>
              <w:t xml:space="preserve">_______________________________________________________________________________________________</w:t>
            </w:r>
          </w:p>
          <w:p>
            <w:pPr>
              <w:spacing w:after="0" w:before="80"/>
            </w:pPr>
            <w:r>
              <w:rPr>
                <w:rFonts w:ascii="Arial" w:cs="Arial" w:eastAsia="Arial" w:hAnsi="Arial"/>
                <w:color w:val="DDDDDD"/>
                <w:sz w:val="20"/>
                <w:szCs w:val="20"/>
              </w:rPr>
              <w:t xml:space="preserve">_______________________________________________________________________________________________</w:t>
            </w:r>
          </w:p>
          <w:p>
            <w:pPr>
              <w:spacing w:after="0" w:before="80"/>
            </w:pPr>
            <w:r>
              <w:rPr>
                <w:rFonts w:ascii="Arial" w:cs="Arial" w:eastAsia="Arial" w:hAnsi="Arial"/>
                <w:color w:val="DDDDDD"/>
                <w:sz w:val="20"/>
                <w:szCs w:val="20"/>
              </w:rPr>
              <w:t xml:space="preserve">_______________________________________________________________________________________________</w:t>
            </w:r>
          </w:p>
        </w:tc>
      </w:tr>
    </w:tbl>
    <w:p>
      <w:r>
        <w:br w:type="page"/>
      </w:r>
    </w:p>
    <w:p>
      <w:pPr>
        <w:pStyle w:val="Heading1"/>
        <w:pBdr>
          <w:bottom w:val="single" w:color="0070D2" w:sz="8" w:space="1"/>
        </w:pBdr>
        <w:spacing w:after="160" w:before="360"/>
      </w:pPr>
      <w:r>
        <w:rPr>
          <w:rFonts w:ascii="Arial" w:cs="Arial" w:eastAsia="Arial" w:hAnsi="Arial"/>
          <w:b/>
          <w:bCs/>
          <w:color w:val="003366"/>
          <w:sz w:val="36"/>
          <w:szCs w:val="36"/>
        </w:rPr>
        <w:t xml:space="preserve">7. Module Integration Points</w:t>
      </w:r>
    </w:p>
    <w:p>
      <w:pPr>
        <w:pStyle w:val="Heading2"/>
        <w:spacing w:after="100" w:before="240"/>
      </w:pPr>
      <w:r>
        <w:rPr>
          <w:rFonts w:ascii="Arial" w:cs="Arial" w:eastAsia="Arial" w:hAnsi="Arial"/>
          <w:b/>
          <w:bCs/>
          <w:color w:val="185FA5"/>
          <w:sz w:val="26"/>
          <w:szCs w:val="26"/>
        </w:rPr>
        <w:t xml:space="preserve">7.1 MM — FI Integration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5040"/>
      </w:tblGrid>
      <w:tr>
        <w:trPr>
          <w:tblHeader/>
        </w:trPr>
        <w:tc>
          <w:tcPr>
            <w:tcW w:type="dxa" w:w="30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Business Event</w:t>
            </w:r>
          </w:p>
        </w:tc>
        <w:tc>
          <w:tcPr>
            <w:tcW w:type="dxa" w:w="24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MM Action</w:t>
            </w:r>
          </w:p>
        </w:tc>
        <w:tc>
          <w:tcPr>
            <w:tcW w:type="dxa" w:w="504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 Posting</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Goods Receipt (GR)</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Mvt Type 101 in MIGO</w:t>
            </w:r>
          </w:p>
        </w:tc>
        <w:tc>
          <w:tcPr>
            <w:tcW w:type="dxa" w:w="50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Dr Stock A/c 130500 / Cr GR-IR 210500</w:t>
            </w:r>
          </w:p>
        </w:tc>
      </w:tr>
      <w:tr>
        <w:tc>
          <w:tcPr>
            <w:tcW w:type="dxa" w:w="3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Invoice Verification</w:t>
            </w:r>
          </w:p>
        </w:tc>
        <w:tc>
          <w:tcPr>
            <w:tcW w:type="dxa" w:w="24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MIRO posting</w:t>
            </w:r>
          </w:p>
        </w:tc>
        <w:tc>
          <w:tcPr>
            <w:tcW w:type="dxa" w:w="50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Dr GR-IR 210500 / Cr Vendor A/c 210000</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Payment Run</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F110 APP</w:t>
            </w:r>
          </w:p>
        </w:tc>
        <w:tc>
          <w:tcPr>
            <w:tcW w:type="dxa" w:w="50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Dr Vendor A/c 210000 / Cr Bank A/c 100010</w:t>
            </w:r>
          </w:p>
        </w:tc>
      </w:tr>
      <w:tr>
        <w:tc>
          <w:tcPr>
            <w:tcW w:type="dxa" w:w="3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Goods Issue (GI)</w:t>
            </w:r>
          </w:p>
        </w:tc>
        <w:tc>
          <w:tcPr>
            <w:tcW w:type="dxa" w:w="24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Mvt Type 201 MIGO</w:t>
            </w:r>
          </w:p>
        </w:tc>
        <w:tc>
          <w:tcPr>
            <w:tcW w:type="dxa" w:w="50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Dr Consumption 500000 / Cr Stock 130500</w:t>
            </w:r>
          </w:p>
        </w:tc>
      </w:tr>
    </w:tbl>
    <w:p>
      <w:pPr>
        <w:spacing w:after="40" w:before="40"/>
      </w:pPr>
      <w:r>
        <w:t xml:space="preserve"/>
      </w:r>
    </w:p>
    <w:p>
      <w:pPr>
        <w:pStyle w:val="Heading2"/>
        <w:spacing w:after="100" w:before="240"/>
      </w:pPr>
      <w:r>
        <w:rPr>
          <w:rFonts w:ascii="Arial" w:cs="Arial" w:eastAsia="Arial" w:hAnsi="Arial"/>
          <w:b/>
          <w:bCs/>
          <w:color w:val="185FA5"/>
          <w:sz w:val="26"/>
          <w:szCs w:val="26"/>
        </w:rPr>
        <w:t xml:space="preserve">7.2 SD — FI Integration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5040"/>
      </w:tblGrid>
      <w:tr>
        <w:trPr>
          <w:tblHeader/>
        </w:trPr>
        <w:tc>
          <w:tcPr>
            <w:tcW w:type="dxa" w:w="30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Business Event</w:t>
            </w:r>
          </w:p>
        </w:tc>
        <w:tc>
          <w:tcPr>
            <w:tcW w:type="dxa" w:w="240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SD Action</w:t>
            </w:r>
          </w:p>
        </w:tc>
        <w:tc>
          <w:tcPr>
            <w:tcW w:type="dxa" w:w="5040"/>
            <w:tcBorders>
              <w:top w:val="single" w:color="4A90C4" w:sz="1"/>
              <w:left w:val="single" w:color="4A90C4" w:sz="1"/>
              <w:bottom w:val="single" w:color="4A90C4" w:sz="1"/>
              <w:right w:val="single" w:color="4A90C4" w:sz="1"/>
            </w:tcBorders>
            <w:shd w:fill="00336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 Posting</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Goods Issue on Delivery</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VL02N Post GI</w:t>
            </w:r>
          </w:p>
        </w:tc>
        <w:tc>
          <w:tcPr>
            <w:tcW w:type="dxa" w:w="50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Dr COGS 500100 / Cr Fin. Goods Stock 130600</w:t>
            </w:r>
          </w:p>
        </w:tc>
      </w:tr>
      <w:tr>
        <w:tc>
          <w:tcPr>
            <w:tcW w:type="dxa" w:w="3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Customer Billing</w:t>
            </w:r>
          </w:p>
        </w:tc>
        <w:tc>
          <w:tcPr>
            <w:tcW w:type="dxa" w:w="24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VF01 Create Invoice</w:t>
            </w:r>
          </w:p>
        </w:tc>
        <w:tc>
          <w:tcPr>
            <w:tcW w:type="dxa" w:w="50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Dr Customer 130000 / Cr Revenue 400000</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GST Output Tax</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VF01 MWST condition</w:t>
            </w:r>
          </w:p>
        </w:tc>
        <w:tc>
          <w:tcPr>
            <w:tcW w:type="dxa" w:w="50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rFonts w:ascii="Arial" w:cs="Arial" w:eastAsia="Arial" w:hAnsi="Arial"/>
                <w:color w:val="444444"/>
                <w:sz w:val="19"/>
                <w:szCs w:val="19"/>
              </w:rPr>
              <w:t xml:space="preserve">Dr Customer 130000 / Cr GST Output 220000</w:t>
            </w:r>
          </w:p>
        </w:tc>
      </w:tr>
      <w:tr>
        <w:tc>
          <w:tcPr>
            <w:tcW w:type="dxa" w:w="30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Customer Payment</w:t>
            </w:r>
          </w:p>
        </w:tc>
        <w:tc>
          <w:tcPr>
            <w:tcW w:type="dxa" w:w="240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F-28</w:t>
            </w:r>
          </w:p>
        </w:tc>
        <w:tc>
          <w:tcPr>
            <w:tcW w:type="dxa" w:w="5040"/>
            <w:tcBorders>
              <w:top w:val="single" w:color="BBBBBB" w:sz="1"/>
              <w:left w:val="single" w:color="BBBBBB" w:sz="1"/>
              <w:bottom w:val="single" w:color="BBBBBB" w:sz="1"/>
              <w:right w:val="single" w:color="BBBBBB" w:sz="1"/>
            </w:tcBorders>
            <w:shd w:fill="E6F1FB" w:val="clear"/>
            <w:tcMar>
              <w:top w:type="dxa" w:w="70"/>
              <w:left w:type="dxa" w:w="110"/>
              <w:bottom w:type="dxa" w:w="70"/>
              <w:right w:type="dxa" w:w="110"/>
            </w:tcMar>
          </w:tcPr>
          <w:p>
            <w:r>
              <w:rPr>
                <w:rFonts w:ascii="Arial" w:cs="Arial" w:eastAsia="Arial" w:hAnsi="Arial"/>
                <w:color w:val="444444"/>
                <w:sz w:val="19"/>
                <w:szCs w:val="19"/>
              </w:rPr>
              <w:t xml:space="preserve">Dr Bank 100010 / Cr Customer 130000</w:t>
            </w:r>
          </w:p>
        </w:tc>
      </w:tr>
    </w:tbl>
    <w:p>
      <w:pPr>
        <w:spacing w:after="40" w:before="40"/>
      </w:pPr>
      <w:r>
        <w:t xml:space="preserve"/>
      </w:r>
    </w:p>
    <w:p>
      <w:pPr>
        <w:pStyle w:val="Heading1"/>
        <w:pBdr>
          <w:bottom w:val="single" w:color="0070D2" w:sz="8" w:space="1"/>
        </w:pBdr>
        <w:spacing w:after="160" w:before="360"/>
      </w:pPr>
      <w:r>
        <w:rPr>
          <w:rFonts w:ascii="Arial" w:cs="Arial" w:eastAsia="Arial" w:hAnsi="Arial"/>
          <w:b/>
          <w:bCs/>
          <w:color w:val="003366"/>
          <w:sz w:val="36"/>
          <w:szCs w:val="36"/>
        </w:rPr>
        <w:t xml:space="preserve">8. Conclusion</w:t>
      </w:r>
    </w:p>
    <w:p>
      <w:pPr>
        <w:spacing w:after="80" w:before="60"/>
        <w:jc w:val="left"/>
      </w:pPr>
      <w:r>
        <w:rPr>
          <w:rFonts w:ascii="Arial" w:cs="Arial" w:eastAsia="Arial" w:hAnsi="Arial"/>
          <w:b w:val="false"/>
          <w:bCs w:val="false"/>
          <w:i w:val="false"/>
          <w:iCs w:val="false"/>
          <w:color w:val="444444"/>
          <w:sz w:val="22"/>
          <w:szCs w:val="22"/>
        </w:rPr>
        <w:t xml:space="preserve">This Business Blueprint for NexGen Manufacturing Solutions Pvt. Ltd. covers all aspects of an SAP ERP implementation across FI, MM, and SD functional modules. The document includes complete organizational structure, master data design, IMG customization steps with T-codes, and end-to-end business process flows validated with system screenshots.</w:t>
      </w:r>
    </w:p>
    <w:p>
      <w:pPr>
        <w:spacing w:after="40" w:before="40"/>
      </w:pPr>
      <w:r>
        <w:t xml:space="preserve"/>
      </w:r>
    </w:p>
    <w:p>
      <w:pPr>
        <w:pStyle w:val="Heading2"/>
        <w:spacing w:after="100" w:before="240"/>
      </w:pPr>
      <w:r>
        <w:rPr>
          <w:rFonts w:ascii="Arial" w:cs="Arial" w:eastAsia="Arial" w:hAnsi="Arial"/>
          <w:b/>
          <w:bCs/>
          <w:color w:val="185FA5"/>
          <w:sz w:val="26"/>
          <w:szCs w:val="26"/>
        </w:rPr>
        <w:t xml:space="preserve">Key Achievements</w:t>
      </w:r>
    </w:p>
    <w:p>
      <w:pPr>
        <w:pStyle w:val="ListParagraph"/>
        <w:numPr>
          <w:ilvl w:val="0"/>
          <w:numId w:val="2"/>
        </w:numPr>
        <w:spacing w:after="60" w:before="40"/>
      </w:pPr>
      <w:r>
        <w:rPr>
          <w:rFonts w:ascii="Arial" w:cs="Arial" w:eastAsia="Arial" w:hAnsi="Arial"/>
          <w:b w:val="false"/>
          <w:bCs w:val="false"/>
          <w:i w:val="false"/>
          <w:iCs w:val="false"/>
          <w:color w:val="444444"/>
          <w:sz w:val="22"/>
          <w:szCs w:val="22"/>
        </w:rPr>
        <w:t xml:space="preserve">Fictitious company NGMS designed with realistic multi-plant, multi-division structure.</w:t>
      </w:r>
    </w:p>
    <w:p>
      <w:pPr>
        <w:pStyle w:val="ListParagraph"/>
        <w:numPr>
          <w:ilvl w:val="0"/>
          <w:numId w:val="2"/>
        </w:numPr>
        <w:spacing w:after="60" w:before="40"/>
      </w:pPr>
      <w:r>
        <w:rPr>
          <w:rFonts w:ascii="Arial" w:cs="Arial" w:eastAsia="Arial" w:hAnsi="Arial"/>
          <w:b w:val="false"/>
          <w:bCs w:val="false"/>
          <w:i w:val="false"/>
          <w:iCs w:val="false"/>
          <w:color w:val="444444"/>
          <w:sz w:val="22"/>
          <w:szCs w:val="22"/>
        </w:rPr>
        <w:t xml:space="preserve">FI configured with CoA NGCA, G/L accounts, AP/AR, Asset Accounting, and Controlling.</w:t>
      </w:r>
    </w:p>
    <w:p>
      <w:pPr>
        <w:pStyle w:val="ListParagraph"/>
        <w:numPr>
          <w:ilvl w:val="0"/>
          <w:numId w:val="2"/>
        </w:numPr>
        <w:spacing w:after="60" w:before="40"/>
      </w:pPr>
      <w:r>
        <w:rPr>
          <w:rFonts w:ascii="Arial" w:cs="Arial" w:eastAsia="Arial" w:hAnsi="Arial"/>
          <w:b w:val="false"/>
          <w:bCs w:val="false"/>
          <w:i w:val="false"/>
          <w:iCs w:val="false"/>
          <w:color w:val="444444"/>
          <w:sz w:val="22"/>
          <w:szCs w:val="22"/>
        </w:rPr>
        <w:t xml:space="preserve">MM configured with Plants, Purchasing Org, Material Master, OBYC account determination.</w:t>
      </w:r>
    </w:p>
    <w:p>
      <w:pPr>
        <w:pStyle w:val="ListParagraph"/>
        <w:numPr>
          <w:ilvl w:val="0"/>
          <w:numId w:val="2"/>
        </w:numPr>
        <w:spacing w:after="60" w:before="40"/>
      </w:pPr>
      <w:r>
        <w:rPr>
          <w:rFonts w:ascii="Arial" w:cs="Arial" w:eastAsia="Arial" w:hAnsi="Arial"/>
          <w:b w:val="false"/>
          <w:bCs w:val="false"/>
          <w:i w:val="false"/>
          <w:iCs w:val="false"/>
          <w:color w:val="444444"/>
          <w:sz w:val="22"/>
          <w:szCs w:val="22"/>
        </w:rPr>
        <w:t xml:space="preserve">SD configured with Sales Org, Pricing Procedure NGPRC, Delivery, Billing, and VKOA.</w:t>
      </w:r>
    </w:p>
    <w:p>
      <w:pPr>
        <w:pStyle w:val="ListParagraph"/>
        <w:numPr>
          <w:ilvl w:val="0"/>
          <w:numId w:val="2"/>
        </w:numPr>
        <w:spacing w:after="60" w:before="40"/>
      </w:pPr>
      <w:r>
        <w:rPr>
          <w:rFonts w:ascii="Arial" w:cs="Arial" w:eastAsia="Arial" w:hAnsi="Arial"/>
          <w:b w:val="false"/>
          <w:bCs w:val="false"/>
          <w:i w:val="false"/>
          <w:iCs w:val="false"/>
          <w:color w:val="444444"/>
          <w:sz w:val="22"/>
          <w:szCs w:val="22"/>
        </w:rPr>
        <w:t xml:space="preserve">14 system screenshots demonstrating actual SAP screens across all modules.</w:t>
      </w:r>
    </w:p>
    <w:p>
      <w:pPr>
        <w:pStyle w:val="ListParagraph"/>
        <w:numPr>
          <w:ilvl w:val="0"/>
          <w:numId w:val="2"/>
        </w:numPr>
        <w:spacing w:after="60" w:before="40"/>
      </w:pPr>
      <w:r>
        <w:rPr>
          <w:rFonts w:ascii="Arial" w:cs="Arial" w:eastAsia="Arial" w:hAnsi="Arial"/>
          <w:b w:val="false"/>
          <w:bCs w:val="false"/>
          <w:i w:val="false"/>
          <w:iCs w:val="false"/>
          <w:color w:val="444444"/>
          <w:sz w:val="22"/>
          <w:szCs w:val="22"/>
        </w:rPr>
        <w:t xml:space="preserve">End-to-end P2P and O2C scenarios validated with transaction-level detail.</w:t>
      </w:r>
    </w:p>
    <w:p>
      <w:pPr>
        <w:spacing w:after="40" w:before="40"/>
      </w:pPr>
      <w:r>
        <w:t xml:space="preserve"/>
      </w:r>
    </w:p>
    <w:p>
      <w:pPr>
        <w:pStyle w:val="Heading2"/>
        <w:spacing w:after="100" w:before="240"/>
      </w:pPr>
      <w:r>
        <w:rPr>
          <w:rFonts w:ascii="Arial" w:cs="Arial" w:eastAsia="Arial" w:hAnsi="Arial"/>
          <w:b/>
          <w:bCs/>
          <w:color w:val="185FA5"/>
          <w:sz w:val="26"/>
          <w:szCs w:val="26"/>
        </w:rPr>
        <w:t xml:space="preserve">References</w:t>
      </w:r>
    </w:p>
    <w:p>
      <w:pPr>
        <w:pStyle w:val="ListParagraph"/>
        <w:numPr>
          <w:ilvl w:val="0"/>
          <w:numId w:val="2"/>
        </w:numPr>
        <w:spacing w:after="60" w:before="40"/>
      </w:pPr>
      <w:r>
        <w:rPr>
          <w:rFonts w:ascii="Arial" w:cs="Arial" w:eastAsia="Arial" w:hAnsi="Arial"/>
          <w:b w:val="false"/>
          <w:bCs w:val="false"/>
          <w:i w:val="false"/>
          <w:iCs w:val="false"/>
          <w:color w:val="444444"/>
          <w:sz w:val="22"/>
          <w:szCs w:val="22"/>
        </w:rPr>
        <w:t xml:space="preserve">SAP Help Portal — help.sap.com</w:t>
      </w:r>
    </w:p>
    <w:p>
      <w:pPr>
        <w:pStyle w:val="ListParagraph"/>
        <w:numPr>
          <w:ilvl w:val="0"/>
          <w:numId w:val="2"/>
        </w:numPr>
        <w:spacing w:after="60" w:before="40"/>
      </w:pPr>
      <w:r>
        <w:rPr>
          <w:rFonts w:ascii="Arial" w:cs="Arial" w:eastAsia="Arial" w:hAnsi="Arial"/>
          <w:b w:val="false"/>
          <w:bCs w:val="false"/>
          <w:i w:val="false"/>
          <w:iCs w:val="false"/>
          <w:color w:val="444444"/>
          <w:sz w:val="22"/>
          <w:szCs w:val="22"/>
        </w:rPr>
        <w:t xml:space="preserve">SAP S/4HANA Customizing Implementation Guide (SPRO / IMG)</w:t>
      </w:r>
    </w:p>
    <w:p>
      <w:pPr>
        <w:pStyle w:val="ListParagraph"/>
        <w:numPr>
          <w:ilvl w:val="0"/>
          <w:numId w:val="2"/>
        </w:numPr>
        <w:spacing w:after="60" w:before="40"/>
      </w:pPr>
      <w:r>
        <w:rPr>
          <w:rFonts w:ascii="Arial" w:cs="Arial" w:eastAsia="Arial" w:hAnsi="Arial"/>
          <w:b w:val="false"/>
          <w:bCs w:val="false"/>
          <w:i w:val="false"/>
          <w:iCs w:val="false"/>
          <w:color w:val="444444"/>
          <w:sz w:val="22"/>
          <w:szCs w:val="22"/>
        </w:rPr>
        <w:t xml:space="preserve">KIIT University SAP Course Material — FI, MM &amp; SD Modules</w:t>
      </w:r>
    </w:p>
    <w:p>
      <w:pPr>
        <w:pStyle w:val="ListParagraph"/>
        <w:numPr>
          <w:ilvl w:val="0"/>
          <w:numId w:val="2"/>
        </w:numPr>
        <w:spacing w:after="60" w:before="40"/>
      </w:pPr>
      <w:r>
        <w:rPr>
          <w:rFonts w:ascii="Arial" w:cs="Arial" w:eastAsia="Arial" w:hAnsi="Arial"/>
          <w:b w:val="false"/>
          <w:bCs w:val="false"/>
          <w:i w:val="false"/>
          <w:iCs w:val="false"/>
          <w:color w:val="444444"/>
          <w:sz w:val="22"/>
          <w:szCs w:val="22"/>
        </w:rPr>
        <w:t xml:space="preserve">SAP Best Practices Explorer — sap.com/best-practices</w:t>
      </w:r>
    </w:p>
    <w:p>
      <w:pPr>
        <w:spacing w:after="40" w:before="40"/>
      </w:pPr>
      <w:r>
        <w:t xml:space="preserve"/>
      </w:r>
    </w:p>
    <w:p>
      <w:pPr>
        <w:spacing w:after="40" w:before="40"/>
      </w:pPr>
      <w:r>
        <w:t xml:space="preserve"/>
      </w:r>
    </w:p>
    <w:p>
      <w:pPr>
        <w:pBdr>
          <w:top w:val="single" w:color="0070D2" w:sz="6" w:space="1"/>
        </w:pBdr>
        <w:spacing w:after="100" w:before="400"/>
        <w:jc w:val="center"/>
      </w:pPr>
      <w:r>
        <w:rPr>
          <w:rFonts w:ascii="Arial" w:cs="Arial" w:eastAsia="Arial" w:hAnsi="Arial"/>
          <w:i/>
          <w:iCs/>
          <w:color w:val="999999"/>
          <w:sz w:val="20"/>
          <w:szCs w:val="20"/>
        </w:rPr>
        <w:t xml:space="preserve">— End of Document —</w:t>
      </w:r>
    </w:p>
    <w:p>
      <w:pPr>
        <w:jc w:val="center"/>
      </w:pPr>
      <w:r>
        <w:rPr>
          <w:rFonts w:ascii="Arial" w:cs="Arial" w:eastAsia="Arial" w:hAnsi="Arial"/>
          <w:color w:val="185FA5"/>
          <w:sz w:val="18"/>
          <w:szCs w:val="18"/>
        </w:rPr>
        <w:t xml:space="preserve">NexGen Manufacturing Solutions Pvt. Ltd.  |  SAP Blueprint  |  KIIT University  |  2026</w:t>
      </w:r>
    </w:p>
    <w:sectPr>
      <w:headerReference w:type="default" r:id="rId7"/>
      <w:footerReference w:type="default" r:id="rId8"/>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D2" w:sz="4" w:space="1"/>
      </w:pBdr>
    </w:pPr>
    <w:r>
      <w:rPr>
        <w:rFonts w:ascii="Arial" w:cs="Arial" w:eastAsia="Arial" w:hAnsi="Arial"/>
        <w:color w:val="999999"/>
        <w:sz w:val="18"/>
        <w:szCs w:val="18"/>
      </w:rPr>
      <w:t xml:space="preserve">Confidential — For Academic Purposes Only          </w:t>
    </w:r>
    <w:r>
      <w:rPr>
        <w:rFonts w:ascii="Arial" w:cs="Arial" w:eastAsia="Arial" w:hAnsi="Arial"/>
        <w:color w:val="185FA5"/>
        <w:sz w:val="18"/>
        <w:szCs w:val="18"/>
      </w:rPr>
      <w:t xml:space="preserve">FI  |  MM  |  SD  — Company Code NGMS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D2" w:sz="4" w:space="1"/>
      </w:pBdr>
    </w:pPr>
    <w:r>
      <w:rPr>
        <w:rFonts w:ascii="Arial" w:cs="Arial" w:eastAsia="Arial" w:hAnsi="Arial"/>
        <w:color w:val="185FA5"/>
        <w:sz w:val="18"/>
        <w:szCs w:val="18"/>
      </w:rPr>
      <w:t xml:space="preserve">SAP ERP Blueprint — NexGen Manufacturing Solutions Pvt. Ltd.</w:t>
    </w:r>
    <w:r>
      <w:rPr>
        <w:rFonts w:ascii="Arial" w:cs="Arial" w:eastAsia="Arial" w:hAnsi="Arial"/>
        <w:color w:val="999999"/>
        <w:sz w:val="18"/>
        <w:szCs w:val="18"/>
      </w:rPr>
      <w:t xml:space="preserve">          KIIT University Project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3366"/>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85FA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70D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6339655ed92e2f5ce30cb389eb73448e0ac908.png"/><Relationship Id="rId10" Type="http://schemas.openxmlformats.org/officeDocument/2006/relationships/image" Target="media/5dd35d5b88d32484e39e3f013f3759ece3d496fb.png"/><Relationship Id="rId11" Type="http://schemas.openxmlformats.org/officeDocument/2006/relationships/image" Target="media/fd4178e6111a3a9f260f1ccbd0d3ea10f419b858.png"/><Relationship Id="rId12" Type="http://schemas.openxmlformats.org/officeDocument/2006/relationships/image" Target="media/219ccf42032ec4feffa2cff64bc5e0beb679dcc2.png"/><Relationship Id="rId13" Type="http://schemas.openxmlformats.org/officeDocument/2006/relationships/image" Target="media/4322f096880e5a615a26f584a1e374d42e38d086.png"/><Relationship Id="rId14" Type="http://schemas.openxmlformats.org/officeDocument/2006/relationships/image" Target="media/6d2f6ba8c1e69cd2351609f1d94eb00c2691d22c.png"/><Relationship Id="rId15" Type="http://schemas.openxmlformats.org/officeDocument/2006/relationships/image" Target="media/5832366d1e18c89a52eafa803c3f0b6d0689a9cd.png"/><Relationship Id="rId16" Type="http://schemas.openxmlformats.org/officeDocument/2006/relationships/image" Target="media/17036f4d9444c23f6bfd54956bb28923812d7c04.png"/><Relationship Id="rId17" Type="http://schemas.openxmlformats.org/officeDocument/2006/relationships/image" Target="media/9669e54bcf9db0f11da32c210e079bf4ae7e9ad5.png"/><Relationship Id="rId18" Type="http://schemas.openxmlformats.org/officeDocument/2006/relationships/image" Target="media/09cd14b02cb3e17a093e1ca7529b57fc505d76d1.png"/><Relationship Id="rId19" Type="http://schemas.openxmlformats.org/officeDocument/2006/relationships/image" Target="media/a958e5ba9163086dbe23a1d13a0f5b876d496163.png"/><Relationship Id="rId20" Type="http://schemas.openxmlformats.org/officeDocument/2006/relationships/image" Target="media/c5d749177619825497ec4e72e1e2e41536c3923b.png"/><Relationship Id="rId21" Type="http://schemas.openxmlformats.org/officeDocument/2006/relationships/image" Target="media/e9dc5d0f8cceb0d97bec89e93a4d95f745bae3b9.png"/><Relationship Id="rId22" Type="http://schemas.openxmlformats.org/officeDocument/2006/relationships/image" Target="media/801b8a91754bd6e3a40811e76f02c9371de6b903.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2026-04-19T18:04:10.122Z</dcterms:created>
  <dcterms:modified xsi:type="dcterms:W3CDTF">2026-04-19T18:04:10.123Z</dcterms:modified>
</cp:coreProperties>
</file>

<file path=docProps/custom.xml><?xml version="1.0" encoding="utf-8"?>
<Properties xmlns="http://schemas.openxmlformats.org/officeDocument/2006/custom-properties" xmlns:vt="http://schemas.openxmlformats.org/officeDocument/2006/docPropsVTypes"/>
</file>