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Design Document</w:t>
      </w:r>
    </w:p>
    <w:p>
      <w:pPr>
        <w:pStyle w:val="Heading1"/>
      </w:pPr>
      <w:r>
        <w:t>Enhancement for Vendor Invoice Posting Compliance – SAP FI</w:t>
      </w:r>
    </w:p>
    <w:p>
      <w:pPr>
        <w:pStyle w:val="Heading2"/>
      </w:pPr>
      <w:r>
        <w:t>Table of Contents</w:t>
      </w:r>
    </w:p>
    <w:p>
      <w:pPr>
        <w:pStyle w:val="ListNumber"/>
      </w:pPr>
      <w:r>
        <w:t>1. Introduction</w:t>
      </w:r>
    </w:p>
    <w:p>
      <w:pPr>
        <w:pStyle w:val="ListNumber"/>
      </w:pPr>
      <w:r>
        <w:t>2. Business Requirements</w:t>
      </w:r>
    </w:p>
    <w:p>
      <w:pPr>
        <w:pStyle w:val="ListNumber"/>
      </w:pPr>
      <w:r>
        <w:t>3. Solution Overview</w:t>
      </w:r>
    </w:p>
    <w:p>
      <w:pPr>
        <w:pStyle w:val="ListNumber"/>
      </w:pPr>
      <w:r>
        <w:t>4. Functional Requirements</w:t>
      </w:r>
    </w:p>
    <w:p>
      <w:pPr>
        <w:pStyle w:val="ListNumber"/>
      </w:pPr>
      <w:r>
        <w:t>5. Enhancement Design</w:t>
      </w:r>
    </w:p>
    <w:p>
      <w:pPr>
        <w:pStyle w:val="ListNumber"/>
      </w:pPr>
      <w:r>
        <w:t>6. Security &amp; Authorization</w:t>
      </w:r>
    </w:p>
    <w:p>
      <w:pPr>
        <w:pStyle w:val="ListNumber"/>
      </w:pPr>
      <w:r>
        <w:t>7. Test Cases</w:t>
      </w:r>
    </w:p>
    <w:p>
      <w:pPr>
        <w:pStyle w:val="ListNumber"/>
      </w:pPr>
      <w:r>
        <w:t>8. Assumptions &amp; Constraints</w:t>
      </w:r>
    </w:p>
    <w:p>
      <w:pPr>
        <w:pStyle w:val="ListNumber"/>
      </w:pPr>
      <w:r>
        <w:t>9. Appendix</w:t>
      </w:r>
    </w:p>
    <w:p>
      <w:pPr>
        <w:pStyle w:val="Heading2"/>
      </w:pPr>
      <w:r>
        <w:t>1. Introduction</w:t>
      </w:r>
    </w:p>
    <w:p>
      <w:r>
        <w:t>A multinational retail organization running SAP S/4HANA aims to improve compliance and reduce risk in its vendor invoice posting process within the Financial Accounting (FI) module. To meet stricter internal audit requirements, an enhancement is needed to automatically validate vendor bank account changes and duplicate invoice references during manual postings.</w:t>
      </w:r>
    </w:p>
    <w:p>
      <w:pPr>
        <w:pStyle w:val="Heading2"/>
      </w:pPr>
      <w:r>
        <w:t>2. Business Requirements</w:t>
      </w:r>
    </w:p>
    <w:p>
      <w:r>
        <w:t>The company needs an automated solution that, during vendor invoice posting (FB60), performs real-time checks for: (1) any updates to the vendor’s bank account information in the last 30 days, with a prompt for user confirmation before posting, and (2) duplicate invoice reference numbers for the same vendor within the current fiscal year, with a configurable response (warning or block). All overrides or exceptions should be logged for audit trail, and user messages must be clear and actionable. The enhancement must be seamlessly integrated into the standard posting process.</w:t>
      </w:r>
    </w:p>
    <w:p>
      <w:pPr>
        <w:pStyle w:val="Heading2"/>
      </w:pPr>
      <w:r>
        <w:t>3. Solution Overview</w:t>
      </w:r>
    </w:p>
    <w:p>
      <w:r>
        <w:t>The solution involves implementing a user exit or BADI (Business Add-In) in the SAP FI module to inject additional validation logic into the FB60 vendor invoice posting transaction. Upon attempting to post an invoice, the system will check the vendor master data (LFBK, LFA1) for recent changes to bank account information and prompt the user if any were made in the last 30 days. Additionally, it will cross-check BSIK/BSAK tables for duplicate invoice references for the same vendor within the fiscal year. Depending on configuration, the system will either issue a warning (allowing override with mandatory justification) or block the posting. All such events will be logged for subsequent audit review. The enhancement will be implemented in a way that is transparent to the user, integrated with existing screens and user messages.</w:t>
      </w:r>
    </w:p>
    <w:p>
      <w:pPr>
        <w:pStyle w:val="Heading2"/>
      </w:pPr>
      <w:r>
        <w:t>4. Functional Requirements</w:t>
      </w:r>
    </w:p>
    <w:p>
      <w:r>
        <w:t>- Trigger validation during FB60 invoice posting before final posting step</w:t>
        <w:br/>
        <w:t>- Retrieve vendor bank details change date from LFBK/LFA1</w:t>
        <w:br/>
        <w:t>- If bank details were modified within 30 days, prompt user to confirm and capture response</w:t>
        <w:br/>
        <w:t>- Check BSIK/BSAK for existing invoice reference for the same vendor and fiscal year</w:t>
        <w:br/>
        <w:t>- If duplicate found, issue warning or block as per configuration</w:t>
        <w:br/>
        <w:t>- Capture and log all overrides, warnings, and exceptions with user ID, date, and justification</w:t>
        <w:br/>
        <w:t>- User-friendly messages integrated into the FB60 screen</w:t>
        <w:br/>
        <w:t>- No disruption to standard posting for invoices not meeting criteria</w:t>
      </w:r>
    </w:p>
    <w:p>
      <w:pPr>
        <w:pStyle w:val="Heading2"/>
      </w:pPr>
      <w:r>
        <w:t>5. Enhancement Design</w:t>
      </w:r>
    </w:p>
    <w:p>
      <w:r>
        <w:t>A suitable BADI (such as BADI_FDCB_SUBBAS01 or a relevant user exit) will be enhanced to include custom logic. Logic will query vendor bank master data to determine last change date and compare it to system date. If within 30 days, a popup will prompt user confirmation. For duplicate invoice check, the system will compare the entered reference with historic entries for the same vendor and fiscal year, using BSIK/BSAK tables. Customizable configuration (via custom table or settings) will control whether a warning or block is issued. All override events and user responses will be written to a custom audit table for reporting and review.</w:t>
      </w:r>
    </w:p>
    <w:p>
      <w:pPr>
        <w:pStyle w:val="Heading2"/>
      </w:pPr>
      <w:r>
        <w:t>6. Security &amp; Authorization</w:t>
      </w:r>
    </w:p>
    <w:p>
      <w:r>
        <w:t>Only authorized users (accounts payable clerks, managers, and auditors) will have access to override blocked postings, view detailed audit logs, and configure the enhancement settings.</w:t>
      </w:r>
    </w:p>
    <w:p>
      <w:pPr>
        <w:pStyle w:val="Heading2"/>
      </w:pPr>
      <w:r>
        <w:t>7. Test Cases</w:t>
      </w:r>
    </w:p>
    <w:p>
      <w:r>
        <w:t>1. User posts invoice where vendor bank details changed within 30 days – system prompts for confirmation and records response</w:t>
        <w:br/>
        <w:t>2. User enters duplicate invoice reference for same vendor and fiscal year – system issues warning, allows override with mandatory comment</w:t>
        <w:br/>
        <w:t>3. User enters duplicate invoice reference and configuration set to 'block' – system blocks posting</w:t>
        <w:br/>
        <w:t>4. Invoices not meeting criteria post as standard</w:t>
        <w:br/>
        <w:t>5. Audit log captures user actions, overrides, and justifications</w:t>
        <w:br/>
        <w:t>6. Only authorized users can override or view audit log</w:t>
        <w:br/>
        <w:t>7. Messages displayed are clear and user-friendly</w:t>
      </w:r>
    </w:p>
    <w:p>
      <w:pPr>
        <w:pStyle w:val="Heading2"/>
      </w:pPr>
      <w:r>
        <w:t>8. Assumptions &amp; Constraints</w:t>
      </w:r>
    </w:p>
    <w:p>
      <w:r>
        <w:t>- Vendor master and document tables are updated and accessible</w:t>
        <w:br/>
        <w:t>- Audit log storage is adequately sized for transaction volume</w:t>
        <w:br/>
        <w:t>- Change history for bank details is reliably captured in standard tables</w:t>
        <w:br/>
        <w:t>- The solution is developed for the current SAP S/4HANA environment</w:t>
        <w:br/>
        <w:t>- Business rules for warning/blocking are defined prior to development</w:t>
      </w:r>
    </w:p>
    <w:p>
      <w:pPr>
        <w:pStyle w:val="Heading2"/>
      </w:pPr>
      <w:r>
        <w:t>9. Appendix</w:t>
      </w:r>
    </w:p>
    <w:p>
      <w:r>
        <w:t>Additional configuration settings, sample popup screens, and audit log formats will be provided during the realization phase.</w:t>
      </w:r>
    </w:p>
    <w:p>
      <w:r>
        <w:t>Document generated on: 2025-06-09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