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6EB84">
      <w:pPr>
        <w:rPr>
          <w:rFonts w:hint="default"/>
        </w:rPr>
      </w:pPr>
      <w:r>
        <w:rPr>
          <w:rFonts w:hint="default"/>
        </w:rPr>
        <w:t>Skyline Commercial Hub – Mumbai (Design Development)</w:t>
      </w:r>
    </w:p>
    <w:p w14:paraId="2E28FBF3">
      <w:pPr>
        <w:rPr>
          <w:rFonts w:hint="default"/>
        </w:rPr>
      </w:pPr>
    </w:p>
    <w:p w14:paraId="3095A9BE">
      <w:pPr>
        <w:rPr>
          <w:rFonts w:hint="default"/>
        </w:rPr>
      </w:pPr>
      <w:r>
        <w:rPr>
          <w:rFonts w:hint="default"/>
        </w:rPr>
        <w:t>In collaboration with NIBR, the Skyline Commercial Hub in Mumbai is currently in the design development phase. Spanning 300,000 sq. ft., the building is envisioned as a flexible, modern workspace tailored to accommodate a variety of commercial uses.</w:t>
      </w:r>
    </w:p>
    <w:p w14:paraId="3A86B879">
      <w:pPr>
        <w:rPr>
          <w:rFonts w:hint="default"/>
        </w:rPr>
      </w:pPr>
    </w:p>
    <w:p w14:paraId="4D6BFE48">
      <w:pPr>
        <w:rPr>
          <w:rFonts w:hint="default"/>
        </w:rPr>
      </w:pPr>
      <w:r>
        <w:rPr>
          <w:rFonts w:hint="default"/>
        </w:rPr>
        <w:t>Strategically designed to meet the dynamic needs of urban businesses, the project integrates efficient layouts, contemporary aesthetics, and adaptable spaces, ensuring it becomes a landmark destination in Mumbai’s thriving commercial landscape.</w:t>
      </w:r>
    </w:p>
    <w:p w14:paraId="08FBD1AE">
      <w:pPr>
        <w:rPr>
          <w:rFonts w:hint="default"/>
        </w:rPr>
      </w:pPr>
    </w:p>
    <w:p w14:paraId="2B7B9884">
      <w:pPr>
        <w:rPr>
          <w:rFonts w:hint="default"/>
        </w:rPr>
      </w:pPr>
      <w:r>
        <w:rPr>
          <w:rFonts w:hint="default"/>
        </w:rPr>
        <w:t>Project Details</w:t>
      </w:r>
    </w:p>
    <w:p w14:paraId="2949B4A5">
      <w:pPr>
        <w:rPr>
          <w:rFonts w:hint="default"/>
        </w:rPr>
      </w:pPr>
    </w:p>
    <w:p w14:paraId="735F5F91">
      <w:pPr>
        <w:rPr>
          <w:rFonts w:hint="default"/>
        </w:rPr>
      </w:pPr>
      <w:r>
        <w:rPr>
          <w:rFonts w:hint="default"/>
        </w:rPr>
        <w:t>Client: NIBR</w:t>
      </w:r>
    </w:p>
    <w:p w14:paraId="77944D7A">
      <w:pPr>
        <w:rPr>
          <w:rFonts w:hint="default"/>
        </w:rPr>
      </w:pPr>
    </w:p>
    <w:p w14:paraId="100C1029">
      <w:pPr>
        <w:rPr>
          <w:rFonts w:hint="default"/>
        </w:rPr>
      </w:pPr>
      <w:r>
        <w:rPr>
          <w:rFonts w:hint="default"/>
        </w:rPr>
        <w:t>Site Area: 7,000 sqm</w:t>
      </w:r>
    </w:p>
    <w:p w14:paraId="42385AEB">
      <w:pPr>
        <w:rPr>
          <w:rFonts w:hint="default"/>
        </w:rPr>
      </w:pPr>
    </w:p>
    <w:p w14:paraId="4E4C7497">
      <w:pPr>
        <w:rPr>
          <w:rFonts w:hint="default"/>
        </w:rPr>
      </w:pPr>
      <w:r>
        <w:rPr>
          <w:rFonts w:hint="default"/>
        </w:rPr>
        <w:t>Built-up Area: 300,000 sq.ft</w:t>
      </w:r>
    </w:p>
    <w:p w14:paraId="09D868C9">
      <w:pPr>
        <w:rPr>
          <w:rFonts w:hint="default"/>
        </w:rPr>
      </w:pPr>
    </w:p>
    <w:p w14:paraId="0C9E1CD1">
      <w:r>
        <w:rPr>
          <w:rFonts w:hint="default"/>
        </w:rPr>
        <w:t>Status: Design Development Complete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33EFD"/>
    <w:rsid w:val="57B3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2025-12-13T08:15:00Z</dcterms:created>
  <dc:creator>Daksh Tak</dc:creator>
  <cp:lastModifiedBy>Daksh Tak</cp:lastModifiedBy>
  <dcterms:modified xsi:type="dcterms:W3CDTF">2025-12-13T08:16:51Z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07B7D2E5196040D9A0A4BEB7BA10BEEB_11</vt:lpwstr>
  </property>
</Properties>
</file>