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Arial" w:cs="Arial" w:eastAsia="Arial" w:hAnsi="Arial"/>
          <w:b/>
          <w:bCs/>
          <w:caps/>
          <w:color w:val="0A84FF"/>
          <w:sz w:val="20"/>
          <w:szCs w:val="20"/>
        </w:rPr>
        <w:t xml:space="preserve">CAHIER DES CHARGES</w:t>
      </w:r>
    </w:p>
    <w:p>
      <w:pPr>
        <w:pBdr>
          <w:bottom w:val="single" w:color="0A84FF" w:sz="3" w:space="12"/>
        </w:pBdr>
        <w:spacing w:after="100"/>
        <w:jc w:val="center"/>
      </w:pPr>
      <w:r>
        <w:rPr>
          <w:rFonts w:ascii="Arial" w:cs="Arial" w:eastAsia="Arial" w:hAnsi="Arial"/>
          <w:b/>
          <w:bCs/>
          <w:color w:val="1A1A2E"/>
          <w:sz w:val="56"/>
          <w:szCs w:val="56"/>
        </w:rPr>
        <w:t xml:space="preserve">Projet Site Internet</w:t>
      </w:r>
    </w:p>
    <w:p>
      <w:pPr>
        <w:spacing w:before="200" w:after="120"/>
        <w:jc w:val="center"/>
      </w:pPr>
      <w:r>
        <w:rPr>
          <w:rFonts w:ascii="Arial" w:cs="Arial" w:eastAsia="Arial" w:hAnsi="Arial"/>
          <w:color w:val="0A84FF"/>
          <w:sz w:val="36"/>
          <w:szCs w:val="36"/>
        </w:rPr>
        <w:t xml:space="preserve">Solutions Électroniques &amp; Logicielles</w:t>
      </w:r>
    </w:p>
    <w:p>
      <w:pPr>
        <w:spacing w:after="80"/>
        <w:jc w:val="center"/>
      </w:pPr>
      <w:r>
        <w:rPr>
          <w:rFonts w:ascii="Arial" w:cs="Arial" w:eastAsia="Arial" w:hAnsi="Arial"/>
          <w:color w:val="0A84FF"/>
          <w:sz w:val="36"/>
          <w:szCs w:val="36"/>
        </w:rPr>
        <w:t xml:space="preserve">pour l’Industrie Automobile</w:t>
      </w:r>
    </w:p>
    <w:p>
      <w:pPr>
        <w:spacing w:after="1200"/>
      </w:pPr>
      <w:r>
        <w:t xml:space="preserve"/>
      </w:r>
    </w:p>
    <w:p>
      <w:pPr>
        <w:jc w:val="center"/>
      </w:pPr>
      <w:r>
        <w:rPr>
          <w:rFonts w:ascii="Arial" w:cs="Arial" w:eastAsia="Arial" w:hAnsi="Arial"/>
          <w:color w:val="6C757D"/>
          <w:sz w:val="22"/>
          <w:szCs w:val="22"/>
        </w:rPr>
        <w:t xml:space="preserve">B2B — OEM • Tier 1/2 • Constructeurs • Consultants</w:t>
      </w:r>
    </w:p>
    <w:p>
      <w:pPr>
        <w:spacing w:after="400"/>
      </w:pPr>
      <w:r>
        <w:t xml:space="preserve"/>
      </w:r>
    </w:p>
    <w:p>
      <w:pPr>
        <w:jc w:val="center"/>
      </w:pPr>
      <w:r>
        <w:rPr>
          <w:rFonts w:ascii="Arial" w:cs="Arial" w:eastAsia="Arial" w:hAnsi="Arial"/>
          <w:color w:val="ADB5BD"/>
          <w:sz w:val="20"/>
          <w:szCs w:val="20"/>
        </w:rPr>
        <w:t xml:space="preserve">Version 1.0 — Mars 2026</w:t>
      </w:r>
    </w:p>
    <w:p>
      <w:pPr>
        <w:spacing w:before="80"/>
        <w:jc w:val="center"/>
      </w:pPr>
      <w:r>
        <w:rPr>
          <w:rFonts w:ascii="Arial" w:cs="Arial" w:eastAsia="Arial" w:hAnsi="Arial"/>
          <w:i/>
          <w:iCs/>
          <w:color w:val="ADB5BD"/>
          <w:sz w:val="18"/>
          <w:szCs w:val="18"/>
        </w:rPr>
        <w:t xml:space="preserve">Document confidentiel</w:t>
      </w:r>
    </w:p>
    <w:p>
      <w:pPr>
        <w:sectPr>
          <w:pgSz w:w="11906" w:h="16838" w:orient="portrait"/>
          <w:pgMar w:top="1440" w:right="1440" w:bottom="1440" w:left="1440" w:header="708" w:footer="708" w:gutter="0"/>
          <w:pgNumType/>
          <w:docGrid w:linePitch="360"/>
        </w:sectPr>
      </w:pPr>
    </w:p>
    <w:p>
      <w:pPr>
        <w:pStyle w:val="Heading1"/>
      </w:pPr>
      <w:r>
        <w:t xml:space="preserve">1. Synthèse du projet</w:t>
      </w:r>
    </w:p>
    <w:p>
      <w:pPr>
        <w:pBdr>
          <w:bottom w:val="single" w:color="0A84FF" w:sz="2" w:space="8"/>
        </w:pBdr>
        <w:spacing w:before="200" w:after="200"/>
      </w:pPr>
      <w:r>
        <w:t xml:space="preserve"/>
      </w:r>
    </w:p>
    <w:p>
      <w:pPr>
        <w:spacing w:after="120"/>
      </w:pPr>
      <w:r>
        <w:rPr>
          <w:rFonts w:ascii="Arial" w:cs="Arial" w:eastAsia="Arial" w:hAnsi="Arial"/>
          <w:color w:val="2C3E50"/>
          <w:sz w:val="22"/>
          <w:szCs w:val="22"/>
        </w:rPr>
        <w:t xml:space="preserve">Ce document définit le cadre et les spécifications du projet de création d’un site internet B2B destiné à promouvoir des solutions électroniques et logicielles pour l’industrie automobile. Le site s’adresse aux acteurs majeurs du secteur : constructeurs (OEM), équipementiers Tier 1/2, consultants spécialisés et manufacturers.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Paramètre</w:t>
            </w:r>
          </w:p>
        </w:tc>
        <w:tc>
          <w:tcPr>
            <w:tcW w:type="dxa" w:w="6026"/>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Détail</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Type de site</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Site vitrine B2B + portail client (téléchargement logiciels)</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Cible</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OEM, Tier 1/2, constructeurs, consultants, manufacturers</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Objectif principal</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Génération de leads qualifiés + téléchargement de solutions</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Offre</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Solutions logicielles embarquées, logiciels d’ingénierie, hardware adapté</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Langues</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Français, Anglais, Allemand</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Direction artistique</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Dark mode, design Apple-like, state of the art, animations modernes</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Identité visuelle</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Entièrement à créer (logo, charte graphique, typographie)</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Approche</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MVP rapide (&lt; 1 mois) puis évolutions itératives</w:t>
            </w:r>
          </w:p>
        </w:tc>
      </w:tr>
    </w:tbl>
    <w:p>
      <w:r>
        <w:br w:type="page"/>
      </w:r>
    </w:p>
    <w:p>
      <w:pPr>
        <w:pStyle w:val="Heading1"/>
      </w:pPr>
      <w:r>
        <w:t xml:space="preserve">2. Cibles &amp; personas</w:t>
      </w:r>
    </w:p>
    <w:p>
      <w:pPr>
        <w:pBdr>
          <w:bottom w:val="single" w:color="0A84FF" w:sz="2" w:space="8"/>
        </w:pBdr>
        <w:spacing w:before="200" w:after="200"/>
      </w:pPr>
      <w:r>
        <w:t xml:space="preserve"/>
      </w:r>
    </w:p>
    <w:p>
      <w:pPr>
        <w:spacing w:after="120"/>
      </w:pPr>
      <w:r>
        <w:rPr>
          <w:rFonts w:ascii="Arial" w:cs="Arial" w:eastAsia="Arial" w:hAnsi="Arial"/>
          <w:color w:val="2C3E50"/>
          <w:sz w:val="22"/>
          <w:szCs w:val="22"/>
        </w:rPr>
        <w:t xml:space="preserve">Le site s’adresse exclusivement à un public B2B industriel exigeant, habitué aux standards de qualité et de rigueur technique du secteur automobile.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Persona</w:t>
            </w:r>
          </w:p>
        </w:tc>
        <w:tc>
          <w:tcPr>
            <w:tcW w:type="dxa" w:w="3413"/>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Profil</w:t>
            </w:r>
          </w:p>
        </w:tc>
        <w:tc>
          <w:tcPr>
            <w:tcW w:type="dxa" w:w="3413"/>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Besoin principal</w:t>
            </w:r>
          </w:p>
        </w:tc>
      </w:tr>
      <w:tr>
        <w:tc>
          <w:tcPr>
            <w:tcW w:type="dxa" w:w="22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OEM / Constructeur</w:t>
            </w:r>
          </w:p>
        </w:tc>
        <w:tc>
          <w:tcPr>
            <w:tcW w:type="dxa" w:w="34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Directeur R&amp;D, responsable achats</w:t>
            </w:r>
          </w:p>
        </w:tc>
        <w:tc>
          <w:tcPr>
            <w:tcW w:type="dxa" w:w="34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Trouver un partenaire fiable pour l’électronique embarquée</w:t>
            </w:r>
          </w:p>
        </w:tc>
      </w:tr>
      <w:tr>
        <w:tc>
          <w:tcPr>
            <w:tcW w:type="dxa" w:w="22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Tier 1 / Tier 2</w:t>
            </w:r>
          </w:p>
        </w:tc>
        <w:tc>
          <w:tcPr>
            <w:tcW w:type="dxa" w:w="34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Ingénieur système, chef de projet</w:t>
            </w:r>
          </w:p>
        </w:tc>
        <w:tc>
          <w:tcPr>
            <w:tcW w:type="dxa" w:w="34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Solutions logicielles et hardware conformes aux normes auto</w:t>
            </w:r>
          </w:p>
        </w:tc>
      </w:tr>
      <w:tr>
        <w:tc>
          <w:tcPr>
            <w:tcW w:type="dxa" w:w="22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Consultant</w:t>
            </w:r>
          </w:p>
        </w:tc>
        <w:tc>
          <w:tcPr>
            <w:tcW w:type="dxa" w:w="34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Expert technique automobile</w:t>
            </w:r>
          </w:p>
        </w:tc>
        <w:tc>
          <w:tcPr>
            <w:tcW w:type="dxa" w:w="34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Accès à des outils et documentation technique</w:t>
            </w:r>
          </w:p>
        </w:tc>
      </w:tr>
      <w:tr>
        <w:tc>
          <w:tcPr>
            <w:tcW w:type="dxa" w:w="22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Manufacturer</w:t>
            </w:r>
          </w:p>
        </w:tc>
        <w:tc>
          <w:tcPr>
            <w:tcW w:type="dxa" w:w="34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Responsable production</w:t>
            </w:r>
          </w:p>
        </w:tc>
        <w:tc>
          <w:tcPr>
            <w:tcW w:type="dxa" w:w="34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Hardware adapté et support technique</w:t>
            </w:r>
          </w:p>
        </w:tc>
      </w:tr>
    </w:tbl>
    <w:p>
      <w:pPr>
        <w:spacing w:after="300"/>
      </w:pPr>
      <w:r>
        <w:t xml:space="preserve"/>
      </w:r>
    </w:p>
    <w:p>
      <w:pPr>
        <w:pStyle w:val="Heading1"/>
      </w:pPr>
      <w:r>
        <w:t xml:space="preserve">3. Arborescence du site — MVP</w:t>
      </w:r>
    </w:p>
    <w:p>
      <w:pPr>
        <w:pBdr>
          <w:bottom w:val="single" w:color="0A84FF" w:sz="2" w:space="8"/>
        </w:pBdr>
        <w:spacing w:before="200" w:after="200"/>
      </w:pPr>
      <w:r>
        <w:t xml:space="preserve"/>
      </w:r>
    </w:p>
    <w:p>
      <w:pPr>
        <w:spacing w:after="120"/>
      </w:pPr>
      <w:r>
        <w:rPr>
          <w:rFonts w:ascii="Arial" w:cs="Arial" w:eastAsia="Arial" w:hAnsi="Arial"/>
          <w:color w:val="2C3E50"/>
          <w:sz w:val="22"/>
          <w:szCs w:val="22"/>
        </w:rPr>
        <w:t xml:space="preserve">L’arborescence MVP privilégie les pages à forte valeur ajoutée pour la génération de leads et la crédibilité technique. Chaque page est déclinée en FR, EN et DE.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Page</w:t>
            </w:r>
          </w:p>
        </w:tc>
        <w:tc>
          <w:tcPr>
            <w:tcW w:type="dxa" w:w="3213"/>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Contenu</w:t>
            </w:r>
          </w:p>
        </w:tc>
        <w:tc>
          <w:tcPr>
            <w:tcW w:type="dxa" w:w="3213"/>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Objectif</w:t>
            </w:r>
          </w:p>
        </w:tc>
      </w:tr>
      <w:tr>
        <w:tc>
          <w:tcPr>
            <w:tcW w:type="dxa" w:w="26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Accueil (Hero)</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Proposition de valeur, animation dark mode, CTA contact</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Impression immédiate, redirection vers solutions</w:t>
            </w:r>
          </w:p>
        </w:tc>
      </w:tr>
      <w:tr>
        <w:tc>
          <w:tcPr>
            <w:tcW w:type="dxa" w:w="26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Solutions / Produits</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Fiches détaillées : logiciel embarqué, outils ingénierie, hardware</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Présenter l’offre technique</w:t>
            </w:r>
          </w:p>
        </w:tc>
      </w:tr>
      <w:tr>
        <w:tc>
          <w:tcPr>
            <w:tcW w:type="dxa" w:w="26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About / Équipe</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Présentation entreprise, équipe, certifications, normes</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Crédibilité et confiance</w:t>
            </w:r>
          </w:p>
        </w:tc>
      </w:tr>
      <w:tr>
        <w:tc>
          <w:tcPr>
            <w:tcW w:type="dxa" w:w="26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Espace Client</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Portail privé : téléchargement logiciels, datasheets, docs</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Fidélisation, service client</w:t>
            </w:r>
          </w:p>
        </w:tc>
      </w:tr>
      <w:tr>
        <w:tc>
          <w:tcPr>
            <w:tcW w:type="dxa" w:w="26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Contact / RFQ</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Formulaire de demande de devis, informations de contact</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Conversion leads</w:t>
            </w:r>
          </w:p>
        </w:tc>
      </w:tr>
    </w:tbl>
    <w:p>
      <w:r>
        <w:br w:type="page"/>
      </w:r>
    </w:p>
    <w:p>
      <w:pPr>
        <w:pStyle w:val="Heading1"/>
      </w:pPr>
      <w:r>
        <w:t xml:space="preserve">4. Direction artistique</w:t>
      </w:r>
    </w:p>
    <w:p>
      <w:pPr>
        <w:pBdr>
          <w:bottom w:val="single" w:color="0A84FF" w:sz="2" w:space="8"/>
        </w:pBdr>
        <w:spacing w:before="200" w:after="200"/>
      </w:pPr>
      <w:r>
        <w:t xml:space="preserve"/>
      </w:r>
    </w:p>
    <w:p>
      <w:pPr>
        <w:pStyle w:val="Heading2"/>
      </w:pPr>
      <w:r>
        <w:t xml:space="preserve">4.1 Positionnement visuel</w:t>
      </w:r>
    </w:p>
    <w:p>
      <w:pPr>
        <w:spacing w:after="120"/>
      </w:pPr>
      <w:r>
        <w:rPr>
          <w:rFonts w:ascii="Arial" w:cs="Arial" w:eastAsia="Arial" w:hAnsi="Arial"/>
          <w:color w:val="2C3E50"/>
          <w:sz w:val="22"/>
          <w:szCs w:val="22"/>
        </w:rPr>
        <w:t xml:space="preserve">Le site adopte un design premium inspiré des codes Apple : minimalisme, typographie soignée, animations fluides et thème sombre dominant. L’objectif est de projeter une image d’innovation technologique de pointe, cohérente avec le positionnement sur les solutions électroniques automobiles avancées.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Élément</w:t>
            </w:r>
          </w:p>
        </w:tc>
        <w:tc>
          <w:tcPr>
            <w:tcW w:type="dxa" w:w="6026"/>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Spécification</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Thème principal</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Dark mode (#0F0F1E à #1A1A2E) avec accents lumineux</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Couleurs d’accent</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Bleu électrique (#0A84FF), Cyan tech (#30D5C8), blanc pur</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Typographie</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Sans-serif géométrique (SF Pro / Inter / Geist), grandes tailles titres</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Animations</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Scroll reveal, parallax subtil, hover states fluides, transitions 60fps</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Imagerie</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Rendus 3D de composants, photos techniques haute qualité, schémas</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Layout</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Grands espaces blancs (sombres), sections full-width, grille 12 colonnes</w:t>
            </w:r>
          </w:p>
        </w:tc>
      </w:tr>
      <w:tr>
        <w:tc>
          <w:tcPr>
            <w:tcW w:type="dxa" w:w="30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Micro-interactions</w:t>
            </w:r>
          </w:p>
        </w:tc>
        <w:tc>
          <w:tcPr>
            <w:tcW w:type="dxa" w:w="6026"/>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Curseurs personnalisés, boutons glow, cartes produit avec hover 3D</w:t>
            </w:r>
          </w:p>
        </w:tc>
      </w:tr>
    </w:tbl>
    <w:p>
      <w:pPr>
        <w:spacing w:after="200"/>
      </w:pPr>
      <w:r>
        <w:t xml:space="preserve"/>
      </w:r>
    </w:p>
    <w:p>
      <w:pPr>
        <w:pStyle w:val="Heading2"/>
      </w:pPr>
      <w:r>
        <w:t xml:space="preserve">4.2 Identité visuelle à créer</w:t>
      </w:r>
    </w:p>
    <w:p>
      <w:pPr>
        <w:spacing w:after="120"/>
      </w:pPr>
      <w:r>
        <w:rPr>
          <w:rFonts w:ascii="Arial" w:cs="Arial" w:eastAsia="Arial" w:hAnsi="Arial"/>
          <w:color w:val="2C3E50"/>
          <w:sz w:val="22"/>
          <w:szCs w:val="22"/>
        </w:rPr>
        <w:t xml:space="preserve">L’ensemble de l’identité visuelle est à concevoir. Les livrables attendus sont : logo principal et déclinaisons (monochrome, favicon), palette de couleurs complète, typographies primaire et secondaire, guidelines d’utilisation, icônes et pictogrammes techniques, templates de présentation de produits.</w:t>
      </w:r>
    </w:p>
    <w:p>
      <w:pPr>
        <w:spacing w:after="300"/>
      </w:pPr>
      <w:r>
        <w:t xml:space="preserve"/>
      </w:r>
    </w:p>
    <w:p>
      <w:pPr>
        <w:pStyle w:val="Heading1"/>
      </w:pPr>
      <w:r>
        <w:t xml:space="preserve">5. Fonctionnalités détaillées</w:t>
      </w:r>
    </w:p>
    <w:p>
      <w:pPr>
        <w:pBdr>
          <w:bottom w:val="single" w:color="0A84FF" w:sz="2" w:space="8"/>
        </w:pBdr>
        <w:spacing w:before="200" w:after="200"/>
      </w:pPr>
      <w:r>
        <w:t xml:space="preserve"/>
      </w:r>
    </w:p>
    <w:p>
      <w:pPr>
        <w:pStyle w:val="Heading2"/>
      </w:pPr>
      <w:r>
        <w:t xml:space="preserve">5.1 Pages produits / solutions</w:t>
      </w:r>
    </w:p>
    <w:p>
      <w:pPr>
        <w:pStyle w:val="ListParagraph"/>
        <w:numPr>
          <w:ilvl w:val="0"/>
          <w:numId w:val="2"/>
        </w:numPr>
      </w:pPr>
      <w:r>
        <w:rPr>
          <w:rFonts w:ascii="Arial" w:cs="Arial" w:eastAsia="Arial" w:hAnsi="Arial"/>
          <w:sz w:val="22"/>
          <w:szCs w:val="22"/>
        </w:rPr>
        <w:t xml:space="preserve">Fiches techniques détaillées avec spécifications, compatibilités, certifications</w:t>
      </w:r>
    </w:p>
    <w:p>
      <w:pPr>
        <w:pStyle w:val="ListParagraph"/>
        <w:numPr>
          <w:ilvl w:val="0"/>
          <w:numId w:val="2"/>
        </w:numPr>
      </w:pPr>
      <w:r>
        <w:rPr>
          <w:rFonts w:ascii="Arial" w:cs="Arial" w:eastAsia="Arial" w:hAnsi="Arial"/>
          <w:sz w:val="22"/>
          <w:szCs w:val="22"/>
        </w:rPr>
        <w:t xml:space="preserve">Catégorisation par domaine : logiciel embarqué, outils d’ingénierie, hardware</w:t>
      </w:r>
    </w:p>
    <w:p>
      <w:pPr>
        <w:pStyle w:val="ListParagraph"/>
        <w:numPr>
          <w:ilvl w:val="0"/>
          <w:numId w:val="2"/>
        </w:numPr>
      </w:pPr>
      <w:r>
        <w:rPr>
          <w:rFonts w:ascii="Arial" w:cs="Arial" w:eastAsia="Arial" w:hAnsi="Arial"/>
          <w:sz w:val="22"/>
          <w:szCs w:val="22"/>
        </w:rPr>
        <w:t xml:space="preserve">Téléchargement de datasheets et documentation technique (PDF)</w:t>
      </w:r>
    </w:p>
    <w:p>
      <w:pPr>
        <w:pStyle w:val="ListParagraph"/>
        <w:numPr>
          <w:ilvl w:val="0"/>
          <w:numId w:val="2"/>
        </w:numPr>
      </w:pPr>
      <w:r>
        <w:rPr>
          <w:rFonts w:ascii="Arial" w:cs="Arial" w:eastAsia="Arial" w:hAnsi="Arial"/>
          <w:sz w:val="22"/>
          <w:szCs w:val="22"/>
        </w:rPr>
        <w:t xml:space="preserve">Visuels produits haute qualité, schémas d’architecture</w:t>
      </w:r>
    </w:p>
    <w:p>
      <w:pPr>
        <w:spacing w:after="120"/>
      </w:pPr>
      <w:r>
        <w:t xml:space="preserve"/>
      </w:r>
    </w:p>
    <w:p>
      <w:pPr>
        <w:pStyle w:val="Heading2"/>
      </w:pPr>
      <w:r>
        <w:t xml:space="preserve">5.2 Espace client / portail privé</w:t>
      </w:r>
    </w:p>
    <w:p>
      <w:pPr>
        <w:pStyle w:val="ListParagraph"/>
        <w:numPr>
          <w:ilvl w:val="0"/>
          <w:numId w:val="2"/>
        </w:numPr>
      </w:pPr>
      <w:r>
        <w:rPr>
          <w:rFonts w:ascii="Arial" w:cs="Arial" w:eastAsia="Arial" w:hAnsi="Arial"/>
          <w:sz w:val="22"/>
          <w:szCs w:val="22"/>
        </w:rPr>
        <w:t xml:space="preserve">Authentification sécurisée (email/mot de passe ou SSO entreprise)</w:t>
      </w:r>
    </w:p>
    <w:p>
      <w:pPr>
        <w:pStyle w:val="ListParagraph"/>
        <w:numPr>
          <w:ilvl w:val="0"/>
          <w:numId w:val="2"/>
        </w:numPr>
      </w:pPr>
      <w:r>
        <w:rPr>
          <w:rFonts w:ascii="Arial" w:cs="Arial" w:eastAsia="Arial" w:hAnsi="Arial"/>
          <w:sz w:val="22"/>
          <w:szCs w:val="22"/>
        </w:rPr>
        <w:t xml:space="preserve">Téléchargement de logiciels (solutions) avec gestion des versions</w:t>
      </w:r>
    </w:p>
    <w:p>
      <w:pPr>
        <w:pStyle w:val="ListParagraph"/>
        <w:numPr>
          <w:ilvl w:val="0"/>
          <w:numId w:val="2"/>
        </w:numPr>
      </w:pPr>
      <w:r>
        <w:rPr>
          <w:rFonts w:ascii="Arial" w:cs="Arial" w:eastAsia="Arial" w:hAnsi="Arial"/>
          <w:sz w:val="22"/>
          <w:szCs w:val="22"/>
        </w:rPr>
        <w:t xml:space="preserve">Accès aux licences, mises à jour et documentation réservée</w:t>
      </w:r>
    </w:p>
    <w:p>
      <w:pPr>
        <w:pStyle w:val="ListParagraph"/>
        <w:numPr>
          <w:ilvl w:val="0"/>
          <w:numId w:val="2"/>
        </w:numPr>
      </w:pPr>
      <w:r>
        <w:rPr>
          <w:rFonts w:ascii="Arial" w:cs="Arial" w:eastAsia="Arial" w:hAnsi="Arial"/>
          <w:sz w:val="22"/>
          <w:szCs w:val="22"/>
        </w:rPr>
        <w:t xml:space="preserve">Historique des téléchargements et suivi d’utilisation</w:t>
      </w:r>
    </w:p>
    <w:p>
      <w:pPr>
        <w:spacing w:after="120"/>
      </w:pPr>
      <w:r>
        <w:t xml:space="preserve"/>
      </w:r>
    </w:p>
    <w:p>
      <w:pPr>
        <w:pStyle w:val="Heading2"/>
      </w:pPr>
      <w:r>
        <w:t xml:space="preserve">5.3 Formulaire de contact / RFQ</w:t>
      </w:r>
    </w:p>
    <w:p>
      <w:pPr>
        <w:pStyle w:val="ListParagraph"/>
        <w:numPr>
          <w:ilvl w:val="0"/>
          <w:numId w:val="2"/>
        </w:numPr>
      </w:pPr>
      <w:r>
        <w:rPr>
          <w:rFonts w:ascii="Arial" w:cs="Arial" w:eastAsia="Arial" w:hAnsi="Arial"/>
          <w:sz w:val="22"/>
          <w:szCs w:val="22"/>
        </w:rPr>
        <w:t xml:space="preserve">Formulaire intelligent avec champs contextuels selon le type de demande</w:t>
      </w:r>
    </w:p>
    <w:p>
      <w:pPr>
        <w:pStyle w:val="ListParagraph"/>
        <w:numPr>
          <w:ilvl w:val="0"/>
          <w:numId w:val="2"/>
        </w:numPr>
      </w:pPr>
      <w:r>
        <w:rPr>
          <w:rFonts w:ascii="Arial" w:cs="Arial" w:eastAsia="Arial" w:hAnsi="Arial"/>
          <w:sz w:val="22"/>
          <w:szCs w:val="22"/>
        </w:rPr>
        <w:t xml:space="preserve">Upload de cahier des charges ou spécifications client</w:t>
      </w:r>
    </w:p>
    <w:p>
      <w:pPr>
        <w:pStyle w:val="ListParagraph"/>
        <w:numPr>
          <w:ilvl w:val="0"/>
          <w:numId w:val="2"/>
        </w:numPr>
      </w:pPr>
      <w:r>
        <w:rPr>
          <w:rFonts w:ascii="Arial" w:cs="Arial" w:eastAsia="Arial" w:hAnsi="Arial"/>
          <w:sz w:val="22"/>
          <w:szCs w:val="22"/>
        </w:rPr>
        <w:t xml:space="preserve">Notification automatique à l’équipe commerciale (intégration CRM à prévoir)</w:t>
      </w:r>
    </w:p>
    <w:p>
      <w:pPr>
        <w:pStyle w:val="ListParagraph"/>
        <w:numPr>
          <w:ilvl w:val="0"/>
          <w:numId w:val="2"/>
        </w:numPr>
        <w:spacing w:after="120"/>
      </w:pPr>
      <w:r>
        <w:rPr>
          <w:rFonts w:ascii="Arial" w:cs="Arial" w:eastAsia="Arial" w:hAnsi="Arial"/>
          <w:sz w:val="22"/>
          <w:szCs w:val="22"/>
        </w:rPr>
        <w:t xml:space="preserve">Confirmation et suivi de la demande côté client</w:t>
      </w:r>
    </w:p>
    <w:p>
      <w:pPr>
        <w:spacing w:after="120"/>
      </w:pPr>
      <w:r>
        <w:t xml:space="preserve"/>
      </w:r>
    </w:p>
    <w:p>
      <w:pPr>
        <w:pStyle w:val="Heading2"/>
      </w:pPr>
      <w:r>
        <w:t xml:space="preserve">5.4 Multilingue (FR / EN / DE)</w:t>
      </w:r>
    </w:p>
    <w:p>
      <w:pPr>
        <w:spacing w:after="120"/>
      </w:pPr>
      <w:r>
        <w:rPr>
          <w:rFonts w:ascii="Arial" w:cs="Arial" w:eastAsia="Arial" w:hAnsi="Arial"/>
          <w:color w:val="2C3E50"/>
          <w:sz w:val="22"/>
          <w:szCs w:val="22"/>
        </w:rPr>
        <w:t xml:space="preserve">Le site doit être nativement trilingue avec détection automatique de la langue du navigateur et sélecteur de langue visible. Tous les contenus (pages, fiches produits, formulaires, emails transactionnels) doivent être traduits professionnellement.</w:t>
      </w:r>
    </w:p>
    <w:p>
      <w:r>
        <w:br w:type="page"/>
      </w:r>
    </w:p>
    <w:p>
      <w:pPr>
        <w:pStyle w:val="Heading1"/>
      </w:pPr>
      <w:r>
        <w:t xml:space="preserve">6. Recommandations techniques</w:t>
      </w:r>
    </w:p>
    <w:p>
      <w:pPr>
        <w:pBdr>
          <w:bottom w:val="single" w:color="0A84FF" w:sz="2" w:space="8"/>
        </w:pBdr>
        <w:spacing w:before="200" w:after="200"/>
      </w:pPr>
      <w:r>
        <w:t xml:space="preserve"/>
      </w:r>
    </w:p>
    <w:p>
      <w:pPr>
        <w:spacing w:after="120"/>
      </w:pPr>
      <w:r>
        <w:rPr>
          <w:rFonts w:ascii="Arial" w:cs="Arial" w:eastAsia="Arial" w:hAnsi="Arial"/>
          <w:color w:val="2C3E50"/>
          <w:sz w:val="22"/>
          <w:szCs w:val="22"/>
        </w:rPr>
        <w:t xml:space="preserve">Les recommandations ci-dessous sont adaptées à un MVP rapide avec une architecture évolutive, un design dark mode avancé et un délai serré.</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Couche</w:t>
            </w:r>
          </w:p>
        </w:tc>
        <w:tc>
          <w:tcPr>
            <w:tcW w:type="dxa" w:w="3213"/>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Technologie recommandée</w:t>
            </w:r>
          </w:p>
        </w:tc>
        <w:tc>
          <w:tcPr>
            <w:tcW w:type="dxa" w:w="3213"/>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Justification</w:t>
            </w:r>
          </w:p>
        </w:tc>
      </w:tr>
      <w:tr>
        <w:tc>
          <w:tcPr>
            <w:tcW w:type="dxa" w:w="26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Frontend</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Next.js 14+ (App Router) + Tailwind CSS</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SSR/SSG pour SEO, animations fluides, déploiement rapide</w:t>
            </w:r>
          </w:p>
        </w:tc>
      </w:tr>
      <w:tr>
        <w:tc>
          <w:tcPr>
            <w:tcW w:type="dxa" w:w="26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Animations</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Framer Motion + GSAP</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Scroll reveal, parallax, transitions Apple-like</w:t>
            </w:r>
          </w:p>
        </w:tc>
      </w:tr>
      <w:tr>
        <w:tc>
          <w:tcPr>
            <w:tcW w:type="dxa" w:w="26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CMS / Contenu</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Headless CMS (Sanity ou Strapi)</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Gestion multilingue, fiches produits éditables sans code</w:t>
            </w:r>
          </w:p>
        </w:tc>
      </w:tr>
      <w:tr>
        <w:tc>
          <w:tcPr>
            <w:tcW w:type="dxa" w:w="26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Auth / Portail</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NextAuth.js ou Clerk</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Espace client sécurisé, gestion des rôles</w:t>
            </w:r>
          </w:p>
        </w:tc>
      </w:tr>
      <w:tr>
        <w:tc>
          <w:tcPr>
            <w:tcW w:type="dxa" w:w="26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Stockage fichiers</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AWS S3 / Cloudflare R2</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Hébergement logiciels et datasheets</w:t>
            </w:r>
          </w:p>
        </w:tc>
      </w:tr>
      <w:tr>
        <w:tc>
          <w:tcPr>
            <w:tcW w:type="dxa" w:w="26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Formulaires / CRM</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React Hook Form + HubSpot/Pipedrive</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Capture de leads, suivi commercial</w:t>
            </w:r>
          </w:p>
        </w:tc>
      </w:tr>
      <w:tr>
        <w:tc>
          <w:tcPr>
            <w:tcW w:type="dxa" w:w="26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Hosting</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Vercel</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Déploiement instantané, CDN global, preview branches</w:t>
            </w:r>
          </w:p>
        </w:tc>
      </w:tr>
      <w:tr>
        <w:tc>
          <w:tcPr>
            <w:tcW w:type="dxa" w:w="26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i18n</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next-intl</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Solution native Next.js pour le multilingue</w:t>
            </w:r>
          </w:p>
        </w:tc>
      </w:tr>
      <w:tr>
        <w:tc>
          <w:tcPr>
            <w:tcW w:type="dxa" w:w="26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Analytics</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Plausible ou Matomo</w:t>
            </w:r>
          </w:p>
        </w:tc>
        <w:tc>
          <w:tcPr>
            <w:tcW w:type="dxa" w:w="32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RGPD-compliant, analytics privées</w:t>
            </w:r>
          </w:p>
        </w:tc>
      </w:tr>
    </w:tbl>
    <w:p>
      <w:pPr>
        <w:spacing w:after="300"/>
      </w:pPr>
      <w:r>
        <w:t xml:space="preserve"/>
      </w:r>
    </w:p>
    <w:p>
      <w:pPr>
        <w:pStyle w:val="Heading1"/>
      </w:pPr>
      <w:r>
        <w:t xml:space="preserve">7. Roadmap &amp; planning</w:t>
      </w:r>
    </w:p>
    <w:p>
      <w:pPr>
        <w:pBdr>
          <w:bottom w:val="single" w:color="0A84FF" w:sz="2" w:space="8"/>
        </w:pBdr>
        <w:spacing w:before="200" w:after="200"/>
      </w:pPr>
      <w:r>
        <w:t xml:space="preserve"/>
      </w:r>
    </w:p>
    <w:p>
      <w:pPr>
        <w:pStyle w:val="Heading2"/>
      </w:pPr>
      <w:r>
        <w:t xml:space="preserve">7.1 Phase MVP — Semaines 1 à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13"/>
        <w:gridCol w:w="2613"/>
        <w:gridCol w:w="2000"/>
      </w:tblGrid>
      <w:tr>
        <w:tc>
          <w:tcPr>
            <w:tcW w:type="dxa" w:w="1800"/>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Semaine</w:t>
            </w:r>
          </w:p>
        </w:tc>
        <w:tc>
          <w:tcPr>
            <w:tcW w:type="dxa" w:w="2613"/>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Livrables</w:t>
            </w:r>
          </w:p>
        </w:tc>
        <w:tc>
          <w:tcPr>
            <w:tcW w:type="dxa" w:w="2613"/>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Détails</w:t>
            </w:r>
          </w:p>
        </w:tc>
        <w:tc>
          <w:tcPr>
            <w:tcW w:type="dxa" w:w="2000"/>
            <w:tcBorders>
              <w:top w:val="single" w:color="DEE2E6" w:sz="1"/>
              <w:left w:val="single" w:color="DEE2E6" w:sz="1"/>
              <w:bottom w:val="single" w:color="DEE2E6" w:sz="1"/>
              <w:right w:val="single" w:color="DEE2E6" w:sz="1"/>
            </w:tcBorders>
            <w:shd w:fill="0F0F1E"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Statut</w:t>
            </w:r>
          </w:p>
        </w:tc>
      </w:tr>
      <w:tr>
        <w:tc>
          <w:tcPr>
            <w:tcW w:type="dxa" w:w="18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S1</w:t>
            </w:r>
          </w:p>
        </w:tc>
        <w:tc>
          <w:tcPr>
            <w:tcW w:type="dxa" w:w="26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Setup &amp; Design</w:t>
            </w:r>
          </w:p>
        </w:tc>
        <w:tc>
          <w:tcPr>
            <w:tcW w:type="dxa" w:w="26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Charte graphique, maquettes Figma, setup Next.js</w:t>
            </w:r>
          </w:p>
        </w:tc>
        <w:tc>
          <w:tcPr>
            <w:tcW w:type="dxa" w:w="20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À planifier</w:t>
            </w:r>
          </w:p>
        </w:tc>
      </w:tr>
      <w:tr>
        <w:tc>
          <w:tcPr>
            <w:tcW w:type="dxa" w:w="18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S2</w:t>
            </w:r>
          </w:p>
        </w:tc>
        <w:tc>
          <w:tcPr>
            <w:tcW w:type="dxa" w:w="26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Pages principales</w:t>
            </w:r>
          </w:p>
        </w:tc>
        <w:tc>
          <w:tcPr>
            <w:tcW w:type="dxa" w:w="26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Accueil (hero dark), pages Solutions, About</w:t>
            </w:r>
          </w:p>
        </w:tc>
        <w:tc>
          <w:tcPr>
            <w:tcW w:type="dxa" w:w="20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À planifier</w:t>
            </w:r>
          </w:p>
        </w:tc>
      </w:tr>
      <w:tr>
        <w:tc>
          <w:tcPr>
            <w:tcW w:type="dxa" w:w="1800"/>
            <w:tcBorders>
              <w:top w:val="single" w:color="DEE2E6" w:sz="1"/>
              <w:left w:val="single" w:color="DEE2E6" w:sz="1"/>
              <w:bottom w:val="single" w:color="DEE2E6" w:sz="1"/>
              <w:right w:val="single" w:color="DEE2E6" w:sz="1"/>
            </w:tcBorders>
            <w:shd w:fill="F0F4F8" w:val="clear"/>
            <w:tcMar>
              <w:top w:type="dxa" w:w="100"/>
              <w:left w:type="dxa" w:w="150"/>
              <w:bottom w:type="dxa" w:w="100"/>
              <w:right w:type="dxa" w:w="150"/>
            </w:tcMar>
          </w:tcPr>
          <w:p>
            <w:r>
              <w:rPr>
                <w:rFonts w:ascii="Arial" w:cs="Arial" w:eastAsia="Arial" w:hAnsi="Arial"/>
                <w:color w:val="2C3E50"/>
                <w:sz w:val="20"/>
                <w:szCs w:val="20"/>
              </w:rPr>
              <w:t xml:space="preserve">S3</w:t>
            </w:r>
          </w:p>
        </w:tc>
        <w:tc>
          <w:tcPr>
            <w:tcW w:type="dxa" w:w="26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Portail &amp; formulaires</w:t>
            </w:r>
          </w:p>
        </w:tc>
        <w:tc>
          <w:tcPr>
            <w:tcW w:type="dxa" w:w="26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Espace client, téléchargements, formulaire RFQ</w:t>
            </w:r>
          </w:p>
        </w:tc>
        <w:tc>
          <w:tcPr>
            <w:tcW w:type="dxa" w:w="20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À planifier</w:t>
            </w:r>
          </w:p>
        </w:tc>
      </w:tr>
      <w:tr>
        <w:tc>
          <w:tcPr>
            <w:tcW w:type="dxa" w:w="18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S4</w:t>
            </w:r>
          </w:p>
        </w:tc>
        <w:tc>
          <w:tcPr>
            <w:tcW w:type="dxa" w:w="26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i18n, tests &amp; lancement</w:t>
            </w:r>
          </w:p>
        </w:tc>
        <w:tc>
          <w:tcPr>
            <w:tcW w:type="dxa" w:w="2613"/>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Traductions FR/EN/DE, QA, mise en production</w:t>
            </w:r>
          </w:p>
        </w:tc>
        <w:tc>
          <w:tcPr>
            <w:tcW w:type="dxa" w:w="20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r>
              <w:rPr>
                <w:rFonts w:ascii="Arial" w:cs="Arial" w:eastAsia="Arial" w:hAnsi="Arial"/>
                <w:color w:val="2C3E50"/>
                <w:sz w:val="20"/>
                <w:szCs w:val="20"/>
              </w:rPr>
              <w:t xml:space="preserve">À planifier</w:t>
            </w:r>
          </w:p>
        </w:tc>
      </w:tr>
    </w:tbl>
    <w:p>
      <w:pPr>
        <w:spacing w:after="200"/>
      </w:pPr>
      <w:r>
        <w:t xml:space="preserve"/>
      </w:r>
    </w:p>
    <w:p>
      <w:pPr>
        <w:pStyle w:val="Heading2"/>
      </w:pPr>
      <w:r>
        <w:t xml:space="preserve">7.2 Évolutions post-MVP</w:t>
      </w:r>
    </w:p>
    <w:p>
      <w:pPr>
        <w:pStyle w:val="ListParagraph"/>
        <w:numPr>
          <w:ilvl w:val="0"/>
          <w:numId w:val="2"/>
        </w:numPr>
      </w:pPr>
      <w:r>
        <w:rPr>
          <w:rFonts w:ascii="Arial" w:cs="Arial" w:eastAsia="Arial" w:hAnsi="Arial"/>
          <w:sz w:val="22"/>
          <w:szCs w:val="22"/>
        </w:rPr>
        <w:t xml:space="preserve">V2 — Blog technique / actualités sectorielles pour le SEO et le thought leadership</w:t>
      </w:r>
    </w:p>
    <w:p>
      <w:pPr>
        <w:pStyle w:val="ListParagraph"/>
        <w:numPr>
          <w:ilvl w:val="0"/>
          <w:numId w:val="2"/>
        </w:numPr>
      </w:pPr>
      <w:r>
        <w:rPr>
          <w:rFonts w:ascii="Arial" w:cs="Arial" w:eastAsia="Arial" w:hAnsi="Arial"/>
          <w:sz w:val="22"/>
          <w:szCs w:val="22"/>
        </w:rPr>
        <w:t xml:space="preserve">V2 — Intégration CRM complète (HubSpot / Salesforce) avec scoring de leads</w:t>
      </w:r>
    </w:p>
    <w:p>
      <w:pPr>
        <w:pStyle w:val="ListParagraph"/>
        <w:numPr>
          <w:ilvl w:val="0"/>
          <w:numId w:val="2"/>
        </w:numPr>
      </w:pPr>
      <w:r>
        <w:rPr>
          <w:rFonts w:ascii="Arial" w:cs="Arial" w:eastAsia="Arial" w:hAnsi="Arial"/>
          <w:sz w:val="22"/>
          <w:szCs w:val="22"/>
        </w:rPr>
        <w:t xml:space="preserve">V3 — Schémas interactifs d’architecture système (3D / WebGL)</w:t>
      </w:r>
    </w:p>
    <w:p>
      <w:pPr>
        <w:pStyle w:val="ListParagraph"/>
        <w:numPr>
          <w:ilvl w:val="0"/>
          <w:numId w:val="2"/>
        </w:numPr>
      </w:pPr>
      <w:r>
        <w:rPr>
          <w:rFonts w:ascii="Arial" w:cs="Arial" w:eastAsia="Arial" w:hAnsi="Arial"/>
          <w:sz w:val="22"/>
          <w:szCs w:val="22"/>
        </w:rPr>
        <w:t xml:space="preserve">V3 — Portail avancé : gestion de licences, tickets support, dashboard client</w:t>
      </w:r>
    </w:p>
    <w:p>
      <w:pPr>
        <w:pStyle w:val="ListParagraph"/>
        <w:numPr>
          <w:ilvl w:val="0"/>
          <w:numId w:val="2"/>
        </w:numPr>
      </w:pPr>
      <w:r>
        <w:rPr>
          <w:rFonts w:ascii="Arial" w:cs="Arial" w:eastAsia="Arial" w:hAnsi="Arial"/>
          <w:sz w:val="22"/>
          <w:szCs w:val="22"/>
        </w:rPr>
        <w:t xml:space="preserve">V4 — Conformité ASPICE / ISO 26262 mise en avant, certifications affichées</w:t>
      </w:r>
    </w:p>
    <w:p>
      <w:pPr>
        <w:spacing w:after="300"/>
      </w:pPr>
      <w:r>
        <w:t xml:space="preserve"/>
      </w:r>
    </w:p>
    <w:p>
      <w:pPr>
        <w:pStyle w:val="Heading1"/>
      </w:pPr>
      <w:r>
        <w:t xml:space="preserve">8. Prochaines étapes</w:t>
      </w:r>
    </w:p>
    <w:p>
      <w:pPr>
        <w:pBdr>
          <w:bottom w:val="single" w:color="0A84FF" w:sz="2" w:space="8"/>
        </w:pBdr>
        <w:spacing w:before="200" w:after="200"/>
      </w:pPr>
      <w:r>
        <w:t xml:space="preserve"/>
      </w:r>
    </w:p>
    <w:p>
      <w:pPr>
        <w:pStyle w:val="ListParagraph"/>
        <w:numPr>
          <w:ilvl w:val="0"/>
          <w:numId w:val="3"/>
        </w:numPr>
        <w:spacing w:after="100"/>
      </w:pPr>
      <w:r>
        <w:rPr>
          <w:rFonts w:ascii="Arial" w:cs="Arial" w:eastAsia="Arial" w:hAnsi="Arial"/>
          <w:sz w:val="22"/>
          <w:szCs w:val="22"/>
        </w:rPr>
        <w:t xml:space="preserve">Valider le nom de l’entreprise et lancer la création de l’identité visuelle (logo, charte)</w:t>
      </w:r>
    </w:p>
    <w:p>
      <w:pPr>
        <w:pStyle w:val="ListParagraph"/>
        <w:numPr>
          <w:ilvl w:val="0"/>
          <w:numId w:val="3"/>
        </w:numPr>
        <w:spacing w:after="100"/>
      </w:pPr>
      <w:r>
        <w:rPr>
          <w:rFonts w:ascii="Arial" w:cs="Arial" w:eastAsia="Arial" w:hAnsi="Arial"/>
          <w:sz w:val="22"/>
          <w:szCs w:val="22"/>
        </w:rPr>
        <w:t xml:space="preserve">Réaliser les maquettes UI/UX sur Figma (dark mode, desktop + mobile)</w:t>
      </w:r>
    </w:p>
    <w:p>
      <w:pPr>
        <w:pStyle w:val="ListParagraph"/>
        <w:numPr>
          <w:ilvl w:val="0"/>
          <w:numId w:val="3"/>
        </w:numPr>
        <w:spacing w:after="100"/>
      </w:pPr>
      <w:r>
        <w:rPr>
          <w:rFonts w:ascii="Arial" w:cs="Arial" w:eastAsia="Arial" w:hAnsi="Arial"/>
          <w:sz w:val="22"/>
          <w:szCs w:val="22"/>
        </w:rPr>
        <w:t xml:space="preserve">Définir le contenu des fiches produits et préparer les textes en 3 langues</w:t>
      </w:r>
    </w:p>
    <w:p>
      <w:pPr>
        <w:pStyle w:val="ListParagraph"/>
        <w:numPr>
          <w:ilvl w:val="0"/>
          <w:numId w:val="3"/>
        </w:numPr>
        <w:spacing w:after="100"/>
      </w:pPr>
      <w:r>
        <w:rPr>
          <w:rFonts w:ascii="Arial" w:cs="Arial" w:eastAsia="Arial" w:hAnsi="Arial"/>
          <w:sz w:val="22"/>
          <w:szCs w:val="22"/>
        </w:rPr>
        <w:t xml:space="preserve">Choisir et configurer le CMS headless pour la gestion de contenu</w:t>
      </w:r>
    </w:p>
    <w:p>
      <w:pPr>
        <w:pStyle w:val="ListParagraph"/>
        <w:numPr>
          <w:ilvl w:val="0"/>
          <w:numId w:val="3"/>
        </w:numPr>
        <w:spacing w:after="100"/>
      </w:pPr>
      <w:r>
        <w:rPr>
          <w:rFonts w:ascii="Arial" w:cs="Arial" w:eastAsia="Arial" w:hAnsi="Arial"/>
          <w:sz w:val="22"/>
          <w:szCs w:val="22"/>
        </w:rPr>
        <w:t xml:space="preserve">Développer le MVP (4 semaines) avec déploiement sur Vercel</w:t>
      </w:r>
    </w:p>
    <w:p>
      <w:pPr>
        <w:pStyle w:val="ListParagraph"/>
        <w:numPr>
          <w:ilvl w:val="0"/>
          <w:numId w:val="3"/>
        </w:numPr>
        <w:spacing w:after="100"/>
      </w:pPr>
      <w:r>
        <w:rPr>
          <w:rFonts w:ascii="Arial" w:cs="Arial" w:eastAsia="Arial" w:hAnsi="Arial"/>
          <w:sz w:val="22"/>
          <w:szCs w:val="22"/>
        </w:rPr>
        <w:t xml:space="preserve">Recueillir les premiers retours clients et itérer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1" w:space="4"/>
      </w:pBdr>
      <w:tabs>
        <w:tab w:val="right" w:pos="9026"/>
      </w:tabs>
    </w:pPr>
    <w:r>
      <w:rPr>
        <w:rFonts w:ascii="Arial" w:cs="Arial" w:eastAsia="Arial" w:hAnsi="Arial"/>
        <w:color w:val="ADB5BD"/>
        <w:sz w:val="16"/>
        <w:szCs w:val="16"/>
      </w:rPr>
      <w:t xml:space="preserve">Confidentiel</w:t>
    </w:r>
    <w:r>
      <w:rPr>
        <w:rFonts w:ascii="Arial" w:cs="Arial" w:eastAsia="Arial" w:hAnsi="Arial"/>
        <w:color w:val="ADB5BD"/>
        <w:sz w:val="16"/>
        <w:szCs w:val="16"/>
      </w:rPr>
      <w:t xml:space="preserve">	Page </w:t>
    </w:r>
    <w:r>
      <w:rPr>
        <w:rFonts w:ascii="Arial" w:cs="Arial" w:eastAsia="Arial" w:hAnsi="Arial"/>
        <w:color w:val="ADB5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ADB5BD"/>
        <w:sz w:val="16"/>
        <w:szCs w:val="16"/>
      </w:rPr>
      <w:t xml:space="preserve">Cahier des charges — Site Internet Solutions Auto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A84F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2026-03-15T17:21:25.019Z</dcterms:created>
  <dcterms:modified xsi:type="dcterms:W3CDTF">2026-03-15T17:21:25.020Z</dcterms:modified>
</cp:coreProperties>
</file>

<file path=docProps/custom.xml><?xml version="1.0" encoding="utf-8"?>
<Properties xmlns="http://schemas.openxmlformats.org/officeDocument/2006/custom-properties" xmlns:vt="http://schemas.openxmlformats.org/officeDocument/2006/docPropsVTypes"/>
</file>