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 w:before="0"/>
        <w:jc w:val="center"/>
      </w:pPr>
      <w:r>
        <w:t>Roteiro para o CFO</w:t>
      </w:r>
    </w:p>
    <w:p>
      <w:pPr>
        <w:spacing w:after="0" w:before="0"/>
        <w:jc w:val="center"/>
      </w:pPr>
      <w:r>
        <w:rPr>
          <w:b/>
          <w:color w:val="61717E"/>
        </w:rPr>
        <w:t>Da hipótese ao pedido em dez minutos</w:t>
      </w:r>
    </w:p>
    <w:p>
      <w:pPr>
        <w:spacing w:after="0" w:before="0"/>
        <w:jc w:val="center"/>
      </w:pPr>
      <w:r>
        <w:rPr>
          <w:color w:val="61717E"/>
          <w:sz w:val="18"/>
        </w:rPr>
        <w:t>Kit de Execução v2.9.21 · 2026-07-13</w:t>
      </w:r>
    </w:p>
    <w:p>
      <w:pPr>
        <w:spacing w:after="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vAlign w:val="center"/>
            <w:shd w:fill="EAF4F4"/>
          </w:tcPr>
          <w:p>
            <w:pPr>
              <w:spacing w:after="0" w:before="0" w:line="204" w:lineRule="auto"/>
            </w:pPr>
            <w:r>
              <w:rPr>
                <w:b/>
                <w:color w:val="123B5D"/>
                <w:sz w:val="16"/>
              </w:rPr>
              <w:t>Use capacidade equivalente para dimensionar a pergunta. Use somente benefício auditável para ROI.</w:t>
            </w:r>
          </w:p>
        </w:tc>
      </w:tr>
    </w:tbl>
    <w:p>
      <w:pPr>
        <w:spacing w:after="0" w:before="0"/>
      </w:pPr>
    </w:p>
    <w:p>
      <w:pPr>
        <w:pStyle w:val="Heading1"/>
        <w:spacing w:after="0" w:before="0"/>
      </w:pPr>
      <w:r>
        <w:t>Pedido em uma frase</w:t>
      </w:r>
    </w:p>
    <w:p>
      <w:pPr>
        <w:spacing w:after="0" w:before="0"/>
      </w:pPr>
      <w:r>
        <w:t>Autorizar linha de base e BOM numa área definida e, sob teto explícito, decidir se um piloto de primeira fase se justifica.</w:t>
      </w:r>
    </w:p>
    <w:p>
      <w:pPr>
        <w:pStyle w:val="Heading1"/>
        <w:spacing w:after="0" w:before="0"/>
      </w:pPr>
      <w:r>
        <w:t>Ordem de revelação</w:t>
      </w:r>
    </w:p>
    <w:p>
      <w:pPr>
        <w:pStyle w:val="ListBullet"/>
        <w:spacing w:after="0" w:before="0"/>
      </w:pPr>
      <w:r>
        <w:t>Carga de sintomas publicada e limites de extrapolação.</w:t>
      </w:r>
    </w:p>
    <w:p>
      <w:pPr>
        <w:pStyle w:val="ListBullet"/>
        <w:spacing w:after="0" w:before="0"/>
      </w:pPr>
      <w:r>
        <w:t>Capacidade equivalente em faixa — nunca chamada de caixa perdido.</w:t>
      </w:r>
    </w:p>
    <w:p>
      <w:pPr>
        <w:pStyle w:val="ListBullet"/>
        <w:spacing w:after="0" w:before="0"/>
      </w:pPr>
      <w:r>
        <w:t>BOM preenchido com fontes, datas, horas internas e exclusões.</w:t>
      </w:r>
    </w:p>
    <w:p>
      <w:pPr>
        <w:pStyle w:val="ListBullet"/>
        <w:spacing w:after="0" w:before="0"/>
      </w:pPr>
      <w:r>
        <w:t>Quatro gates: implementação, clínico, operacional e financeiro.</w:t>
      </w:r>
    </w:p>
    <w:p>
      <w:pPr>
        <w:pStyle w:val="ListBullet"/>
        <w:spacing w:after="0" w:before="0"/>
      </w:pPr>
      <w:r>
        <w:t>Decisão solicitada: confirmar melhor, ajustar ou encerrar.</w:t>
      </w:r>
    </w:p>
    <w:p>
      <w:pPr>
        <w:pStyle w:val="Heading1"/>
        <w:spacing w:after="0" w:before="0"/>
      </w:pPr>
      <w:r>
        <w:t>Oito objeções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024"/>
            <w:shd w:fill="123B5D"/>
          </w:tcPr>
          <w:p>
            <w:pPr>
              <w:spacing w:after="0" w:before="0" w:line="204" w:lineRule="auto"/>
            </w:pPr>
            <w:r>
              <w:rPr>
                <w:b/>
                <w:color w:val="FFFFFF"/>
                <w:sz w:val="16"/>
              </w:rPr>
              <w:t>Objeção</w:t>
            </w:r>
          </w:p>
        </w:tc>
        <w:tc>
          <w:tcPr>
            <w:tcW w:type="dxa" w:w="6912"/>
            <w:shd w:fill="123B5D"/>
          </w:tcPr>
          <w:p>
            <w:pPr>
              <w:spacing w:after="0" w:before="0" w:line="204" w:lineRule="auto"/>
            </w:pPr>
            <w:r>
              <w:rPr>
                <w:b/>
                <w:color w:val="FFFFFF"/>
                <w:sz w:val="16"/>
              </w:rPr>
              <w:t>Resposta curta</w:t>
            </w:r>
          </w:p>
        </w:tc>
      </w:tr>
      <w:tr>
        <w:tc>
          <w:tcPr>
            <w:tcW w:type="dxa" w:w="3024"/>
          </w:tcPr>
          <w:p>
            <w:pPr>
              <w:spacing w:after="0" w:before="0" w:line="204" w:lineRule="auto"/>
            </w:pPr>
            <w:r>
              <w:rPr>
                <w:sz w:val="16"/>
              </w:rPr>
              <w:t>Esses números não são nossos.</w:t>
            </w:r>
          </w:p>
        </w:tc>
        <w:tc>
          <w:tcPr>
            <w:tcW w:type="dxa" w:w="6912"/>
          </w:tcPr>
          <w:p>
            <w:pPr>
              <w:spacing w:after="0" w:before="0" w:line="204" w:lineRule="auto"/>
            </w:pPr>
            <w:r>
              <w:rPr>
                <w:sz w:val="16"/>
              </w:rPr>
              <w:t>Correto. Cenários dimensionam a pergunta; linha de base, custo e benefício vêm da empresa.</w:t>
            </w:r>
          </w:p>
        </w:tc>
      </w:tr>
      <w:tr>
        <w:tc>
          <w:tcPr>
            <w:tcW w:type="dxa" w:w="3024"/>
          </w:tcPr>
          <w:p>
            <w:pPr>
              <w:spacing w:after="0" w:before="0" w:line="204" w:lineRule="auto"/>
            </w:pPr>
            <w:r>
              <w:rPr>
                <w:sz w:val="16"/>
              </w:rPr>
              <w:t>Não temos orçamento.</w:t>
            </w:r>
          </w:p>
        </w:tc>
        <w:tc>
          <w:tcPr>
            <w:tcW w:type="dxa" w:w="6912"/>
          </w:tcPr>
          <w:p>
            <w:pPr>
              <w:spacing w:after="0" w:before="0" w:line="204" w:lineRule="auto"/>
            </w:pPr>
            <w:r>
              <w:rPr>
                <w:sz w:val="16"/>
              </w:rPr>
              <w:t>Comece pela etapa zero e pelo BOM. Sem escopo e teto, o piloto não segue.</w:t>
            </w:r>
          </w:p>
        </w:tc>
      </w:tr>
      <w:tr>
        <w:tc>
          <w:tcPr>
            <w:tcW w:type="dxa" w:w="3024"/>
          </w:tcPr>
          <w:p>
            <w:pPr>
              <w:spacing w:after="0" w:before="0" w:line="204" w:lineRule="auto"/>
            </w:pPr>
            <w:r>
              <w:rPr>
                <w:sz w:val="16"/>
              </w:rPr>
              <w:t>O jurídico vai vetar.</w:t>
            </w:r>
          </w:p>
        </w:tc>
        <w:tc>
          <w:tcPr>
            <w:tcW w:type="dxa" w:w="6912"/>
          </w:tcPr>
          <w:p>
            <w:pPr>
              <w:spacing w:after="0" w:before="0" w:line="204" w:lineRule="auto"/>
            </w:pPr>
            <w:r>
              <w:rPr>
                <w:sz w:val="16"/>
              </w:rPr>
              <w:t>Envolva saúde ocupacional, jurídico e DPO; dados individuais ficam restritos à assistência.</w:t>
            </w:r>
          </w:p>
        </w:tc>
      </w:tr>
      <w:tr>
        <w:tc>
          <w:tcPr>
            <w:tcW w:type="dxa" w:w="3024"/>
          </w:tcPr>
          <w:p>
            <w:pPr>
              <w:spacing w:after="0" w:before="0" w:line="204" w:lineRule="auto"/>
            </w:pPr>
            <w:r>
              <w:rPr>
                <w:sz w:val="16"/>
              </w:rPr>
              <w:t>O RH está sobrecarregado.</w:t>
            </w:r>
          </w:p>
        </w:tc>
        <w:tc>
          <w:tcPr>
            <w:tcW w:type="dxa" w:w="6912"/>
          </w:tcPr>
          <w:p>
            <w:pPr>
              <w:spacing w:after="0" w:before="0" w:line="204" w:lineRule="auto"/>
            </w:pPr>
            <w:r>
              <w:rPr>
                <w:sz w:val="16"/>
              </w:rPr>
              <w:t>Registre horas internas no BOM; reduza o escopo ou não inicie.</w:t>
            </w:r>
          </w:p>
        </w:tc>
      </w:tr>
      <w:tr>
        <w:tc>
          <w:tcPr>
            <w:tcW w:type="dxa" w:w="3024"/>
          </w:tcPr>
          <w:p>
            <w:pPr>
              <w:spacing w:after="0" w:before="0" w:line="204" w:lineRule="auto"/>
            </w:pPr>
            <w:r>
              <w:rPr>
                <w:sz w:val="16"/>
              </w:rPr>
              <w:t>Isso é do plano de saúde.</w:t>
            </w:r>
          </w:p>
        </w:tc>
        <w:tc>
          <w:tcPr>
            <w:tcW w:type="dxa" w:w="6912"/>
          </w:tcPr>
          <w:p>
            <w:pPr>
              <w:spacing w:after="0" w:before="0" w:line="204" w:lineRule="auto"/>
            </w:pPr>
            <w:r>
              <w:rPr>
                <w:sz w:val="16"/>
              </w:rPr>
              <w:t>O plano cuida da assistência; ambiente, ergonomia e organização pertencem também à empresa.</w:t>
            </w:r>
          </w:p>
        </w:tc>
      </w:tr>
      <w:tr>
        <w:tc>
          <w:tcPr>
            <w:tcW w:type="dxa" w:w="3024"/>
          </w:tcPr>
          <w:p>
            <w:pPr>
              <w:spacing w:after="0" w:before="0" w:line="204" w:lineRule="auto"/>
            </w:pPr>
            <w:r>
              <w:rPr>
                <w:sz w:val="16"/>
              </w:rPr>
              <w:t>Autorrelato não é produtividade.</w:t>
            </w:r>
          </w:p>
        </w:tc>
        <w:tc>
          <w:tcPr>
            <w:tcW w:type="dxa" w:w="6912"/>
          </w:tcPr>
          <w:p>
            <w:pPr>
              <w:spacing w:after="0" w:before="0" w:line="204" w:lineRule="auto"/>
            </w:pPr>
            <w:r>
              <w:rPr>
                <w:sz w:val="16"/>
              </w:rPr>
              <w:t>Correto. Sintoma, autorrelato e indicador objetivo ficam em trilhas separadas.</w:t>
            </w:r>
          </w:p>
        </w:tc>
      </w:tr>
      <w:tr>
        <w:tc>
          <w:tcPr>
            <w:tcW w:type="dxa" w:w="3024"/>
          </w:tcPr>
          <w:p>
            <w:pPr>
              <w:spacing w:after="0" w:before="0" w:line="204" w:lineRule="auto"/>
            </w:pPr>
            <w:r>
              <w:rPr>
                <w:sz w:val="16"/>
              </w:rPr>
              <w:t>E se não funcionar?</w:t>
            </w:r>
          </w:p>
        </w:tc>
        <w:tc>
          <w:tcPr>
            <w:tcW w:type="dxa" w:w="6912"/>
          </w:tcPr>
          <w:p>
            <w:pPr>
              <w:spacing w:after="0" w:before="0" w:line="204" w:lineRule="auto"/>
            </w:pPr>
            <w:r>
              <w:rPr>
                <w:sz w:val="16"/>
              </w:rPr>
              <w:t>Resultado nulo ou implementação insuficiente impede escala e evita compromisso maior.</w:t>
            </w:r>
          </w:p>
        </w:tc>
      </w:tr>
      <w:tr>
        <w:tc>
          <w:tcPr>
            <w:tcW w:type="dxa" w:w="3024"/>
          </w:tcPr>
          <w:p>
            <w:pPr>
              <w:spacing w:after="0" w:before="0" w:line="204" w:lineRule="auto"/>
            </w:pPr>
            <w:r>
              <w:rPr>
                <w:sz w:val="16"/>
              </w:rPr>
              <w:t>É wellness com outro nome.</w:t>
            </w:r>
          </w:p>
        </w:tc>
        <w:tc>
          <w:tcPr>
            <w:tcW w:type="dxa" w:w="6912"/>
          </w:tcPr>
          <w:p>
            <w:pPr>
              <w:spacing w:after="0" w:before="0" w:line="204" w:lineRule="auto"/>
            </w:pPr>
            <w:r>
              <w:rPr>
                <w:sz w:val="16"/>
              </w:rPr>
              <w:t>O método pré-especifica desfechos, admite resultado nulo e recusa ROI sem caixa observado.</w:t>
            </w:r>
          </w:p>
        </w:tc>
      </w:tr>
    </w:tbl>
    <w:p>
      <w:pPr>
        <w:pStyle w:val="Heading1"/>
        <w:spacing w:after="0" w:before="0"/>
      </w:pPr>
      <w:r>
        <w:t>Decisão a registrar em ata</w:t>
      </w:r>
    </w:p>
    <w:p>
      <w:pPr>
        <w:pStyle w:val="ListBullet"/>
        <w:spacing w:after="0" w:before="0"/>
      </w:pPr>
      <w:r>
        <w:t>Área e população elegível: ____________________</w:t>
      </w:r>
    </w:p>
    <w:p>
      <w:pPr>
        <w:pStyle w:val="ListBullet"/>
        <w:spacing w:after="0" w:before="0"/>
      </w:pPr>
      <w:r>
        <w:t>Responsável: ____________________</w:t>
      </w:r>
    </w:p>
    <w:p>
      <w:pPr>
        <w:pStyle w:val="ListBullet"/>
        <w:spacing w:after="0" w:before="0"/>
      </w:pPr>
      <w:r>
        <w:t>Teto da etapa: R$ ____________________</w:t>
      </w:r>
    </w:p>
    <w:p>
      <w:pPr>
        <w:pStyle w:val="ListBullet"/>
        <w:spacing w:after="0" w:before="0"/>
      </w:pPr>
      <w:r>
        <w:t>Prazo e desenho: ____________________</w:t>
      </w:r>
    </w:p>
    <w:p>
      <w:pPr>
        <w:pStyle w:val="ListBullet"/>
        <w:spacing w:after="0" w:before="0"/>
      </w:pPr>
      <w:r>
        <w:t>Gates e evidências exigidas: ____________________</w:t>
      </w:r>
    </w:p>
    <w:p>
      <w:pPr>
        <w:pStyle w:val="ListBullet"/>
        <w:spacing w:after="0" w:before="0"/>
      </w:pPr>
      <w:r>
        <w:t>Decisão possível: confirmar / ajustar / encerrar.</w:t>
      </w: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" w:line="228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5D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A6A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B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