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 w:before="0"/>
        <w:jc w:val="center"/>
      </w:pPr>
      <w:r>
        <w:t>Relatório D+90</w:t>
      </w:r>
    </w:p>
    <w:p>
      <w:pPr>
        <w:spacing w:after="0" w:before="0"/>
        <w:jc w:val="center"/>
      </w:pPr>
      <w:r>
        <w:rPr>
          <w:b/>
          <w:color w:val="61717E"/>
        </w:rPr>
        <w:t>Uma página decisória, anexos auditáveis</w:t>
      </w:r>
    </w:p>
    <w:p>
      <w:pPr>
        <w:spacing w:after="0" w:before="0"/>
        <w:jc w:val="center"/>
      </w:pPr>
      <w:r>
        <w:rPr>
          <w:color w:val="61717E"/>
          <w:sz w:val="18"/>
        </w:rPr>
        <w:t>Kit de Execução v2.9.21 · 2026-07-13</w:t>
      </w:r>
    </w:p>
    <w:p>
      <w:pPr>
        <w:spacing w:after="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832"/>
      </w:tblGrid>
      <w:tr>
        <w:tc>
          <w:tcPr>
            <w:tcW w:type="dxa" w:w="14832"/>
            <w:vAlign w:val="center"/>
            <w:shd w:fill="EAF4F4"/>
          </w:tcPr>
          <w:p>
            <w:pPr>
              <w:spacing w:after="0" w:before="0" w:line="204" w:lineRule="auto"/>
            </w:pPr>
            <w:r>
              <w:rPr>
                <w:b/>
                <w:color w:val="123B5D"/>
                <w:sz w:val="14"/>
              </w:rPr>
              <w:t>D+90 fecha a primeira fase. Não prova ROI nem autoriza escala corporativa automaticamente.</w:t>
            </w:r>
          </w:p>
        </w:tc>
      </w:tr>
    </w:tbl>
    <w:p>
      <w:pPr>
        <w:spacing w:after="0" w:before="0"/>
      </w:pPr>
    </w:p>
    <w:p>
      <w:pPr>
        <w:pStyle w:val="Heading1"/>
        <w:spacing w:after="0" w:before="0"/>
      </w:pPr>
      <w:r>
        <w:t>1. Decisão executiva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4944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Decisão</w:t>
            </w:r>
          </w:p>
        </w:tc>
        <w:tc>
          <w:tcPr>
            <w:tcW w:type="dxa" w:w="4944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Marque</w:t>
            </w:r>
          </w:p>
        </w:tc>
        <w:tc>
          <w:tcPr>
            <w:tcW w:type="dxa" w:w="4944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Justificativa em duas linhas</w:t>
            </w:r>
          </w:p>
        </w:tc>
      </w:tr>
      <w:tr>
        <w:tc>
          <w:tcPr>
            <w:tcW w:type="dxa" w:w="4944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Avançar para fase confirmatória</w:t>
            </w:r>
          </w:p>
        </w:tc>
        <w:tc>
          <w:tcPr>
            <w:tcW w:type="dxa" w:w="4944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☐</w:t>
            </w:r>
          </w:p>
        </w:tc>
        <w:tc>
          <w:tcPr>
            <w:tcW w:type="dxa" w:w="4944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  <w:tr>
        <w:tc>
          <w:tcPr>
            <w:tcW w:type="dxa" w:w="4944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Ajustar e repetir</w:t>
            </w:r>
          </w:p>
        </w:tc>
        <w:tc>
          <w:tcPr>
            <w:tcW w:type="dxa" w:w="4944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☐</w:t>
            </w:r>
          </w:p>
        </w:tc>
        <w:tc>
          <w:tcPr>
            <w:tcW w:type="dxa" w:w="4944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  <w:tr>
        <w:tc>
          <w:tcPr>
            <w:tcW w:type="dxa" w:w="4944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Encerrar</w:t>
            </w:r>
          </w:p>
        </w:tc>
        <w:tc>
          <w:tcPr>
            <w:tcW w:type="dxa" w:w="4944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☐</w:t>
            </w:r>
          </w:p>
        </w:tc>
        <w:tc>
          <w:tcPr>
            <w:tcW w:type="dxa" w:w="4944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</w:tbl>
    <w:p>
      <w:pPr>
        <w:pStyle w:val="Heading1"/>
        <w:spacing w:after="0" w:before="0"/>
      </w:pPr>
      <w:r>
        <w:t>2. População, desenho e governança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7416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Registro</w:t>
            </w:r>
          </w:p>
        </w:tc>
      </w:tr>
      <w:tr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Área / equipes / períodos</w:t>
            </w:r>
          </w:p>
        </w:tc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  <w:tr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Elegíveis / participantes / perdas</w:t>
            </w:r>
          </w:p>
        </w:tc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  <w:tr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Comparação e diferenças basais</w:t>
            </w:r>
          </w:p>
        </w:tc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  <w:tr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Instrumentos e versão</w:t>
            </w:r>
          </w:p>
        </w:tc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  <w:tr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Contrato de análise aprovado antes da coleta</w:t>
            </w:r>
          </w:p>
        </w:tc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  <w:tr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Classificação melhoria interna/pesquisa e consulta CEP/CONEP, se aplicável</w:t>
            </w:r>
          </w:p>
        </w:tc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  <w:tr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Acesso a dados individuais</w:t>
            </w:r>
          </w:p>
        </w:tc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Saúde ocupacional: ____________________</w:t>
            </w:r>
          </w:p>
        </w:tc>
      </w:tr>
      <w:tr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Relatório à gestão</w:t>
            </w:r>
          </w:p>
        </w:tc>
        <w:tc>
          <w:tcPr>
            <w:tcW w:type="dxa" w:w="7416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Agregado; regra de supressão: ____________________</w:t>
            </w:r>
          </w:p>
        </w:tc>
      </w:tr>
    </w:tbl>
    <w:p>
      <w:pPr>
        <w:pStyle w:val="Heading1"/>
        <w:spacing w:after="0" w:before="0"/>
      </w:pPr>
      <w:r>
        <w:t>3. Quatro gates independentes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type="dxa" w:w="3708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Resultado</w:t>
            </w:r>
          </w:p>
        </w:tc>
        <w:tc>
          <w:tcPr>
            <w:tcW w:type="dxa" w:w="3708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Incerteza / limitação</w:t>
            </w:r>
          </w:p>
        </w:tc>
        <w:tc>
          <w:tcPr>
            <w:tcW w:type="dxa" w:w="3708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Implementação</w:t>
            </w:r>
          </w:p>
        </w:tc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Aprovado / não aprovado</w:t>
            </w:r>
          </w:p>
        </w:tc>
      </w:tr>
      <w:tr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Clínico</w:t>
            </w:r>
          </w:p>
        </w:tc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Aprovado / inconclusivo / não aprovado</w:t>
            </w:r>
          </w:p>
        </w:tc>
      </w:tr>
      <w:tr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Operacional</w:t>
            </w:r>
          </w:p>
        </w:tc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Exploratório</w:t>
            </w:r>
          </w:p>
        </w:tc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Sinal / sem sinal / inconclusivo</w:t>
            </w:r>
          </w:p>
        </w:tc>
      </w:tr>
      <w:tr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Financeiro</w:t>
            </w:r>
          </w:p>
        </w:tc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Somente benefício auditável</w:t>
            </w:r>
          </w:p>
        </w:tc>
        <w:tc>
          <w:tcPr>
            <w:tcW w:type="dxa" w:w="3708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Aberto / fechado / inconclusivo</w:t>
            </w:r>
          </w:p>
        </w:tc>
      </w:tr>
    </w:tbl>
    <w:p>
      <w:pPr>
        <w:pStyle w:val="Heading1"/>
        <w:spacing w:after="0" w:before="0"/>
      </w:pPr>
      <w:r>
        <w:t>4. Efeito e segurança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c>
          <w:tcPr>
            <w:tcW w:type="dxa" w:w="2472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Indicador</w:t>
            </w:r>
          </w:p>
        </w:tc>
        <w:tc>
          <w:tcPr>
            <w:tcW w:type="dxa" w:w="2472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Piloto base</w:t>
            </w:r>
          </w:p>
        </w:tc>
        <w:tc>
          <w:tcPr>
            <w:tcW w:type="dxa" w:w="2472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Piloto D+90</w:t>
            </w:r>
          </w:p>
        </w:tc>
        <w:tc>
          <w:tcPr>
            <w:tcW w:type="dxa" w:w="2472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Comparação base</w:t>
            </w:r>
          </w:p>
        </w:tc>
        <w:tc>
          <w:tcPr>
            <w:tcW w:type="dxa" w:w="2472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Comparação D+90</w:t>
            </w:r>
          </w:p>
        </w:tc>
        <w:tc>
          <w:tcPr>
            <w:tcW w:type="dxa" w:w="2472"/>
            <w:shd w:fill="123B5D"/>
          </w:tcPr>
          <w:p>
            <w:pPr>
              <w:spacing w:after="0" w:before="0" w:line="204" w:lineRule="auto"/>
            </w:pPr>
            <w:r>
              <w:rPr>
                <w:b/>
                <w:color w:val="FFFFFF"/>
                <w:sz w:val="14"/>
              </w:rPr>
              <w:t>Efeito + IC</w:t>
            </w:r>
          </w:p>
        </w:tc>
      </w:tr>
      <w:tr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Sintomas</w:t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  <w:tr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Adesão / fidelidade</w:t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N/A ou contaminação</w:t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  <w:tr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Indicador operacional</w:t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  <w:tr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Eventos de segurança</w:t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  <w:tr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  <w:t>K_H / B_caixa,H incremental atribuível</w:t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  <w:tc>
          <w:tcPr>
            <w:tcW w:type="dxa" w:w="2472"/>
          </w:tcPr>
          <w:p>
            <w:pPr>
              <w:spacing w:after="0" w:before="0" w:line="204" w:lineRule="auto"/>
            </w:pPr>
            <w:r>
              <w:rPr>
                <w:sz w:val="14"/>
              </w:rPr>
            </w:r>
          </w:p>
        </w:tc>
      </w:tr>
    </w:tbl>
    <w:p>
      <w:pPr>
        <w:pStyle w:val="Heading1"/>
        <w:spacing w:after="0" w:before="0"/>
      </w:pPr>
      <w:r>
        <w:t>5. Próximo desenho</w:t>
      </w:r>
    </w:p>
    <w:p>
      <w:pPr>
        <w:spacing w:after="0" w:before="0"/>
      </w:pPr>
      <w:r>
        <w:t xml:space="preserve">Número de equipes/períodos, efeito esperado, ICC, atrito, contaminação, cálculo amostral e análise: </w:t>
      </w:r>
    </w:p>
    <w:p>
      <w:pPr>
        <w:spacing w:after="0" w:before="0"/>
      </w:pPr>
      <w:r>
        <w:t>________________________________________________________________________________</w:t>
      </w:r>
    </w:p>
    <w:sectPr w:rsidR="00FC693F" w:rsidRPr="0006063C" w:rsidSect="00034616">
      <w:pgSz w:w="15840" w:h="12240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16" w:lineRule="auto"/>
    </w:pPr>
    <w:rPr>
      <w:rFonts w:ascii="Aptos" w:hAnsi="Apto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A6A6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B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