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Termo de privacidade</w:t>
      </w:r>
    </w:p>
    <w:p>
      <w:pPr>
        <w:jc w:val="center"/>
      </w:pPr>
      <w:r>
        <w:rPr>
          <w:b/>
          <w:color w:val="61717E"/>
        </w:rPr>
        <w:t>Modelo para revisão jurídica e de saúde ocupacional</w:t>
      </w:r>
    </w:p>
    <w:p>
      <w:pPr>
        <w:jc w:val="center"/>
      </w:pPr>
      <w:r>
        <w:rPr>
          <w:color w:val="61717E"/>
          <w:sz w:val="18"/>
        </w:rPr>
        <w:t>Kit de Execução v2.9.21 · 2026-07-13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vAlign w:val="center"/>
            <w:shd w:fill="EAF4F4"/>
          </w:tcPr>
          <w:p>
            <w:r>
              <w:rPr>
                <w:b/>
                <w:color w:val="123B5D"/>
              </w:rPr>
              <w:t>Modelo informativo. Não substitui parecer jurídico, definição de controlador/operador, RIPD quando aplicável nem protocolo clínico.</w:t>
            </w:r>
          </w:p>
        </w:tc>
      </w:tr>
    </w:tbl>
    <w:p/>
    <w:p>
      <w:pPr>
        <w:pStyle w:val="Heading1"/>
      </w:pPr>
      <w:r>
        <w:t>Identificação e finalidade</w:t>
      </w:r>
    </w:p>
    <w:p>
      <w:r>
        <w:t>A [EMPRESA] realizará uma ação de saúde visual com a finalidade de compreender sintomas, orientar ajustes de ambiente e oferecer encaminhamento clínico quando indicado. A participação e as consequências de não participar devem ser explicadas em linguagem clara.</w:t>
      </w:r>
    </w:p>
    <w:p>
      <w:pPr>
        <w:pStyle w:val="Heading1"/>
      </w:pPr>
      <w:r>
        <w:t>Dados e acessos</w:t>
      </w:r>
    </w:p>
    <w:p>
      <w:pPr>
        <w:pStyle w:val="ListBullet"/>
      </w:pPr>
      <w:r>
        <w:t>Dados individuais de saúde: acesso restrito à equipe assistencial autorizada.</w:t>
      </w:r>
    </w:p>
    <w:p>
      <w:pPr>
        <w:pStyle w:val="ListBullet"/>
      </w:pPr>
      <w:r>
        <w:t>Gestão e liderança: somente resultados agregados, com regra de supressão para grupos pequenos.</w:t>
      </w:r>
    </w:p>
    <w:p>
      <w:pPr>
        <w:pStyle w:val="ListBullet"/>
      </w:pPr>
      <w:r>
        <w:t>Nenhum dado de saúde em avaliação de desempenho, promoção, remuneração ou disciplina.</w:t>
      </w:r>
    </w:p>
    <w:p>
      <w:pPr>
        <w:pStyle w:val="ListBullet"/>
      </w:pPr>
      <w:r>
        <w:t>Finalidade, retenção, descarte, compartilhamento e segurança documentados antes da coleta.</w:t>
      </w:r>
    </w:p>
    <w:p>
      <w:pPr>
        <w:pStyle w:val="ListBullet"/>
      </w:pPr>
      <w:r>
        <w:t>Canal para direitos do titular e contato do encarregado/DPO divulgado.</w:t>
      </w:r>
    </w:p>
    <w:p>
      <w:pPr>
        <w:pStyle w:val="ListBullet"/>
      </w:pPr>
      <w:r>
        <w:t>Classificação documentada entre melhoria interna e pesquisa; quando houver finalidade de pesquisa com participantes humanos, consultar CEP/CONEP e Plataforma Brasil antes da coleta.</w:t>
      </w:r>
    </w:p>
    <w:p>
      <w:pPr>
        <w:pStyle w:val="Heading1"/>
      </w:pPr>
      <w:r>
        <w:t>Texto-base ao participante</w:t>
      </w:r>
    </w:p>
    <w:p>
      <w:r>
        <w:t>Entendo a finalidade da ação, quais dados serão coletados, quem poderá acessá-los e por quanto tempo serão mantidos. A empresa receberá somente resultados agregados. Posso fazer perguntas e exercer meus direitos pelo canal [CONTATO]. Sinais de alerta e necessidades clínicas serão tratados pela equipe de saúde, independentemente do resultado agregado do programa.</w:t>
      </w:r>
    </w:p>
    <w:p>
      <w:pPr>
        <w:pStyle w:val="Heading1"/>
      </w:pPr>
      <w:r>
        <w:t>Checklist de revisão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23B5D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360"/>
            <w:shd w:fill="123B5D"/>
          </w:tcPr>
          <w:p>
            <w:r>
              <w:rPr>
                <w:b/>
                <w:color w:val="FFFFFF"/>
              </w:rPr>
              <w:t>Responsável</w:t>
            </w:r>
          </w:p>
        </w:tc>
        <w:tc>
          <w:tcPr>
            <w:tcW w:type="dxa" w:w="3360"/>
            <w:shd w:fill="123B5D"/>
          </w:tcPr>
          <w:p>
            <w:r>
              <w:rPr>
                <w:b/>
                <w:color w:val="FFFFFF"/>
              </w:rPr>
              <w:t>Status / evidência</w:t>
            </w:r>
          </w:p>
        </w:tc>
      </w:tr>
      <w:tr>
        <w:tc>
          <w:tcPr>
            <w:tcW w:type="dxa" w:w="3360"/>
          </w:tcPr>
          <w:p>
            <w:r>
              <w:t>Base legal e finalidade</w:t>
            </w:r>
          </w:p>
        </w:tc>
        <w:tc>
          <w:tcPr>
            <w:tcW w:type="dxa" w:w="3360"/>
          </w:tcPr>
          <w:p>
            <w:r>
              <w:t>Jurídico / DPO / saúde ocupacional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Controlador, operadores e contratos</w:t>
            </w:r>
          </w:p>
        </w:tc>
        <w:tc>
          <w:tcPr>
            <w:tcW w:type="dxa" w:w="3360"/>
          </w:tcPr>
          <w:p>
            <w:r>
              <w:t>Jurídico / DPO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Minimização e retenção</w:t>
            </w:r>
          </w:p>
        </w:tc>
        <w:tc>
          <w:tcPr>
            <w:tcW w:type="dxa" w:w="3360"/>
          </w:tcPr>
          <w:p>
            <w:r>
              <w:t>DPO / TI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Regra de agregação e supressão</w:t>
            </w:r>
          </w:p>
        </w:tc>
        <w:tc>
          <w:tcPr>
            <w:tcW w:type="dxa" w:w="3360"/>
          </w:tcPr>
          <w:p>
            <w:r>
              <w:t>Saúde ocupacional / estatístico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Segurança e resposta a incidente</w:t>
            </w:r>
          </w:p>
        </w:tc>
        <w:tc>
          <w:tcPr>
            <w:tcW w:type="dxa" w:w="3360"/>
          </w:tcPr>
          <w:p>
            <w:r>
              <w:t>TI / DPO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Fluxo clínico e sinais de alerta</w:t>
            </w:r>
          </w:p>
        </w:tc>
        <w:tc>
          <w:tcPr>
            <w:tcW w:type="dxa" w:w="3360"/>
          </w:tcPr>
          <w:p>
            <w:r>
              <w:t>Médico responsável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Comunicação ao participante</w:t>
            </w:r>
          </w:p>
        </w:tc>
        <w:tc>
          <w:tcPr>
            <w:tcW w:type="dxa" w:w="3360"/>
          </w:tcPr>
          <w:p>
            <w:r>
              <w:t>RH / comunicação / saúde</w:t>
            </w:r>
          </w:p>
        </w:tc>
        <w:tc>
          <w:tcPr>
            <w:tcW w:type="dxa" w:w="3360"/>
          </w:tcPr>
          <w:p>
            <w:r/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A6A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B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