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BDF0C2" w14:textId="77777777" w:rsidR="006F394A" w:rsidRDefault="006F394A" w:rsidP="006F394A">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IN THE CRIMINAL COURT OF [COUNTY], TENNESSEE</w:t>
      </w:r>
    </w:p>
    <w:p w14:paraId="5ECA2288" w14:textId="77777777" w:rsidR="006F394A" w:rsidRDefault="006F394A" w:rsidP="006F394A">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STATE OF TENNESSEE</w:t>
        <w:tab/>
        <w:tab/>
        <w:tab/>
        <w:t>*</w:t>
      </w:r>
    </w:p>
    <w:p w14:paraId="0B9BB65E" w14:textId="77777777" w:rsidR="006F394A" w:rsidRDefault="006F394A" w:rsidP="006F394A">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tab/>
        <w:tab/>
        <w:tab/>
        <w:tab/>
        <w:tab/>
        <w:t>*</w:t>
      </w:r>
    </w:p>
    <w:p w14:paraId="6FAFEA65" w14:textId="77777777" w:rsidR="006F394A" w:rsidRDefault="006F394A" w:rsidP="006F394A">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v.</w:t>
        <w:tab/>
        <w:tab/>
        <w:tab/>
        <w:tab/>
        <w:tab/>
        <w:tab/>
        <w:t>*</w:t>
        <w:tab/>
        <w:t>Docket No. [REDACTED]</w:t>
      </w:r>
    </w:p>
    <w:p w14:paraId="4AC01203" w14:textId="77777777" w:rsidR="006F394A" w:rsidRDefault="006F394A" w:rsidP="006F394A">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tab/>
        <w:tab/>
        <w:tab/>
        <w:tab/>
        <w:tab/>
        <w:t>*</w:t>
      </w:r>
    </w:p>
    <w:p w14:paraId="457FD787" w14:textId="77777777" w:rsidR="006F394A" w:rsidRDefault="006F394A" w:rsidP="006F394A">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[DEFENDANT NAME],</w:t>
        <w:tab/>
        <w:tab/>
        <w:tab/>
        <w:t>*</w:t>
        <w:tab/>
        <w:t>JUDGE [REDACTED]</w:t>
      </w:r>
    </w:p>
    <w:p w14:paraId="547C3919" w14:textId="77777777" w:rsidR="006F394A" w:rsidRDefault="006F394A" w:rsidP="006F394A">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tab/>
        <w:tab/>
        <w:tab/>
        <w:tab/>
        <w:tab/>
        <w:t>*</w:t>
      </w:r>
    </w:p>
    <w:p w14:paraId="3CA752DE" w14:textId="77777777" w:rsidR="006F394A" w:rsidRDefault="006F394A" w:rsidP="006F394A">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t>Defendant.</w:t>
        <w:tab/>
        <w:tab/>
        <w:tab/>
        <w:tab/>
        <w:t>*</w:t>
      </w:r>
    </w:p>
    <w:p w14:paraId="7A22DFDE" w14:textId="77777777" w:rsidR="006F394A" w:rsidRDefault="006F394A" w:rsidP="006F394A">
      <w:pPr>
        <w:spacing w:after="0" w:line="240" w:lineRule="auto"/>
        <w:jc w:val="both"/>
        <w:rPr>
          <w:rFonts w:ascii="Times New Roman" w:hAnsi="Times New Roman" w:cs="Times New Roman"/>
          <w:b/>
          <w:bCs/>
          <w:sz w:val="24"/>
          <w:szCs w:val="24"/>
        </w:rPr>
      </w:pPr>
    </w:p>
    <w:p w14:paraId="0CDD46D7" w14:textId="77777777" w:rsidR="00792166" w:rsidRDefault="006F394A" w:rsidP="006F394A">
      <w:pPr>
        <w:spacing w:after="0" w:line="24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MOTION TO DISMISS DUE TO SPEEDY TRIAL VIOLATION </w:t>
      </w:r>
    </w:p>
    <w:p w14:paraId="26F343F5" w14:textId="713EAF70" w:rsidR="006F394A" w:rsidRDefault="005334B9" w:rsidP="006F394A">
      <w:pPr>
        <w:spacing w:after="0" w:line="24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&amp; MEMORANDUM IN SUPPORT</w:t>
      </w:r>
    </w:p>
    <w:p w14:paraId="5D82CEAA" w14:textId="77777777" w:rsidR="006F394A" w:rsidRDefault="006F394A" w:rsidP="006F394A">
      <w:pPr>
        <w:spacing w:after="0" w:line="240" w:lineRule="auto"/>
        <w:jc w:val="center"/>
        <w:rPr>
          <w:rFonts w:ascii="Times New Roman" w:hAnsi="Times New Roman" w:cs="Times New Roman"/>
          <w:b/>
          <w:bCs/>
          <w:sz w:val="24"/>
          <w:szCs w:val="24"/>
          <w:u w:val="single"/>
        </w:rPr>
      </w:pPr>
    </w:p>
    <w:p w14:paraId="119BFB4F" w14:textId="788E018D" w:rsidR="006F394A" w:rsidRDefault="006F394A" w:rsidP="006F394A">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ab/>
        <w:t xml:space="preserve">COMES NOW, </w:t>
      </w:r>
      <w:r>
        <w:rPr>
          <w:rFonts w:ascii="Times New Roman" w:hAnsi="Times New Roman" w:cs="Times New Roman"/>
          <w:sz w:val="24"/>
          <w:szCs w:val="24"/>
        </w:rPr>
        <w:t xml:space="preserve">the Defendant, [DEFENDANT NAME], by and through counsel, [DEFENSE ATTORNEY], pursuant to T.C.A. § 40-14-101, Rule 48(b) of the </w:t>
      </w:r>
      <w:r>
        <w:rPr>
          <w:rFonts w:ascii="Times New Roman" w:hAnsi="Times New Roman" w:cs="Times New Roman"/>
          <w:i/>
          <w:iCs/>
          <w:sz w:val="24"/>
          <w:szCs w:val="24"/>
        </w:rPr>
        <w:t>Tennessee Rules of Criminal Procedure</w:t>
      </w:r>
      <w:r>
        <w:rPr>
          <w:rFonts w:ascii="Times New Roman" w:hAnsi="Times New Roman" w:cs="Times New Roman"/>
          <w:sz w:val="24"/>
          <w:szCs w:val="24"/>
        </w:rPr>
        <w:t>, Article 1, Section 9 of the Tennessee Constitution, the 6</w:t>
      </w:r>
      <w:r>
        <w:rPr>
          <w:rFonts w:ascii="Times New Roman" w:hAnsi="Times New Roman" w:cs="Times New Roman"/>
          <w:sz w:val="24"/>
          <w:szCs w:val="24"/>
          <w:vertAlign w:val="superscript"/>
        </w:rPr>
        <w:t>th</w:t>
      </w:r>
      <w:r>
        <w:rPr>
          <w:rFonts w:ascii="Times New Roman" w:hAnsi="Times New Roman" w:cs="Times New Roman"/>
          <w:sz w:val="24"/>
          <w:szCs w:val="24"/>
        </w:rPr>
        <w:t xml:space="preserve"> Amendment to the United States Constitution, and to the extent applicable, the Due Process clauses of the 14</w:t>
      </w:r>
      <w:r>
        <w:rPr>
          <w:rFonts w:ascii="Times New Roman" w:hAnsi="Times New Roman" w:cs="Times New Roman"/>
          <w:sz w:val="24"/>
          <w:szCs w:val="24"/>
          <w:vertAlign w:val="superscript"/>
        </w:rPr>
        <w:t>th</w:t>
      </w:r>
      <w:r>
        <w:rPr>
          <w:rFonts w:ascii="Times New Roman" w:hAnsi="Times New Roman" w:cs="Times New Roman"/>
          <w:sz w:val="24"/>
          <w:szCs w:val="24"/>
        </w:rPr>
        <w:t xml:space="preserve"> Amendment to the United States Constitution and Article 1, Section 8 of the Tennessee Constitution, and hereby moves this Court to dismiss the Indictment in this case because the Defendant’s constitutional right to a speedy trial has been violated.  The Defendant would show as follows:</w:t>
      </w:r>
    </w:p>
    <w:p w14:paraId="7BA00E72" w14:textId="45D14528" w:rsidR="007717D8" w:rsidRDefault="005334B9"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1.</w:t>
        <w:tab/>
        <w:t>On April 12, 2016, the Defendant, 29-year-old [DEFENDANT NAME], was arrested for a single charge of aggravated assault on [DATE 2016] at his home following an incident involving his then-current fiancé’s parents.  At the time, the Defendant had an 11-day old baby with his fiancé, was employed, and had no criminal record.</w:t>
      </w:r>
      <w:r>
        <w:rPr>
          <w:rStyle w:val="FootnoteReference"/>
          <w:rFonts w:ascii="Times New Roman" w:hAnsi="Times New Roman" w:cs="Times New Roman"/>
          <w:sz w:val="24"/>
          <w:szCs w:val="24"/>
        </w:rPr>
        <w:footnoteReference w:id="1"/>
      </w:r>
    </w:p>
    <w:p w14:paraId="482D5FEB" w14:textId="51680C53" w:rsidR="00E7157B" w:rsidRDefault="007717D8" w:rsidP="007717D8">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2.</w:t>
        <w:tab/>
        <w:t>The Defendant made bond and was released on April 12, 2016.  He was soon terminated from his job because of these charges.</w:t>
      </w:r>
    </w:p>
    <w:p w14:paraId="35DE0EA4" w14:textId="0831B2A0" w:rsidR="005334B9" w:rsidRDefault="00E7157B" w:rsidP="007717D8">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3.</w:t>
        <w:tab/>
        <w:t>On May 18, 2016, the Defendant appeared in [County] General Sessions Court with his private attorney, [PRIOR DEFENSE ATTORNEY], and his case was bound over to the [County] Grand Jury.</w:t>
      </w:r>
    </w:p>
    <w:p w14:paraId="1CF9ACB2" w14:textId="476764FC" w:rsidR="00484FBF" w:rsidRDefault="00484FBF"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4.</w:t>
        <w:tab/>
        <w:t>On July 20, 2016, the [County] Grand Jury indicted the Defendant in Docket No. [REDACTED-PRIOR] and charged him with one (1) count of “domestic aggravated assault” against Jeanette [WITNESS] and Robert [WITNESS], his fiancé’s parents, a Class C felony.</w:t>
      </w:r>
    </w:p>
    <w:p w14:paraId="66C42AB4" w14:textId="54F6E53B" w:rsidR="00B012F5" w:rsidRDefault="00B012F5"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5.</w:t>
        <w:tab/>
        <w:t>The Defendant’s initial arraignment was set on July 29, 2016 and the case was passed to August 5, 2016.</w:t>
      </w:r>
    </w:p>
    <w:p w14:paraId="47BFBD5D" w14:textId="0033C307" w:rsidR="00C2625F" w:rsidRDefault="00C2625F"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6.</w:t>
        <w:tab/>
        <w:t>On August 5, 2016, Attorney [PRIOR DEFENSE ATTORNEY] entered an appearance for the Defendant, and the Defendant entered a not guilty plea.</w:t>
      </w:r>
    </w:p>
    <w:p w14:paraId="17387CBD" w14:textId="05B5C03D" w:rsidR="00D3541B" w:rsidRDefault="00D3541B"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7.</w:t>
        <w:tab/>
        <w:t>The case was passed to October 5, 2016, November 30, 2016, February 22, 2017 and to March 22, 2017 for disposition.</w:t>
      </w:r>
    </w:p>
    <w:p w14:paraId="0BAB2473" w14:textId="1AB1570B" w:rsidR="001F22F1" w:rsidRDefault="00AE669D"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8.</w:t>
        <w:tab/>
        <w:t xml:space="preserve">On March 22, 2017, this Court entered a formal scheduling Order that contained a discovery deadline, a motion deadline and a status conference date.  A trial date was not set. </w:t>
      </w:r>
    </w:p>
    <w:p w14:paraId="7712E9E5" w14:textId="5F9B6E3E" w:rsidR="00693190" w:rsidRDefault="001F22F1"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9.</w:t>
        <w:tab/>
        <w:t xml:space="preserve">On May 8, 2017, the Court reset the case for [DATE 2017].  </w:t>
      </w:r>
    </w:p>
    <w:p w14:paraId="7570DA71" w14:textId="7EE76549" w:rsidR="00866F19" w:rsidRDefault="00D5480D" w:rsidP="00693190">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10.</w:t>
        <w:tab/>
        <w:t xml:space="preserve">On [DATE 2017], the Court conducted a hearing.  During the hearing, the State (Assistant District Attorney Bates Bryan) announced terms of a plea agreement with the Defendant and announced that the alleged victim(s) had approved of the agreement.  Those terms were that the Defendant would enter a </w:t>
      </w:r>
      <w:r>
        <w:rPr>
          <w:rFonts w:ascii="Times New Roman" w:hAnsi="Times New Roman" w:cs="Times New Roman"/>
          <w:i/>
          <w:iCs/>
          <w:sz w:val="24"/>
          <w:szCs w:val="24"/>
        </w:rPr>
        <w:t>nolo contendere</w:t>
      </w:r>
      <w:r>
        <w:rPr>
          <w:rStyle w:val="FootnoteReference"/>
          <w:rFonts w:ascii="Times New Roman" w:hAnsi="Times New Roman" w:cs="Times New Roman"/>
          <w:i/>
          <w:iCs/>
          <w:sz w:val="24"/>
          <w:szCs w:val="24"/>
        </w:rPr>
        <w:footnoteReference w:id="2"/>
      </w:r>
      <w:r>
        <w:rPr>
          <w:rFonts w:ascii="Times New Roman" w:hAnsi="Times New Roman" w:cs="Times New Roman"/>
          <w:sz w:val="24"/>
          <w:szCs w:val="24"/>
        </w:rPr>
        <w:t xml:space="preserve"> plea to attempted domestic aggravated assault, a </w:t>
        <w:lastRenderedPageBreak/>
        <w:t xml:space="preserve">Class D felony, receive a two (2) year suspended sentence, have no contact with the alleged victim(s), receive some mental health counseling thru Joe Johnson Mental Health and requested a judicial diversion pursuant to T.C.A. § 40-35-313.  </w:t>
      </w:r>
      <w:r>
        <w:rPr>
          <w:rFonts w:ascii="Times New Roman" w:hAnsi="Times New Roman" w:cs="Times New Roman"/>
          <w:i/>
          <w:iCs/>
          <w:sz w:val="24"/>
          <w:szCs w:val="24"/>
        </w:rPr>
        <w:t>See</w:t>
      </w:r>
      <w:r>
        <w:rPr>
          <w:rFonts w:ascii="Times New Roman" w:hAnsi="Times New Roman" w:cs="Times New Roman"/>
          <w:sz w:val="24"/>
          <w:szCs w:val="24"/>
        </w:rPr>
        <w:t xml:space="preserve"> Transcript, [DATE 2017], p. 2-3.  It is undisputed that the Defendant was a “qualified defendant” pursuant to T.C.A. § 40-35-313.</w:t>
      </w:r>
      <w:r>
        <w:rPr>
          <w:rStyle w:val="FootnoteReference"/>
          <w:rFonts w:ascii="Times New Roman" w:hAnsi="Times New Roman" w:cs="Times New Roman"/>
          <w:sz w:val="24"/>
          <w:szCs w:val="24"/>
        </w:rPr>
        <w:footnoteReference w:id="3"/>
      </w:r>
      <w:r>
        <w:rPr>
          <w:rFonts w:ascii="Times New Roman" w:hAnsi="Times New Roman" w:cs="Times New Roman"/>
          <w:sz w:val="24"/>
          <w:szCs w:val="24"/>
        </w:rPr>
        <w:t xml:space="preserve">  </w:t>
      </w:r>
    </w:p>
    <w:p w14:paraId="15DB47A6" w14:textId="5872E8DF" w:rsidR="00A92DDC" w:rsidRDefault="00866F19" w:rsidP="00693190">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During the [DATE 2017] hearing, the State, in announcing the agreed upon factual basis stated, “he got a rifle, which I believe was a Mouzer, I’m not sure what caliber, ratcheted the bolt of it.  </w:t>
      </w:r>
      <w:r>
        <w:rPr>
          <w:rFonts w:ascii="Times New Roman" w:hAnsi="Times New Roman" w:cs="Times New Roman"/>
          <w:b/>
          <w:bCs/>
          <w:i/>
          <w:iCs/>
          <w:sz w:val="24"/>
          <w:szCs w:val="24"/>
        </w:rPr>
        <w:t>I don’t believe he pointed it at them</w:t>
      </w:r>
      <w:r>
        <w:rPr>
          <w:rFonts w:ascii="Times New Roman" w:hAnsi="Times New Roman" w:cs="Times New Roman"/>
          <w:sz w:val="24"/>
          <w:szCs w:val="24"/>
        </w:rPr>
        <w:t xml:space="preserve">…”  </w:t>
      </w:r>
      <w:r>
        <w:rPr>
          <w:rFonts w:ascii="Times New Roman" w:hAnsi="Times New Roman" w:cs="Times New Roman"/>
          <w:i/>
          <w:iCs/>
          <w:sz w:val="24"/>
          <w:szCs w:val="24"/>
        </w:rPr>
        <w:t>Id</w:t>
      </w:r>
      <w:r>
        <w:rPr>
          <w:rFonts w:ascii="Times New Roman" w:hAnsi="Times New Roman" w:cs="Times New Roman"/>
          <w:sz w:val="24"/>
          <w:szCs w:val="24"/>
        </w:rPr>
        <w:t>. at 4.  The Court asked if there was a round in the chamber and the State stated, “</w:t>
      </w:r>
      <w:r>
        <w:rPr>
          <w:rFonts w:ascii="Times New Roman" w:hAnsi="Times New Roman" w:cs="Times New Roman"/>
          <w:b/>
          <w:bCs/>
          <w:i/>
          <w:iCs/>
          <w:sz w:val="24"/>
          <w:szCs w:val="24"/>
        </w:rPr>
        <w:t>I don’t have any indication that there was a round in the chamber</w:t>
      </w:r>
      <w:r>
        <w:rPr>
          <w:rFonts w:ascii="Times New Roman" w:hAnsi="Times New Roman" w:cs="Times New Roman"/>
          <w:sz w:val="24"/>
          <w:szCs w:val="24"/>
        </w:rPr>
        <w:t xml:space="preserve">.”  </w:t>
      </w:r>
      <w:r>
        <w:rPr>
          <w:rFonts w:ascii="Times New Roman" w:hAnsi="Times New Roman" w:cs="Times New Roman"/>
          <w:i/>
          <w:iCs/>
          <w:sz w:val="24"/>
          <w:szCs w:val="24"/>
        </w:rPr>
        <w:t>Id</w:t>
      </w:r>
      <w:r>
        <w:rPr>
          <w:rFonts w:ascii="Times New Roman" w:hAnsi="Times New Roman" w:cs="Times New Roman"/>
          <w:sz w:val="24"/>
          <w:szCs w:val="24"/>
        </w:rPr>
        <w:t xml:space="preserve">.  </w:t>
      </w:r>
    </w:p>
    <w:p w14:paraId="03C453F0" w14:textId="58BCB2F6" w:rsidR="004072CD" w:rsidRDefault="00BA6B05" w:rsidP="00693190">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When asked if the victim(s) agreed to the proposed resolution, the Assistant District Attorney stated, “[w]e’ve had a number of discussions from the initiation on.  They’ve been very cooperative.  They have expressed interest, and part of their pain is that the defendant, he’s not able to be a part of the child’s life right now…”  </w:t>
      </w:r>
      <w:r>
        <w:rPr>
          <w:rFonts w:ascii="Times New Roman" w:hAnsi="Times New Roman" w:cs="Times New Roman"/>
          <w:i/>
          <w:iCs/>
          <w:sz w:val="24"/>
          <w:szCs w:val="24"/>
        </w:rPr>
        <w:t>Id</w:t>
      </w:r>
      <w:r>
        <w:rPr>
          <w:rFonts w:ascii="Times New Roman" w:hAnsi="Times New Roman" w:cs="Times New Roman"/>
          <w:sz w:val="24"/>
          <w:szCs w:val="24"/>
        </w:rPr>
        <w:t xml:space="preserve">. at 5.  The State affirmatively announced that the victim(s) agreed with the resolution.  </w:t>
      </w:r>
      <w:r>
        <w:rPr>
          <w:rFonts w:ascii="Times New Roman" w:hAnsi="Times New Roman" w:cs="Times New Roman"/>
          <w:i/>
          <w:iCs/>
          <w:sz w:val="24"/>
          <w:szCs w:val="24"/>
        </w:rPr>
        <w:t>Id</w:t>
      </w:r>
      <w:r>
        <w:rPr>
          <w:rFonts w:ascii="Times New Roman" w:hAnsi="Times New Roman" w:cs="Times New Roman"/>
          <w:sz w:val="24"/>
          <w:szCs w:val="24"/>
        </w:rPr>
        <w:t>.</w:t>
      </w:r>
    </w:p>
    <w:p w14:paraId="50F2C4C9" w14:textId="037FB5D1" w:rsidR="00044AE1" w:rsidRDefault="00714CE7"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 xml:space="preserve">Mr. [PRIOR DEFENSE ATTORNEY] on behalf of the Defendant announced to the Court that there would be some dispute as to the facts (which is common).  </w:t>
      </w:r>
      <w:r>
        <w:rPr>
          <w:rFonts w:ascii="Times New Roman" w:hAnsi="Times New Roman" w:cs="Times New Roman"/>
          <w:i/>
          <w:iCs/>
          <w:sz w:val="24"/>
          <w:szCs w:val="24"/>
        </w:rPr>
        <w:t>Id</w:t>
      </w:r>
      <w:r>
        <w:rPr>
          <w:rFonts w:ascii="Times New Roman" w:hAnsi="Times New Roman" w:cs="Times New Roman"/>
          <w:sz w:val="24"/>
          <w:szCs w:val="24"/>
        </w:rPr>
        <w:t>. at 6.</w:t>
      </w:r>
    </w:p>
    <w:p w14:paraId="556ECDD2" w14:textId="677FFF6B" w:rsidR="00C940BE" w:rsidRDefault="00C940BE"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 xml:space="preserve">The Court asked the Defendant if there was a round in the chamber to which he responded in the negative and he had not owned or possessed ammunition for two (2) years prior to this event.  </w:t>
      </w:r>
      <w:r>
        <w:rPr>
          <w:rFonts w:ascii="Times New Roman" w:hAnsi="Times New Roman" w:cs="Times New Roman"/>
          <w:i/>
          <w:iCs/>
          <w:sz w:val="24"/>
          <w:szCs w:val="24"/>
        </w:rPr>
        <w:t>Id</w:t>
      </w:r>
      <w:r>
        <w:rPr>
          <w:rFonts w:ascii="Times New Roman" w:hAnsi="Times New Roman" w:cs="Times New Roman"/>
          <w:sz w:val="24"/>
          <w:szCs w:val="24"/>
        </w:rPr>
        <w:t>. at 7.</w:t>
      </w:r>
    </w:p>
    <w:p w14:paraId="0B143A8F" w14:textId="2BFB7A5E" w:rsidR="004072CD" w:rsidRDefault="00E15CBD" w:rsidP="00044AE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The Court then asked if the Defendant had accepted responsibility to which the Defendant replied, “I feel like I definitely could have handled the situation differently, but I feel like everybody in the situation could have handled it differently.”  Again, the Court asked, “how have you taken responsibility”, to which the Defendant advised the Court that he has not contacted the victims whatsoever, that he has lost two (2) $70,000/year positions as a system’s engineer and a senior programmer (due to these charges) and he’s been trying to find work.  </w:t>
      </w:r>
      <w:r>
        <w:rPr>
          <w:rFonts w:ascii="Times New Roman" w:hAnsi="Times New Roman" w:cs="Times New Roman"/>
          <w:i/>
          <w:iCs/>
          <w:sz w:val="24"/>
          <w:szCs w:val="24"/>
        </w:rPr>
        <w:t>Id</w:t>
      </w:r>
      <w:r>
        <w:rPr>
          <w:rFonts w:ascii="Times New Roman" w:hAnsi="Times New Roman" w:cs="Times New Roman"/>
          <w:sz w:val="24"/>
          <w:szCs w:val="24"/>
        </w:rPr>
        <w:t xml:space="preserve">.  He and his attorney advised the Court that he had seen the arresting officer and apologized to the officer for the way that he behaved the night of the incident.  </w:t>
      </w:r>
      <w:r>
        <w:rPr>
          <w:rFonts w:ascii="Times New Roman" w:hAnsi="Times New Roman" w:cs="Times New Roman"/>
          <w:i/>
          <w:iCs/>
          <w:sz w:val="24"/>
          <w:szCs w:val="24"/>
        </w:rPr>
        <w:t>Id</w:t>
      </w:r>
      <w:r>
        <w:rPr>
          <w:rFonts w:ascii="Times New Roman" w:hAnsi="Times New Roman" w:cs="Times New Roman"/>
          <w:sz w:val="24"/>
          <w:szCs w:val="24"/>
        </w:rPr>
        <w:t xml:space="preserve">. at 8.  The Defendant told the Court that this event was three (3) weeks after his brother died and two (2) weeks after his son had just been born when this event transpired.  </w:t>
      </w:r>
      <w:r>
        <w:rPr>
          <w:rFonts w:ascii="Times New Roman" w:hAnsi="Times New Roman" w:cs="Times New Roman"/>
          <w:i/>
          <w:iCs/>
          <w:sz w:val="24"/>
          <w:szCs w:val="24"/>
        </w:rPr>
        <w:t>Id</w:t>
      </w:r>
      <w:r>
        <w:rPr>
          <w:rFonts w:ascii="Times New Roman" w:hAnsi="Times New Roman" w:cs="Times New Roman"/>
          <w:sz w:val="24"/>
          <w:szCs w:val="24"/>
        </w:rPr>
        <w:t>.</w:t>
      </w:r>
    </w:p>
    <w:p w14:paraId="249F918F" w14:textId="6F56EC8F" w:rsidR="00185A9A" w:rsidRDefault="00185A9A" w:rsidP="00044AE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Court asked the Defendant if he was “remorseful,” which the Defendant responded, “yes, I’m definitely remorseful.  I have not been able to see my son in an entire year, you know, and I haven’t been able to be a part of the family.”  </w:t>
      </w:r>
      <w:r>
        <w:rPr>
          <w:rFonts w:ascii="Times New Roman" w:hAnsi="Times New Roman" w:cs="Times New Roman"/>
          <w:i/>
          <w:iCs/>
          <w:sz w:val="24"/>
          <w:szCs w:val="24"/>
        </w:rPr>
        <w:t>Id</w:t>
      </w:r>
      <w:r>
        <w:rPr>
          <w:rFonts w:ascii="Times New Roman" w:hAnsi="Times New Roman" w:cs="Times New Roman"/>
          <w:sz w:val="24"/>
          <w:szCs w:val="24"/>
        </w:rPr>
        <w:t xml:space="preserve">.  There were follow-up questions regarding the Defendant’s remorse which he replied, “Yes, I am very remorseful…I have been for the past year and a half.  And I hold no ill will towards them whatsoever.”  </w:t>
      </w:r>
      <w:r>
        <w:rPr>
          <w:rFonts w:ascii="Times New Roman" w:hAnsi="Times New Roman" w:cs="Times New Roman"/>
          <w:i/>
          <w:iCs/>
          <w:sz w:val="24"/>
          <w:szCs w:val="24"/>
        </w:rPr>
        <w:t>Id</w:t>
      </w:r>
      <w:r>
        <w:rPr>
          <w:rFonts w:ascii="Times New Roman" w:hAnsi="Times New Roman" w:cs="Times New Roman"/>
          <w:sz w:val="24"/>
          <w:szCs w:val="24"/>
        </w:rPr>
        <w:t xml:space="preserve">. at 9.  He further said that he held no ill will towards his ex-fiancé, stating “as well as my ex-fiancé.”  </w:t>
      </w:r>
      <w:r>
        <w:rPr>
          <w:rFonts w:ascii="Times New Roman" w:hAnsi="Times New Roman" w:cs="Times New Roman"/>
          <w:i/>
          <w:iCs/>
          <w:sz w:val="24"/>
          <w:szCs w:val="24"/>
        </w:rPr>
        <w:t>Id</w:t>
      </w:r>
      <w:r>
        <w:rPr>
          <w:rFonts w:ascii="Times New Roman" w:hAnsi="Times New Roman" w:cs="Times New Roman"/>
          <w:sz w:val="24"/>
          <w:szCs w:val="24"/>
        </w:rPr>
        <w:t>.</w:t>
      </w:r>
    </w:p>
    <w:p w14:paraId="2C7A2E7C" w14:textId="75A6DC1B" w:rsidR="00C04600" w:rsidRDefault="00C04600" w:rsidP="00044AE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After some discussion with Mr. [PRIOR DEFENSE ATTORNEY] regarding the reduction in the charge and the compromised agreement, the Court stated, “No doubt about that.  And if it were a straight plea, I wouldn’t be struggling with it.  What I’m faced with is a charge that is being pled down, and I know that we have difference in the facts of this case.  I don’t really know what those are.  But I understand that there’s a reason to plead it down.  So he’s already receiving the benefit of that.”  </w:t>
      </w:r>
      <w:r>
        <w:rPr>
          <w:rFonts w:ascii="Times New Roman" w:hAnsi="Times New Roman" w:cs="Times New Roman"/>
          <w:i/>
          <w:iCs/>
          <w:sz w:val="24"/>
          <w:szCs w:val="24"/>
        </w:rPr>
        <w:t>Id</w:t>
      </w:r>
      <w:r>
        <w:rPr>
          <w:rFonts w:ascii="Times New Roman" w:hAnsi="Times New Roman" w:cs="Times New Roman"/>
          <w:sz w:val="24"/>
          <w:szCs w:val="24"/>
        </w:rPr>
        <w:t>. at 12.</w:t>
      </w:r>
    </w:p>
    <w:p w14:paraId="1B5472A2" w14:textId="4074AD5B" w:rsidR="00A95727" w:rsidRDefault="00A95727" w:rsidP="00044AE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The Court commented, “the Court could not refuse a diversion based upon the fact of it being a </w:t>
      </w:r>
      <w:r>
        <w:rPr>
          <w:rFonts w:ascii="Times New Roman" w:hAnsi="Times New Roman" w:cs="Times New Roman"/>
          <w:i/>
          <w:iCs/>
          <w:sz w:val="24"/>
          <w:szCs w:val="24"/>
        </w:rPr>
        <w:t>nolo contendere</w:t>
      </w:r>
      <w:r>
        <w:rPr>
          <w:rFonts w:ascii="Times New Roman" w:hAnsi="Times New Roman" w:cs="Times New Roman"/>
          <w:sz w:val="24"/>
          <w:szCs w:val="24"/>
        </w:rPr>
        <w:t xml:space="preserve"> plea instead of a guilty plea, hence the question about how he’s accepted responsibility otherwise.  He’s very remorseful about how the actions have affect him.  I’ve been trying to figure out how remorseful he is about how the actions have affected others….”  </w:t>
      </w:r>
      <w:r>
        <w:rPr>
          <w:rFonts w:ascii="Times New Roman" w:hAnsi="Times New Roman" w:cs="Times New Roman"/>
          <w:i/>
          <w:iCs/>
          <w:sz w:val="24"/>
          <w:szCs w:val="24"/>
        </w:rPr>
        <w:t>Id</w:t>
      </w:r>
      <w:r>
        <w:rPr>
          <w:rFonts w:ascii="Times New Roman" w:hAnsi="Times New Roman" w:cs="Times New Roman"/>
          <w:sz w:val="24"/>
          <w:szCs w:val="24"/>
        </w:rPr>
        <w:t>. at 12-13.</w:t>
      </w:r>
      <w:r>
        <w:rPr>
          <w:rStyle w:val="FootnoteReference"/>
          <w:rFonts w:ascii="Times New Roman" w:hAnsi="Times New Roman" w:cs="Times New Roman"/>
          <w:sz w:val="24"/>
          <w:szCs w:val="24"/>
        </w:rPr>
        <w:footnoteReference w:id="4"/>
      </w:r>
    </w:p>
    <w:p w14:paraId="3D4D54E9" w14:textId="15FD57DB" w:rsidR="007E4BB8" w:rsidRDefault="007E4BB8" w:rsidP="00044AE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Defendant’s attorney pointed out to the Court that there was a stay away order in effect and the Defendant could not speak with the alleged victim(s).  The Defendant then stated, “if I was able to apologize to them directly, I would most definitely do that.”  </w:t>
      </w:r>
      <w:r>
        <w:rPr>
          <w:rFonts w:ascii="Times New Roman" w:hAnsi="Times New Roman" w:cs="Times New Roman"/>
          <w:i/>
          <w:iCs/>
          <w:sz w:val="24"/>
          <w:szCs w:val="24"/>
        </w:rPr>
        <w:t>Id</w:t>
      </w:r>
      <w:r>
        <w:rPr>
          <w:rFonts w:ascii="Times New Roman" w:hAnsi="Times New Roman" w:cs="Times New Roman"/>
          <w:sz w:val="24"/>
          <w:szCs w:val="24"/>
        </w:rPr>
        <w:t xml:space="preserve">. at 13.  The Court asked, “[w]ould you like to take the opportunity now?”  And the Defendant told the alleged victim(s), “I sincerely apologize for the actions of April 12, 2016.  And I’m sorry how that has affected you and your daughter and our son, or my son.”  </w:t>
      </w:r>
      <w:r>
        <w:rPr>
          <w:rFonts w:ascii="Times New Roman" w:hAnsi="Times New Roman" w:cs="Times New Roman"/>
          <w:i/>
          <w:iCs/>
          <w:sz w:val="24"/>
          <w:szCs w:val="24"/>
        </w:rPr>
        <w:t>Id</w:t>
      </w:r>
      <w:r>
        <w:rPr>
          <w:rFonts w:ascii="Times New Roman" w:hAnsi="Times New Roman" w:cs="Times New Roman"/>
          <w:sz w:val="24"/>
          <w:szCs w:val="24"/>
        </w:rPr>
        <w:t>.</w:t>
      </w:r>
    </w:p>
    <w:p w14:paraId="13878F24" w14:textId="157F4665" w:rsidR="007F7C44" w:rsidRDefault="00610F42" w:rsidP="00044AE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Court inquired as to why the Defendant attempted to move the rifle and the Defendant responded, “[b]ecause I was under the influence [sic] that it was illegal.  That it was an illegal rifle because I had purchased it from a friend, and it wasn’t registered.”  </w:t>
      </w:r>
      <w:r>
        <w:rPr>
          <w:rFonts w:ascii="Times New Roman" w:hAnsi="Times New Roman" w:cs="Times New Roman"/>
          <w:i/>
          <w:iCs/>
          <w:sz w:val="24"/>
          <w:szCs w:val="24"/>
        </w:rPr>
        <w:t>Id</w:t>
      </w:r>
      <w:r>
        <w:rPr>
          <w:rFonts w:ascii="Times New Roman" w:hAnsi="Times New Roman" w:cs="Times New Roman"/>
          <w:sz w:val="24"/>
          <w:szCs w:val="24"/>
        </w:rPr>
        <w:t>. at 14.  The Court asked, “And you took this moment to move it?”  The Defendant responded, “I did take the moment to move it because they had already called the police.</w:t>
      </w:r>
      <w:r>
        <w:rPr>
          <w:rStyle w:val="FootnoteReference"/>
          <w:rFonts w:ascii="Times New Roman" w:hAnsi="Times New Roman" w:cs="Times New Roman"/>
          <w:sz w:val="24"/>
          <w:szCs w:val="24"/>
        </w:rPr>
        <w:footnoteReference w:id="5"/>
      </w:r>
      <w:r>
        <w:rPr>
          <w:rFonts w:ascii="Times New Roman" w:hAnsi="Times New Roman" w:cs="Times New Roman"/>
          <w:sz w:val="24"/>
          <w:szCs w:val="24"/>
        </w:rPr>
        <w:t xml:space="preserve">  And then I thought that that would be a bad idea to have the rifle in the room with, you know, with arriving officers.”  </w:t>
      </w:r>
      <w:r>
        <w:rPr>
          <w:rFonts w:ascii="Times New Roman" w:hAnsi="Times New Roman" w:cs="Times New Roman"/>
          <w:i/>
          <w:iCs/>
          <w:sz w:val="24"/>
          <w:szCs w:val="24"/>
        </w:rPr>
        <w:t>Id</w:t>
      </w:r>
      <w:r>
        <w:rPr>
          <w:rFonts w:ascii="Times New Roman" w:hAnsi="Times New Roman" w:cs="Times New Roman"/>
          <w:sz w:val="24"/>
          <w:szCs w:val="24"/>
        </w:rPr>
        <w:t>.</w:t>
      </w:r>
    </w:p>
    <w:p w14:paraId="2AF9A184" w14:textId="687B16AD" w:rsidR="00CC6299" w:rsidRDefault="00CC6299" w:rsidP="00044AE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The Court appeared to be struggling with the facts of the case stating, “we’ve got a pretty substantial dispute about what the facts are.”  </w:t>
      </w:r>
      <w:r>
        <w:rPr>
          <w:rFonts w:ascii="Times New Roman" w:hAnsi="Times New Roman" w:cs="Times New Roman"/>
          <w:i/>
          <w:iCs/>
          <w:sz w:val="24"/>
          <w:szCs w:val="24"/>
        </w:rPr>
        <w:t>Id</w:t>
      </w:r>
      <w:r>
        <w:rPr>
          <w:rFonts w:ascii="Times New Roman" w:hAnsi="Times New Roman" w:cs="Times New Roman"/>
          <w:sz w:val="24"/>
          <w:szCs w:val="24"/>
        </w:rPr>
        <w:t xml:space="preserve">. at 15.  However, the Defendant’s attorney pointed out to the Court that this case was a “display” case, meaning that the accusation was only that [DEFENDANT] “displayed” a rifle to the alleged victim(s) which scared her,  Mr. [PRIOR DEFENSE ATTORNEY] further pointed out that the gun was unloaded at all times, and was never pointed at the alleged victim(s) but such conduct of displaying and “ratchet[ing] the bolt” still qualified under the aggravated assault statute.  </w:t>
      </w:r>
      <w:r>
        <w:rPr>
          <w:rFonts w:ascii="Times New Roman" w:hAnsi="Times New Roman" w:cs="Times New Roman"/>
          <w:i/>
          <w:iCs/>
          <w:sz w:val="24"/>
          <w:szCs w:val="24"/>
        </w:rPr>
        <w:t>Id</w:t>
      </w:r>
      <w:r>
        <w:rPr>
          <w:rFonts w:ascii="Times New Roman" w:hAnsi="Times New Roman" w:cs="Times New Roman"/>
          <w:sz w:val="24"/>
          <w:szCs w:val="24"/>
        </w:rPr>
        <w:t>.  The Court agreed that it met the essential elements as well.</w:t>
      </w:r>
    </w:p>
    <w:p w14:paraId="092564C5" w14:textId="29A1D95D" w:rsidR="0050038E" w:rsidRDefault="0050038E" w:rsidP="00044AE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Court then called [WITNESS] and allowed her to testify (without curiously placing her under oath per the Transcript).  She was asked by the Court, “so the weapon was displayed before you called the police?” She answered, “oh, yes. oh, yes.”  </w:t>
      </w:r>
      <w:r>
        <w:rPr>
          <w:rFonts w:ascii="Times New Roman" w:hAnsi="Times New Roman" w:cs="Times New Roman"/>
          <w:i/>
          <w:iCs/>
          <w:sz w:val="24"/>
          <w:szCs w:val="24"/>
        </w:rPr>
        <w:t>Id</w:t>
      </w:r>
      <w:r>
        <w:rPr>
          <w:rFonts w:ascii="Times New Roman" w:hAnsi="Times New Roman" w:cs="Times New Roman"/>
          <w:sz w:val="24"/>
          <w:szCs w:val="24"/>
        </w:rPr>
        <w:t xml:space="preserve">. at 16.  She also testified that the same night of the Defendant’s arrest, that her daughter stayed that night at their residence, and she wanted to try and work out her relationship with the Defendant.  </w:t>
      </w:r>
      <w:r>
        <w:rPr>
          <w:rFonts w:ascii="Times New Roman" w:hAnsi="Times New Roman" w:cs="Times New Roman"/>
          <w:i/>
          <w:iCs/>
          <w:sz w:val="24"/>
          <w:szCs w:val="24"/>
        </w:rPr>
        <w:t>Id</w:t>
      </w:r>
      <w:r>
        <w:rPr>
          <w:rFonts w:ascii="Times New Roman" w:hAnsi="Times New Roman" w:cs="Times New Roman"/>
          <w:sz w:val="24"/>
          <w:szCs w:val="24"/>
        </w:rPr>
        <w:t xml:space="preserve">. at 17-18.  She testified that the Defendant had not violated any stay away order to them or her daughter.  </w:t>
      </w:r>
      <w:r>
        <w:rPr>
          <w:rFonts w:ascii="Times New Roman" w:hAnsi="Times New Roman" w:cs="Times New Roman"/>
          <w:i/>
          <w:iCs/>
          <w:sz w:val="24"/>
          <w:szCs w:val="24"/>
        </w:rPr>
        <w:t>Id</w:t>
      </w:r>
      <w:r>
        <w:rPr>
          <w:rFonts w:ascii="Times New Roman" w:hAnsi="Times New Roman" w:cs="Times New Roman"/>
          <w:sz w:val="24"/>
          <w:szCs w:val="24"/>
        </w:rPr>
        <w:t xml:space="preserve">. at 18.  She described the Defendant prior to this event as someone they loved that they wanted him in their family, that he had a good job, that he was responsible and was a “great guy.”  </w:t>
      </w:r>
      <w:r>
        <w:rPr>
          <w:rFonts w:ascii="Times New Roman" w:hAnsi="Times New Roman" w:cs="Times New Roman"/>
          <w:i/>
          <w:iCs/>
          <w:sz w:val="24"/>
          <w:szCs w:val="24"/>
        </w:rPr>
        <w:t>Id</w:t>
      </w:r>
      <w:r>
        <w:rPr>
          <w:rFonts w:ascii="Times New Roman" w:hAnsi="Times New Roman" w:cs="Times New Roman"/>
          <w:sz w:val="24"/>
          <w:szCs w:val="24"/>
        </w:rPr>
        <w:t xml:space="preserve">. at 19.  She further stated that every time their grand-son, Aiden, has a milestone, that “we want his father, we want them together the way we thought they were going to be.”  </w:t>
      </w:r>
      <w:r>
        <w:rPr>
          <w:rFonts w:ascii="Times New Roman" w:hAnsi="Times New Roman" w:cs="Times New Roman"/>
          <w:i/>
          <w:iCs/>
          <w:sz w:val="24"/>
          <w:szCs w:val="24"/>
        </w:rPr>
        <w:t>Id</w:t>
      </w:r>
      <w:r>
        <w:rPr>
          <w:rFonts w:ascii="Times New Roman" w:hAnsi="Times New Roman" w:cs="Times New Roman"/>
          <w:sz w:val="24"/>
          <w:szCs w:val="24"/>
        </w:rPr>
        <w:t>.</w:t>
      </w:r>
    </w:p>
    <w:p w14:paraId="061E474E" w14:textId="46790723" w:rsidR="001E57A9" w:rsidRDefault="001E57A9" w:rsidP="00044AE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Court asked her, “[a]nd you are absolutely certain that no one had called the police before the weapon was displayed?”</w:t>
      </w:r>
      <w:r>
        <w:rPr>
          <w:rStyle w:val="FootnoteReference"/>
          <w:rFonts w:ascii="Times New Roman" w:hAnsi="Times New Roman" w:cs="Times New Roman"/>
          <w:sz w:val="24"/>
          <w:szCs w:val="24"/>
        </w:rPr>
        <w:footnoteReference w:id="6"/>
      </w:r>
      <w:r>
        <w:rPr>
          <w:rFonts w:ascii="Times New Roman" w:hAnsi="Times New Roman" w:cs="Times New Roman"/>
          <w:sz w:val="24"/>
          <w:szCs w:val="24"/>
        </w:rPr>
        <w:t xml:space="preserve">  </w:t>
      </w:r>
      <w:r>
        <w:rPr>
          <w:rFonts w:ascii="Times New Roman" w:hAnsi="Times New Roman" w:cs="Times New Roman"/>
          <w:i/>
          <w:iCs/>
          <w:sz w:val="24"/>
          <w:szCs w:val="24"/>
        </w:rPr>
        <w:t>Id</w:t>
      </w:r>
      <w:r>
        <w:rPr>
          <w:rFonts w:ascii="Times New Roman" w:hAnsi="Times New Roman" w:cs="Times New Roman"/>
          <w:sz w:val="24"/>
          <w:szCs w:val="24"/>
        </w:rPr>
        <w:t>. at 21.  She replied, “absolutely.”</w:t>
      </w:r>
    </w:p>
    <w:p w14:paraId="26E7C3B9" w14:textId="71BC6534" w:rsidR="00B56FFE" w:rsidRDefault="006D2D7F" w:rsidP="00044AE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[WITNESS] was asked “did he ever point the weapon at you or your husband?”  She responded, “No.”  </w:t>
      </w:r>
      <w:r>
        <w:rPr>
          <w:rFonts w:ascii="Times New Roman" w:hAnsi="Times New Roman" w:cs="Times New Roman"/>
          <w:i/>
          <w:iCs/>
          <w:sz w:val="24"/>
          <w:szCs w:val="24"/>
        </w:rPr>
        <w:t>Id</w:t>
      </w:r>
      <w:r>
        <w:rPr>
          <w:rFonts w:ascii="Times New Roman" w:hAnsi="Times New Roman" w:cs="Times New Roman"/>
          <w:sz w:val="24"/>
          <w:szCs w:val="24"/>
        </w:rPr>
        <w:t>. at 23.</w:t>
      </w:r>
    </w:p>
    <w:p w14:paraId="515EA1FE" w14:textId="306A86B0" w:rsidR="00F95A62" w:rsidRDefault="00F95A62" w:rsidP="00044AE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Mr. [PRIOR DEFENSE ATTORNEY] asked [WITNESS] if she recalled talking to him in 2016 (while in General Sessions Court) and informing him that the Defendant “displayed” the gun but did not point it at them.  [WITNESS] responded, “right.”  </w:t>
      </w:r>
      <w:r>
        <w:rPr>
          <w:rFonts w:ascii="Times New Roman" w:hAnsi="Times New Roman" w:cs="Times New Roman"/>
          <w:i/>
          <w:iCs/>
          <w:sz w:val="24"/>
          <w:szCs w:val="24"/>
        </w:rPr>
        <w:t>Id</w:t>
      </w:r>
      <w:r>
        <w:rPr>
          <w:rFonts w:ascii="Times New Roman" w:hAnsi="Times New Roman" w:cs="Times New Roman"/>
          <w:sz w:val="24"/>
          <w:szCs w:val="24"/>
        </w:rPr>
        <w:t xml:space="preserve">. at 24.  She further admitted that the Defendant never verbally threatened to use the rifle on anyone.  </w:t>
      </w:r>
      <w:r>
        <w:rPr>
          <w:rFonts w:ascii="Times New Roman" w:hAnsi="Times New Roman" w:cs="Times New Roman"/>
          <w:i/>
          <w:iCs/>
          <w:sz w:val="24"/>
          <w:szCs w:val="24"/>
        </w:rPr>
        <w:t>Id</w:t>
      </w:r>
      <w:r>
        <w:rPr>
          <w:rFonts w:ascii="Times New Roman" w:hAnsi="Times New Roman" w:cs="Times New Roman"/>
          <w:sz w:val="24"/>
          <w:szCs w:val="24"/>
        </w:rPr>
        <w:t>.</w:t>
      </w:r>
    </w:p>
    <w:p w14:paraId="778670CB" w14:textId="5EB966FD" w:rsidR="00886E1B" w:rsidRDefault="00886E1B" w:rsidP="00044AE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Mr. [WITNESS] testified, </w:t>
      </w:r>
      <w:r>
        <w:rPr>
          <w:rFonts w:ascii="Times New Roman" w:hAnsi="Times New Roman" w:cs="Times New Roman"/>
          <w:b/>
          <w:bCs/>
          <w:i/>
          <w:iCs/>
          <w:sz w:val="24"/>
          <w:szCs w:val="24"/>
        </w:rPr>
        <w:t>“[h]e didn’t really scare me him pulling the gun out because I didn’t see it.</w:t>
      </w:r>
      <w:r>
        <w:rPr>
          <w:rFonts w:ascii="Times New Roman" w:hAnsi="Times New Roman" w:cs="Times New Roman"/>
          <w:sz w:val="24"/>
          <w:szCs w:val="24"/>
        </w:rPr>
        <w:t xml:space="preserve">  And I’d been looking at the gun earlier in the day and I didn’t notice a round.  But this is my wife.  She’s not around guns or firearms.  And to hear a rifle being cycled inside a small living room is pretty intimidating.”  </w:t>
      </w:r>
      <w:r>
        <w:rPr>
          <w:rFonts w:ascii="Times New Roman" w:hAnsi="Times New Roman" w:cs="Times New Roman"/>
          <w:i/>
          <w:iCs/>
          <w:sz w:val="24"/>
          <w:szCs w:val="24"/>
        </w:rPr>
        <w:t>Id</w:t>
      </w:r>
      <w:r>
        <w:rPr>
          <w:rFonts w:ascii="Times New Roman" w:hAnsi="Times New Roman" w:cs="Times New Roman"/>
          <w:sz w:val="24"/>
          <w:szCs w:val="24"/>
        </w:rPr>
        <w:t>. at 25.</w:t>
      </w:r>
    </w:p>
    <w:p w14:paraId="7D732D46" w14:textId="6C24FAF8" w:rsidR="0034074F" w:rsidRDefault="0034074F" w:rsidP="00044AE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At that point, the Court announced, “[t]he Court’s not going to accept a diversion plea today.”  </w:t>
      </w:r>
      <w:r>
        <w:rPr>
          <w:rFonts w:ascii="Times New Roman" w:hAnsi="Times New Roman" w:cs="Times New Roman"/>
          <w:i/>
          <w:iCs/>
          <w:sz w:val="24"/>
          <w:szCs w:val="24"/>
        </w:rPr>
        <w:t>Id</w:t>
      </w:r>
      <w:r>
        <w:rPr>
          <w:rFonts w:ascii="Times New Roman" w:hAnsi="Times New Roman" w:cs="Times New Roman"/>
          <w:sz w:val="24"/>
          <w:szCs w:val="24"/>
        </w:rPr>
        <w:t xml:space="preserve">. at 26.  The Court referred to the Defendant’s comment to the police in the Affidavit of Complaint that there was no rifle at the scene.  </w:t>
      </w:r>
      <w:r>
        <w:rPr>
          <w:rFonts w:ascii="Times New Roman" w:hAnsi="Times New Roman" w:cs="Times New Roman"/>
          <w:i/>
          <w:iCs/>
          <w:sz w:val="24"/>
          <w:szCs w:val="24"/>
        </w:rPr>
        <w:t>Id</w:t>
      </w:r>
      <w:r>
        <w:rPr>
          <w:rFonts w:ascii="Times New Roman" w:hAnsi="Times New Roman" w:cs="Times New Roman"/>
          <w:sz w:val="24"/>
          <w:szCs w:val="24"/>
        </w:rPr>
        <w:t>. at 27.  Then, the Court informed [DEFENDANT], “I would advise you not to speak today, [DEFENDANT].</w:t>
      </w:r>
      <w:r>
        <w:rPr>
          <w:rStyle w:val="FootnoteReference"/>
          <w:rFonts w:ascii="Times New Roman" w:hAnsi="Times New Roman" w:cs="Times New Roman"/>
          <w:sz w:val="24"/>
          <w:szCs w:val="24"/>
        </w:rPr>
        <w:footnoteReference w:id="7"/>
      </w:r>
      <w:r>
        <w:rPr>
          <w:rFonts w:ascii="Times New Roman" w:hAnsi="Times New Roman" w:cs="Times New Roman"/>
          <w:sz w:val="24"/>
          <w:szCs w:val="24"/>
        </w:rPr>
        <w:t xml:space="preserve">  I’m happy to hear from you.  I think I would advise you to wait for the hearing if I were you.  Just very respectfully.”  </w:t>
      </w:r>
      <w:r>
        <w:rPr>
          <w:rFonts w:ascii="Times New Roman" w:hAnsi="Times New Roman" w:cs="Times New Roman"/>
          <w:i/>
          <w:iCs/>
          <w:sz w:val="24"/>
          <w:szCs w:val="24"/>
        </w:rPr>
        <w:t>Id</w:t>
      </w:r>
      <w:r>
        <w:rPr>
          <w:rFonts w:ascii="Times New Roman" w:hAnsi="Times New Roman" w:cs="Times New Roman"/>
          <w:sz w:val="24"/>
          <w:szCs w:val="24"/>
        </w:rPr>
        <w:t>.</w:t>
      </w:r>
    </w:p>
    <w:p w14:paraId="508324AE" w14:textId="0D611391" w:rsidR="00012A70" w:rsidRDefault="00012A70" w:rsidP="00044AE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After some discussion regarding the factors to be considered for a diversion, the Court stated, “I’m not saying I won’t grant diversion.  I think what I’m saying is I’m uncomfortable taking a diversion in the absence of a presentence investigation report, and in the absence of a hearing.”  </w:t>
      </w:r>
      <w:r>
        <w:rPr>
          <w:rFonts w:ascii="Times New Roman" w:hAnsi="Times New Roman" w:cs="Times New Roman"/>
          <w:i/>
          <w:iCs/>
          <w:sz w:val="24"/>
          <w:szCs w:val="24"/>
        </w:rPr>
        <w:t>Id</w:t>
      </w:r>
      <w:r>
        <w:rPr>
          <w:rFonts w:ascii="Times New Roman" w:hAnsi="Times New Roman" w:cs="Times New Roman"/>
          <w:sz w:val="24"/>
          <w:szCs w:val="24"/>
        </w:rPr>
        <w:t xml:space="preserve">. at 30.  Mr. [PRIOR DEFENSE ATTORNEY] requested additional time to speak to ADA Bryan.  The Court did state, “I’m not making a finding that he’s lying.  I’m saying that there are different perceptions of the facts.  And you’re right.  He’s not obligated to agree with all the facts.”  </w:t>
      </w:r>
      <w:r>
        <w:rPr>
          <w:rFonts w:ascii="Times New Roman" w:hAnsi="Times New Roman" w:cs="Times New Roman"/>
          <w:i/>
          <w:iCs/>
          <w:sz w:val="24"/>
          <w:szCs w:val="24"/>
        </w:rPr>
        <w:t>Id</w:t>
      </w:r>
      <w:r>
        <w:rPr>
          <w:rFonts w:ascii="Times New Roman" w:hAnsi="Times New Roman" w:cs="Times New Roman"/>
          <w:sz w:val="24"/>
          <w:szCs w:val="24"/>
        </w:rPr>
        <w:t>. at 33.</w:t>
      </w:r>
    </w:p>
    <w:p w14:paraId="345D0689" w14:textId="46F640BD" w:rsidR="00A6497F" w:rsidRDefault="00A6497F" w:rsidP="00044AE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Mr. [PRIOR DEFENSE ATTORNEY] attempts to explain to the Court that the Defendant is simply saying the gun wasn’t loaded (which it wasn’t and there’s no proof it was) and he didn’t point it at anybody (which </w:t>
        <w:lastRenderedPageBreak/>
        <w:t xml:space="preserve">both victims also testified to and the A.D.A. announced as the factual basis).  </w:t>
      </w:r>
      <w:r>
        <w:rPr>
          <w:rFonts w:ascii="Times New Roman" w:hAnsi="Times New Roman" w:cs="Times New Roman"/>
          <w:i/>
          <w:iCs/>
          <w:sz w:val="24"/>
          <w:szCs w:val="24"/>
        </w:rPr>
        <w:t>Id</w:t>
      </w:r>
      <w:r>
        <w:rPr>
          <w:rFonts w:ascii="Times New Roman" w:hAnsi="Times New Roman" w:cs="Times New Roman"/>
          <w:sz w:val="24"/>
          <w:szCs w:val="24"/>
        </w:rPr>
        <w:t xml:space="preserve">.  The Court responded, “[h]e told the Court—and let’s call it like it is—he told the Court that he was trying to move the weapon, and that’s why he picked it up, because the police had been called.  Other people on the scene have suggested that police weren’t called until after the weapon had been picked up and it had been displayed in a threatening manner.”  </w:t>
      </w:r>
      <w:r>
        <w:rPr>
          <w:rFonts w:ascii="Times New Roman" w:hAnsi="Times New Roman" w:cs="Times New Roman"/>
          <w:i/>
          <w:iCs/>
          <w:sz w:val="24"/>
          <w:szCs w:val="24"/>
        </w:rPr>
        <w:t>Id</w:t>
      </w:r>
      <w:r>
        <w:rPr>
          <w:rFonts w:ascii="Times New Roman" w:hAnsi="Times New Roman" w:cs="Times New Roman"/>
          <w:sz w:val="24"/>
          <w:szCs w:val="24"/>
        </w:rPr>
        <w:t xml:space="preserve">. at 33-34.  The Court described that as “fundamentally inconsistent.”  </w:t>
      </w:r>
      <w:r>
        <w:rPr>
          <w:rFonts w:ascii="Times New Roman" w:hAnsi="Times New Roman" w:cs="Times New Roman"/>
          <w:i/>
          <w:iCs/>
          <w:sz w:val="24"/>
          <w:szCs w:val="24"/>
        </w:rPr>
        <w:t>Id</w:t>
      </w:r>
      <w:r>
        <w:rPr>
          <w:rFonts w:ascii="Times New Roman" w:hAnsi="Times New Roman" w:cs="Times New Roman"/>
          <w:sz w:val="24"/>
          <w:szCs w:val="24"/>
        </w:rPr>
        <w:t>. at 34.</w:t>
      </w:r>
    </w:p>
    <w:p w14:paraId="035BFBA0" w14:textId="3E611EC3" w:rsidR="005C6E61" w:rsidRDefault="005C6E61" w:rsidP="00044AE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Ultimately, the Court concluded, “As I’m saying, I’m not saying I’m denying diversion.  What I’m trying to say is that I’d like to have a hearing to decide what the facts of the case are to see whether the Court would take that.  I’d like to order a presentence investigation report in this case.”  </w:t>
      </w:r>
      <w:r>
        <w:rPr>
          <w:rFonts w:ascii="Times New Roman" w:hAnsi="Times New Roman" w:cs="Times New Roman"/>
          <w:i/>
          <w:iCs/>
          <w:sz w:val="24"/>
          <w:szCs w:val="24"/>
        </w:rPr>
        <w:t>Id</w:t>
      </w:r>
      <w:r>
        <w:rPr>
          <w:rFonts w:ascii="Times New Roman" w:hAnsi="Times New Roman" w:cs="Times New Roman"/>
          <w:sz w:val="24"/>
          <w:szCs w:val="24"/>
        </w:rPr>
        <w:t>. at 35.  The Court continued to matter to August 9, 2017 for a PSR to be completed.</w:t>
      </w:r>
    </w:p>
    <w:p w14:paraId="794CA1A7" w14:textId="6FDB9890" w:rsidR="00B75FD6" w:rsidRDefault="001024FC" w:rsidP="008045A6">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11.</w:t>
        <w:tab/>
        <w:t xml:space="preserve">On August 1, 2017, the PSR was filed.  </w:t>
      </w:r>
    </w:p>
    <w:p w14:paraId="470D8F4E" w14:textId="6F7F2169" w:rsidR="008C0055" w:rsidRDefault="00B75FD6" w:rsidP="008045A6">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12.</w:t>
        <w:tab/>
        <w:t xml:space="preserve">On August 8, 2017, Mr. [PRIOR DEFENSE ATTORNEY] appeared before this Court.  ADA Bryan was no longer assigned to the case and a new Assistant District Attorney Davis took over the file.  </w:t>
      </w:r>
      <w:r>
        <w:rPr>
          <w:rFonts w:ascii="Times New Roman" w:hAnsi="Times New Roman" w:cs="Times New Roman"/>
          <w:i/>
          <w:iCs/>
          <w:sz w:val="24"/>
          <w:szCs w:val="24"/>
        </w:rPr>
        <w:t>See</w:t>
      </w:r>
      <w:r>
        <w:rPr>
          <w:rFonts w:ascii="Times New Roman" w:hAnsi="Times New Roman" w:cs="Times New Roman"/>
          <w:sz w:val="24"/>
          <w:szCs w:val="24"/>
        </w:rPr>
        <w:t xml:space="preserve"> Transcript, 8/9/17, p. 2.  The case was continued to October 11, 2017.</w:t>
      </w:r>
    </w:p>
    <w:p w14:paraId="2A2915D2" w14:textId="3AA0DF89" w:rsidR="00F3202B" w:rsidRDefault="008C0055" w:rsidP="00044A16">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13.</w:t>
        <w:tab/>
        <w:t xml:space="preserve">On October 11, 2017, the Court announced that it was ready to proceed “this afternoon” and had reviewed the PSR.   However, the Defendant had child support court (over his son who he had not seen since the night of his arrest).  The Defendant had voluntarily, and on his own, applied to the State of Tennessee to pay child support for the Child.  The Court asked Mr. [PRIOR DEFENSE ATTORNEY], “we are still agreed we need a hearing, right?”  Mr. [PRIOR DEFENSE ATTORNEY] responded, “As far as the diversion part of it?  Yes, sir, I think so.”  Transcript, 10/11/17, p. 4.  The Court stated the following, “…the issue that popped up in that one was that it involved firearms and it involved allegations—though I know that [DEFENDANT] disputes them—allegations of essentially holding </w:t>
        <w:lastRenderedPageBreak/>
        <w:t>people up at gunpoint.</w:t>
      </w:r>
      <w:r>
        <w:rPr>
          <w:rStyle w:val="FootnoteReference"/>
          <w:rFonts w:ascii="Times New Roman" w:hAnsi="Times New Roman" w:cs="Times New Roman"/>
          <w:sz w:val="24"/>
          <w:szCs w:val="24"/>
        </w:rPr>
        <w:footnoteReference w:id="8"/>
      </w:r>
      <w:r>
        <w:rPr>
          <w:rFonts w:ascii="Times New Roman" w:hAnsi="Times New Roman" w:cs="Times New Roman"/>
          <w:sz w:val="24"/>
          <w:szCs w:val="24"/>
        </w:rPr>
        <w:t xml:space="preserve">  And that warrants a hearing for diversion.”  </w:t>
      </w:r>
      <w:r>
        <w:rPr>
          <w:rFonts w:ascii="Times New Roman" w:hAnsi="Times New Roman" w:cs="Times New Roman"/>
          <w:i/>
          <w:iCs/>
          <w:sz w:val="24"/>
          <w:szCs w:val="24"/>
        </w:rPr>
        <w:t>Id</w:t>
      </w:r>
      <w:r>
        <w:rPr>
          <w:rFonts w:ascii="Times New Roman" w:hAnsi="Times New Roman" w:cs="Times New Roman"/>
          <w:sz w:val="24"/>
          <w:szCs w:val="24"/>
        </w:rPr>
        <w:t>. at 6. The case was continued to December 5, 2017.</w:t>
      </w:r>
    </w:p>
    <w:p w14:paraId="1870ADF0" w14:textId="224F1045" w:rsidR="00E81B53" w:rsidRDefault="00E81B53"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14.</w:t>
        <w:tab/>
        <w:t xml:space="preserve">On December 5, 2017, the Court began the proceedings stating, “…we had up today for possible consideration of a plea and maybe possible judicial diversion on your case.”  </w:t>
      </w:r>
      <w:r>
        <w:rPr>
          <w:rFonts w:ascii="Times New Roman" w:hAnsi="Times New Roman" w:cs="Times New Roman"/>
          <w:i/>
          <w:iCs/>
          <w:sz w:val="24"/>
          <w:szCs w:val="24"/>
        </w:rPr>
        <w:t>See</w:t>
      </w:r>
      <w:r>
        <w:rPr>
          <w:rFonts w:ascii="Times New Roman" w:hAnsi="Times New Roman" w:cs="Times New Roman"/>
          <w:sz w:val="24"/>
          <w:szCs w:val="24"/>
        </w:rPr>
        <w:t xml:space="preserve"> Transcript, 12/5/17, p. 2.  The Court then stated, “if it’s ok with you, I think what I’d like to do is to have an evaluation performed.”  </w:t>
      </w:r>
      <w:r>
        <w:rPr>
          <w:rFonts w:ascii="Times New Roman" w:hAnsi="Times New Roman" w:cs="Times New Roman"/>
          <w:i/>
          <w:iCs/>
          <w:sz w:val="24"/>
          <w:szCs w:val="24"/>
        </w:rPr>
        <w:t>Id</w:t>
      </w:r>
      <w:r>
        <w:rPr>
          <w:rFonts w:ascii="Times New Roman" w:hAnsi="Times New Roman" w:cs="Times New Roman"/>
          <w:sz w:val="24"/>
          <w:szCs w:val="24"/>
        </w:rPr>
        <w:t>.  The Court asked if that was ok with the Defendant and he replied, “absolutely.”  The Defendant did not object to a forensic evaluation, but also, the transcript is void of any indication that the Defendant requested this forensic evaluation.  This forensic evaluation appears to have been directed by the Court.  Subsequently, the Court entered an order directing a forensic evaluation of the Defendant pursuant to T.C.A. § 33-7-301(a).</w:t>
      </w:r>
      <w:r>
        <w:rPr>
          <w:rStyle w:val="FootnoteReference"/>
          <w:rFonts w:ascii="Times New Roman" w:hAnsi="Times New Roman" w:cs="Times New Roman"/>
          <w:sz w:val="24"/>
          <w:szCs w:val="24"/>
        </w:rPr>
        <w:footnoteReference w:id="9"/>
      </w:r>
      <w:r>
        <w:rPr>
          <w:rFonts w:ascii="Times New Roman" w:hAnsi="Times New Roman" w:cs="Times New Roman"/>
          <w:sz w:val="24"/>
          <w:szCs w:val="24"/>
        </w:rPr>
        <w:t xml:space="preserve">  The case was continued to March 15, 2018 for a status conference.</w:t>
      </w:r>
    </w:p>
    <w:p w14:paraId="52D34B55" w14:textId="1E27896D" w:rsidR="005F6187" w:rsidRDefault="005F6187"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15.</w:t>
        <w:tab/>
        <w:t>On January 29, 2018</w:t>
      </w:r>
      <w:r>
        <w:rPr>
          <w:rStyle w:val="FootnoteReference"/>
          <w:rFonts w:ascii="Times New Roman" w:hAnsi="Times New Roman" w:cs="Times New Roman"/>
          <w:sz w:val="24"/>
          <w:szCs w:val="24"/>
        </w:rPr>
        <w:footnoteReference w:id="10"/>
      </w:r>
      <w:r>
        <w:rPr>
          <w:rFonts w:ascii="Times New Roman" w:hAnsi="Times New Roman" w:cs="Times New Roman"/>
          <w:sz w:val="24"/>
          <w:szCs w:val="24"/>
        </w:rPr>
        <w:t xml:space="preserve">, a second formal order was entered which directed the forensic evaluation ordered on December 5, 2017.  </w:t>
      </w:r>
    </w:p>
    <w:p w14:paraId="42816A3B" w14:textId="5C65CF6E" w:rsidR="00B53EFC" w:rsidRDefault="00B53EFC"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16.</w:t>
        <w:tab/>
        <w:t>On February 12, 2018, the case was continued March 14, 2018 and then to June 5, 2018.  The forensic evaluation was eventually filed on May 10, 2018.</w:t>
      </w:r>
    </w:p>
    <w:p w14:paraId="02C2B078" w14:textId="411C7EDB" w:rsidR="00C513C0" w:rsidRDefault="00C513C0"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17.</w:t>
        <w:tab/>
        <w:t xml:space="preserve">On June 5, 2018, attorney Pearce, who had never met the Defendant before, appeared on [DEFENDANT] behalf.  The Court, Mr. Pearce and presumably [DEFENDANT] all knew that Attorney [PRIOR DEFENSE ATTORNEY] had died in [DATE 2018] due to injuries he sustained in a motorcycle wreck.  </w:t>
        <w:lastRenderedPageBreak/>
        <w:t xml:space="preserve">The Defendant advised the Court that he was looking for work but wanted to hire an attorney.  He further advised the Court that he spent fifteen (15) days in-patient at Moccasin Bend for the mental health evaluation.  </w:t>
      </w:r>
      <w:r>
        <w:rPr>
          <w:rFonts w:ascii="Times New Roman" w:hAnsi="Times New Roman" w:cs="Times New Roman"/>
          <w:i/>
          <w:iCs/>
          <w:sz w:val="24"/>
          <w:szCs w:val="24"/>
        </w:rPr>
        <w:t>See</w:t>
      </w:r>
      <w:r>
        <w:rPr>
          <w:rFonts w:ascii="Times New Roman" w:hAnsi="Times New Roman" w:cs="Times New Roman"/>
          <w:sz w:val="24"/>
          <w:szCs w:val="24"/>
        </w:rPr>
        <w:t xml:space="preserve"> Transcript, 6/5/18, p. 4.  He advised the Court that he was actively seeking employment and hoped to hire an attorney in the next month or two.  He further advised that he just found out Mr. [PRIOR DEFENSE ATTORNEY] had passed “last week.”  </w:t>
      </w:r>
      <w:r>
        <w:rPr>
          <w:rFonts w:ascii="Times New Roman" w:hAnsi="Times New Roman" w:cs="Times New Roman"/>
          <w:i/>
          <w:iCs/>
          <w:sz w:val="24"/>
          <w:szCs w:val="24"/>
        </w:rPr>
        <w:t>Id</w:t>
      </w:r>
      <w:r>
        <w:rPr>
          <w:rFonts w:ascii="Times New Roman" w:hAnsi="Times New Roman" w:cs="Times New Roman"/>
          <w:sz w:val="24"/>
          <w:szCs w:val="24"/>
        </w:rPr>
        <w:t xml:space="preserve">.  The Court noted this case was one of the older cases on the docket.  </w:t>
      </w:r>
      <w:r>
        <w:rPr>
          <w:rFonts w:ascii="Times New Roman" w:hAnsi="Times New Roman" w:cs="Times New Roman"/>
          <w:i/>
          <w:iCs/>
          <w:sz w:val="24"/>
          <w:szCs w:val="24"/>
        </w:rPr>
        <w:t>Id</w:t>
      </w:r>
      <w:r>
        <w:rPr>
          <w:rFonts w:ascii="Times New Roman" w:hAnsi="Times New Roman" w:cs="Times New Roman"/>
          <w:sz w:val="24"/>
          <w:szCs w:val="24"/>
        </w:rPr>
        <w:t>.  The case was continued to [DATE 2018] due to the death of [PRIOR DEFENSE ATTORNEY].</w:t>
      </w:r>
    </w:p>
    <w:p w14:paraId="7C57565B" w14:textId="77199A34" w:rsidR="001369F0" w:rsidRDefault="001369F0"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18.</w:t>
        <w:tab/>
        <w:t xml:space="preserve">On [DATE 2018], the Defendant’s attorney, Mr. Pearce, who had appeared with him on June 5, 2018 had left the state and moved to Mississippi.  </w:t>
      </w:r>
      <w:r>
        <w:rPr>
          <w:rFonts w:ascii="Times New Roman" w:hAnsi="Times New Roman" w:cs="Times New Roman"/>
          <w:i/>
          <w:iCs/>
          <w:sz w:val="24"/>
          <w:szCs w:val="24"/>
        </w:rPr>
        <w:t>See</w:t>
      </w:r>
      <w:r>
        <w:rPr>
          <w:rFonts w:ascii="Times New Roman" w:hAnsi="Times New Roman" w:cs="Times New Roman"/>
          <w:sz w:val="24"/>
          <w:szCs w:val="24"/>
        </w:rPr>
        <w:t xml:space="preserve"> Transcript, [DATE 2018], p. 2.  Further, the Assistant District Attorney had also changed, again, to ADA Brown (now the 3</w:t>
      </w:r>
      <w:r>
        <w:rPr>
          <w:rFonts w:ascii="Times New Roman" w:hAnsi="Times New Roman" w:cs="Times New Roman"/>
          <w:sz w:val="24"/>
          <w:szCs w:val="24"/>
          <w:vertAlign w:val="superscript"/>
        </w:rPr>
        <w:t>rd</w:t>
      </w:r>
      <w:r>
        <w:rPr>
          <w:rFonts w:ascii="Times New Roman" w:hAnsi="Times New Roman" w:cs="Times New Roman"/>
          <w:sz w:val="24"/>
          <w:szCs w:val="24"/>
        </w:rPr>
        <w:t xml:space="preserve"> prosecutor on the case).  The Defendant applied for a court appointed attorney, and the Court appointed [PUBLIC DEFENDER], Assistant Public Defender, for the Defendant.  In explaining the case to new counsel, the Court advised, “so at this point, then how about I just set us for a status date.  And then if by that status date you can let me know whether you anticipate litigating Rule 12 motions, or whether the case otherwise is ripe for resolution, I’d be appreciative.  If you believe that there are Rule 12 motions then I’ll set a motion filing deadline.  But if there’s not then we can go ahead and just set it for resolution.”  </w:t>
      </w:r>
      <w:r>
        <w:rPr>
          <w:rFonts w:ascii="Times New Roman" w:hAnsi="Times New Roman" w:cs="Times New Roman"/>
          <w:i/>
          <w:iCs/>
          <w:sz w:val="24"/>
          <w:szCs w:val="24"/>
        </w:rPr>
        <w:t>Id</w:t>
      </w:r>
      <w:r>
        <w:rPr>
          <w:rFonts w:ascii="Times New Roman" w:hAnsi="Times New Roman" w:cs="Times New Roman"/>
          <w:sz w:val="24"/>
          <w:szCs w:val="24"/>
        </w:rPr>
        <w:t>. at 4.  Also, on this date, [DEFENDANT] inquired about missing dash cam videos and the Court asked his new attorney to discuss the issue with the new Assistant District Attorney.  The case was continued until [DATE 2018].</w:t>
      </w:r>
    </w:p>
    <w:p w14:paraId="14B76E23" w14:textId="45CEBB93" w:rsidR="00574482" w:rsidRDefault="00574482"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19.</w:t>
        <w:tab/>
        <w:t>On [DATE 2018], the Court set a plea agreement deadline for November 15, 2018.  The Court announced that a new Assistant District Attorney would be handling the case, [PROSECUTOR] (now the 4</w:t>
      </w:r>
      <w:r>
        <w:rPr>
          <w:rFonts w:ascii="Times New Roman" w:hAnsi="Times New Roman" w:cs="Times New Roman"/>
          <w:sz w:val="24"/>
          <w:szCs w:val="24"/>
          <w:vertAlign w:val="superscript"/>
        </w:rPr>
        <w:t>th</w:t>
      </w:r>
      <w:r>
        <w:rPr>
          <w:rFonts w:ascii="Times New Roman" w:hAnsi="Times New Roman" w:cs="Times New Roman"/>
          <w:sz w:val="24"/>
          <w:szCs w:val="24"/>
        </w:rPr>
        <w:t xml:space="preserve"> prosecutor on the case).  </w:t>
      </w:r>
      <w:r>
        <w:rPr>
          <w:rFonts w:ascii="Times New Roman" w:hAnsi="Times New Roman" w:cs="Times New Roman"/>
          <w:i/>
          <w:iCs/>
          <w:sz w:val="24"/>
          <w:szCs w:val="24"/>
        </w:rPr>
        <w:t>See</w:t>
      </w:r>
      <w:r>
        <w:rPr>
          <w:rFonts w:ascii="Times New Roman" w:hAnsi="Times New Roman" w:cs="Times New Roman"/>
          <w:sz w:val="24"/>
          <w:szCs w:val="24"/>
        </w:rPr>
        <w:t xml:space="preserve"> Transcript, 10/3/18, p. 3.</w:t>
      </w:r>
    </w:p>
    <w:p w14:paraId="4336355F" w14:textId="7FC32AFC" w:rsidR="008371CF" w:rsidRDefault="008371CF"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b/>
        <w:t>20.</w:t>
        <w:tab/>
        <w:t>On November 15, 2018, the Court set another scheduling order which included a motion date, pretrial conference date, plea agreement deadline date and a trial date for February 19, 2019.  There is no transcript from this hearing date and Counsel is unaware of any discussion on the record as why the filed plea agreement and diversion issues were not addressed.</w:t>
      </w:r>
    </w:p>
    <w:p w14:paraId="0CFA64F1" w14:textId="43AEC519" w:rsidR="00E52CC2" w:rsidRDefault="00E52CC2"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21.</w:t>
        <w:tab/>
        <w:t>On January 14, 2019, by agreement, it appears the jury trial date was moved to March 19, 2019.</w:t>
      </w:r>
    </w:p>
    <w:p w14:paraId="0D29C0A6" w14:textId="0B858A86" w:rsidR="000E73CB" w:rsidRDefault="000E73CB"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22.</w:t>
        <w:tab/>
        <w:t>On January 22, 2019, Assistant Public Defender Perry orally moved to withdraw in Court which the Court granted.</w:t>
      </w:r>
    </w:p>
    <w:p w14:paraId="2BDF59DF" w14:textId="6E74DA89" w:rsidR="000B4F07" w:rsidRDefault="000B4F07"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23.</w:t>
        <w:tab/>
        <w:t>On January 25, 2019, the Court appointed Elizabeth Roderick (his 4</w:t>
      </w:r>
      <w:r>
        <w:rPr>
          <w:rFonts w:ascii="Times New Roman" w:hAnsi="Times New Roman" w:cs="Times New Roman"/>
          <w:sz w:val="24"/>
          <w:szCs w:val="24"/>
          <w:vertAlign w:val="superscript"/>
        </w:rPr>
        <w:t>th</w:t>
      </w:r>
      <w:r>
        <w:rPr>
          <w:rFonts w:ascii="Times New Roman" w:hAnsi="Times New Roman" w:cs="Times New Roman"/>
          <w:sz w:val="24"/>
          <w:szCs w:val="24"/>
        </w:rPr>
        <w:t xml:space="preserve"> defense attorney) as counsel for the Defendant.</w:t>
      </w:r>
    </w:p>
    <w:p w14:paraId="392E2A79" w14:textId="1141637E" w:rsidR="000B4F07" w:rsidRDefault="000B4F07"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24.</w:t>
        <w:tab/>
        <w:t>On April 2, 2019, the Court continued the case to April 30, 2019 to hear the Defendant’s Motion to Dismiss the Indictment which the Defendant subsequently filed on April 12, 2019.</w:t>
      </w:r>
    </w:p>
    <w:p w14:paraId="12683927" w14:textId="5426EFEA" w:rsidR="003A1772" w:rsidRDefault="003A1772"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25.</w:t>
        <w:tab/>
        <w:t>On April 17, 2019, the Court continued the case to May 28, 2019 for hearing on the Defendant’s Motion to Dismiss the True Bill.</w:t>
      </w:r>
    </w:p>
    <w:p w14:paraId="71BAF35F" w14:textId="3B05579E" w:rsidR="0034572F" w:rsidRDefault="0034572F"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26.</w:t>
        <w:tab/>
        <w:t>On May 28, 2019, the State, in open Court, filed its Response and a Motion to Amend the Indictment and the case was continued to June 4, 2019.</w:t>
      </w:r>
    </w:p>
    <w:p w14:paraId="30C60A80" w14:textId="30F26957" w:rsidR="008F4024" w:rsidRDefault="008F4024"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27.</w:t>
        <w:tab/>
        <w:t>On June 4, 2019, the case was continued to July 25, 2019 to hear the Defendant’s outstanding Motion to Dismiss and the State’s Motion to Amend.  Subsequently, the Defendant filed a Motion for Transcripts.</w:t>
      </w:r>
    </w:p>
    <w:p w14:paraId="6DBF9647" w14:textId="3A555465" w:rsidR="007024F2" w:rsidRDefault="00681E6F"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28.</w:t>
        <w:tab/>
        <w:t>On July 25, 2019, the Court continued the motion hearing to July 29, 2019 and was continued again to August 22, 2019.</w:t>
      </w:r>
    </w:p>
    <w:p w14:paraId="16996469" w14:textId="00EF8527" w:rsidR="00561E5E" w:rsidRDefault="006A1F5C" w:rsidP="007024F2">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29.</w:t>
        <w:tab/>
        <w:t>On August 22, 2019, the Court granted the Motion for Transcripts, held in abeyance Elizabeth Roderick’s Motion to Withdraw which was filed in open court that day, and ordered a Second Forensic Evaluation of the Defendant.</w:t>
      </w:r>
      <w:r>
        <w:rPr>
          <w:rStyle w:val="FootnoteReference"/>
          <w:rFonts w:ascii="Times New Roman" w:hAnsi="Times New Roman" w:cs="Times New Roman"/>
          <w:sz w:val="24"/>
          <w:szCs w:val="24"/>
        </w:rPr>
        <w:footnoteReference w:id="11"/>
      </w:r>
      <w:r>
        <w:rPr>
          <w:rFonts w:ascii="Times New Roman" w:hAnsi="Times New Roman" w:cs="Times New Roman"/>
          <w:sz w:val="24"/>
          <w:szCs w:val="24"/>
        </w:rPr>
        <w:t xml:space="preserve">  </w:t>
      </w:r>
      <w:r>
        <w:rPr>
          <w:rFonts w:ascii="Times New Roman" w:hAnsi="Times New Roman" w:cs="Times New Roman"/>
          <w:i/>
          <w:iCs/>
          <w:sz w:val="24"/>
          <w:szCs w:val="24"/>
        </w:rPr>
        <w:t>See</w:t>
      </w:r>
      <w:r>
        <w:rPr>
          <w:rFonts w:ascii="Times New Roman" w:hAnsi="Times New Roman" w:cs="Times New Roman"/>
          <w:sz w:val="24"/>
          <w:szCs w:val="24"/>
        </w:rPr>
        <w:t xml:space="preserve"> Transcript, 8/22/19.  The following colloquy occurred:</w:t>
      </w:r>
    </w:p>
    <w:p w14:paraId="00CE3F40" w14:textId="7FD3DE37" w:rsidR="00561E5E" w:rsidRDefault="00561E5E" w:rsidP="00A970BE">
      <w:pPr>
        <w:spacing w:after="0" w:line="240" w:lineRule="auto"/>
        <w:ind w:left="720" w:right="720"/>
        <w:jc w:val="both"/>
        <w:rPr>
          <w:rFonts w:ascii="Times New Roman" w:hAnsi="Times New Roman" w:cs="Times New Roman"/>
          <w:sz w:val="24"/>
          <w:szCs w:val="24"/>
        </w:rPr>
      </w:pPr>
      <w:r>
        <w:rPr>
          <w:rFonts w:ascii="Times New Roman" w:hAnsi="Times New Roman" w:cs="Times New Roman"/>
          <w:sz w:val="24"/>
          <w:szCs w:val="24"/>
        </w:rPr>
        <w:t>Court:  I believe there has been some issues with some communications maybe from Moccasin Bend with respect to the last forensic evaluation that occurred.  Are you aware of any of those communications?</w:t>
      </w:r>
    </w:p>
    <w:p w14:paraId="67D6C39D" w14:textId="57C035F0" w:rsidR="00EC624D" w:rsidRDefault="00561E5E" w:rsidP="00A970BE">
      <w:pPr>
        <w:spacing w:after="0" w:line="240" w:lineRule="auto"/>
        <w:ind w:left="720" w:right="720"/>
        <w:jc w:val="both"/>
        <w:rPr>
          <w:rFonts w:ascii="Times New Roman" w:hAnsi="Times New Roman" w:cs="Times New Roman"/>
          <w:sz w:val="24"/>
          <w:szCs w:val="24"/>
        </w:rPr>
      </w:pPr>
      <w:r>
        <w:rPr>
          <w:rFonts w:ascii="Times New Roman" w:hAnsi="Times New Roman" w:cs="Times New Roman"/>
          <w:sz w:val="24"/>
          <w:szCs w:val="24"/>
        </w:rPr>
        <w:t>Defendant:  I was informed yesterday that a [City] police officer was posing as a social worker in Moccasin Bend who was actually my social worker.</w:t>
      </w:r>
    </w:p>
    <w:p w14:paraId="03E224FD" w14:textId="46234C6D" w:rsidR="00E76DCC" w:rsidRDefault="00E76DCC" w:rsidP="00A970BE">
      <w:pPr>
        <w:spacing w:after="0" w:line="240" w:lineRule="auto"/>
        <w:ind w:left="720" w:right="720"/>
        <w:jc w:val="both"/>
        <w:rPr>
          <w:rFonts w:ascii="Times New Roman" w:hAnsi="Times New Roman" w:cs="Times New Roman"/>
          <w:sz w:val="24"/>
          <w:szCs w:val="24"/>
        </w:rPr>
      </w:pPr>
      <w:r>
        <w:rPr>
          <w:rFonts w:ascii="Times New Roman" w:hAnsi="Times New Roman" w:cs="Times New Roman"/>
          <w:sz w:val="24"/>
          <w:szCs w:val="24"/>
        </w:rPr>
        <w:t>Court:  Sure.  And he’s the one that actually helped perform the forensic evaluation in your case; is that right?</w:t>
      </w:r>
    </w:p>
    <w:p w14:paraId="5337CBF6" w14:textId="05ECE161" w:rsidR="00E76DCC" w:rsidRDefault="00E76DCC" w:rsidP="00A970BE">
      <w:pPr>
        <w:spacing w:after="0" w:line="240" w:lineRule="auto"/>
        <w:ind w:left="720" w:right="720"/>
        <w:jc w:val="both"/>
        <w:rPr>
          <w:rFonts w:ascii="Times New Roman" w:hAnsi="Times New Roman" w:cs="Times New Roman"/>
          <w:sz w:val="24"/>
          <w:szCs w:val="24"/>
        </w:rPr>
      </w:pPr>
      <w:r>
        <w:rPr>
          <w:rFonts w:ascii="Times New Roman" w:hAnsi="Times New Roman" w:cs="Times New Roman"/>
          <w:sz w:val="24"/>
          <w:szCs w:val="24"/>
        </w:rPr>
        <w:t xml:space="preserve">Defendant: Yes.  And it may also be pertinent to note that while I was in Moccasin Bend they shot me up with too much Thorazine and my blood pressure dropped to 60 over 30 and which I was in and out of consciousness.  And that same social worker informed me that there was—I was conscious enough to actually witness my blood pressure at 60 over 30 and then I was out….I filed an internal affairs report.  They investigated it and had an actual private investigator come and review the tape of them dragging me by my feet to isolation, slapping me in my face, and rubbing my sternum very roughly to try to resuscitate me.  Later on that same social worker informed me that there no evidence of the 60 over 30, which I saw the technician write on a piece of paper.  So I believe there is quite a discrepancy in this matter.  </w:t>
      </w:r>
      <w:r>
        <w:rPr>
          <w:rFonts w:ascii="Times New Roman" w:hAnsi="Times New Roman" w:cs="Times New Roman"/>
          <w:i/>
          <w:iCs/>
          <w:sz w:val="24"/>
          <w:szCs w:val="24"/>
        </w:rPr>
        <w:t>Id</w:t>
      </w:r>
      <w:r>
        <w:rPr>
          <w:rFonts w:ascii="Times New Roman" w:hAnsi="Times New Roman" w:cs="Times New Roman"/>
          <w:sz w:val="24"/>
          <w:szCs w:val="24"/>
        </w:rPr>
        <w:t>. at 3-4.</w:t>
      </w:r>
    </w:p>
    <w:p w14:paraId="060FF272" w14:textId="2CD4A747" w:rsidR="00F63584" w:rsidRDefault="00F63584" w:rsidP="00561E5E">
      <w:pPr>
        <w:spacing w:after="0" w:line="240" w:lineRule="auto"/>
        <w:ind w:firstLine="720"/>
        <w:jc w:val="both"/>
        <w:rPr>
          <w:rFonts w:ascii="Times New Roman" w:hAnsi="Times New Roman" w:cs="Times New Roman"/>
          <w:sz w:val="24"/>
          <w:szCs w:val="24"/>
        </w:rPr>
      </w:pPr>
    </w:p>
    <w:p w14:paraId="4418BD51" w14:textId="6245402A" w:rsidR="006A1F5C" w:rsidRDefault="00F63584" w:rsidP="00DD11FB">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Counsel for the Defendant advised the Court that there were no issues regarding competency to stand trial or diminished capacity.  The Defendant told the Court that “Moccasin Bend almost killed me.”  </w:t>
      </w:r>
      <w:r>
        <w:rPr>
          <w:rFonts w:ascii="Times New Roman" w:hAnsi="Times New Roman" w:cs="Times New Roman"/>
          <w:i/>
          <w:iCs/>
          <w:sz w:val="24"/>
          <w:szCs w:val="24"/>
        </w:rPr>
        <w:t>Id</w:t>
      </w:r>
      <w:r>
        <w:rPr>
          <w:rFonts w:ascii="Times New Roman" w:hAnsi="Times New Roman" w:cs="Times New Roman"/>
          <w:sz w:val="24"/>
          <w:szCs w:val="24"/>
        </w:rPr>
        <w:t xml:space="preserve">. at 5.  The Court then asked the Defendant to submit to another forensic evaluation, but as an out-patient.  </w:t>
      </w:r>
      <w:r>
        <w:rPr>
          <w:rFonts w:ascii="Times New Roman" w:hAnsi="Times New Roman" w:cs="Times New Roman"/>
          <w:i/>
          <w:iCs/>
          <w:sz w:val="24"/>
          <w:szCs w:val="24"/>
        </w:rPr>
        <w:t>Id</w:t>
      </w:r>
      <w:r>
        <w:rPr>
          <w:rFonts w:ascii="Times New Roman" w:hAnsi="Times New Roman" w:cs="Times New Roman"/>
          <w:sz w:val="24"/>
          <w:szCs w:val="24"/>
        </w:rPr>
        <w:t>. at 5-6.  The Court reset the case for October 10, 2019.</w:t>
      </w:r>
    </w:p>
    <w:p w14:paraId="763FE6BA" w14:textId="1A48B4A5" w:rsidR="0033240F" w:rsidRDefault="008F5F87"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b/>
        <w:t>30.</w:t>
        <w:tab/>
        <w:t>On September 25, 2019</w:t>
      </w:r>
      <w:r>
        <w:rPr>
          <w:rStyle w:val="FootnoteReference"/>
          <w:rFonts w:ascii="Times New Roman" w:hAnsi="Times New Roman" w:cs="Times New Roman"/>
          <w:sz w:val="24"/>
          <w:szCs w:val="24"/>
        </w:rPr>
        <w:footnoteReference w:id="12"/>
      </w:r>
      <w:r>
        <w:rPr>
          <w:rFonts w:ascii="Times New Roman" w:hAnsi="Times New Roman" w:cs="Times New Roman"/>
          <w:sz w:val="24"/>
          <w:szCs w:val="24"/>
        </w:rPr>
        <w:t>, the Court entered a formal order directing a 2</w:t>
      </w:r>
      <w:r>
        <w:rPr>
          <w:rFonts w:ascii="Times New Roman" w:hAnsi="Times New Roman" w:cs="Times New Roman"/>
          <w:sz w:val="24"/>
          <w:szCs w:val="24"/>
          <w:vertAlign w:val="superscript"/>
        </w:rPr>
        <w:t>nd</w:t>
      </w:r>
      <w:r>
        <w:rPr>
          <w:rFonts w:ascii="Times New Roman" w:hAnsi="Times New Roman" w:cs="Times New Roman"/>
          <w:sz w:val="24"/>
          <w:szCs w:val="24"/>
        </w:rPr>
        <w:t xml:space="preserve"> forensic evaluation pursuant to T.C.A. § 33-7-301(a).  </w:t>
      </w:r>
    </w:p>
    <w:p w14:paraId="0A0151B9" w14:textId="66B185FB" w:rsidR="003C5C1D" w:rsidRDefault="006C045F" w:rsidP="00570404">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31.</w:t>
        <w:tab/>
        <w:t>On October 9, 2019, the State filed a new Indictment in Docket No. [REDACTED] charging this Defendant with now two (2) counts of Aggravated Assault, Class C felonies.  The Indictment listed both Jeannette [WITNESS] and her husband, Robert [WITNESS]</w:t>
      </w:r>
      <w:r>
        <w:rPr>
          <w:rStyle w:val="FootnoteReference"/>
          <w:rFonts w:ascii="Times New Roman" w:hAnsi="Times New Roman" w:cs="Times New Roman"/>
          <w:sz w:val="24"/>
          <w:szCs w:val="24"/>
        </w:rPr>
        <w:footnoteReference w:id="13"/>
      </w:r>
      <w:r>
        <w:rPr>
          <w:rFonts w:ascii="Times New Roman" w:hAnsi="Times New Roman" w:cs="Times New Roman"/>
          <w:sz w:val="24"/>
          <w:szCs w:val="24"/>
        </w:rPr>
        <w:t xml:space="preserve"> as victims.  It has now been three (3) years, six (6) months since the Defendant’s initial arrest, and now, the State has added an additional felony charge naming Robert [WITNESS] as a victim, even after his previous testimony that he was not in fear of [DEFENDANT] because he was not even in the room when he picked up his rifle on that day in 2015. </w:t>
      </w:r>
    </w:p>
    <w:p w14:paraId="115DACE5" w14:textId="671ACEC7" w:rsidR="00377521" w:rsidRDefault="003C5C1D" w:rsidP="003C5C1D">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32.</w:t>
        <w:tab/>
        <w:t xml:space="preserve">On October 10, 2019, the State dismissed the Defendant’s initial Indictment in Docket No. [REDACTED-PRIOR], the Defendant was arraigned on the new Indictment and the case was continued to December 11, 2019.  As of October 10, 2019, the Defendant had not been re-evaluated by Moccasin Bend.  </w:t>
      </w:r>
      <w:r>
        <w:rPr>
          <w:rFonts w:ascii="Times New Roman" w:hAnsi="Times New Roman" w:cs="Times New Roman"/>
          <w:i/>
          <w:iCs/>
          <w:sz w:val="24"/>
          <w:szCs w:val="24"/>
        </w:rPr>
        <w:t>See</w:t>
      </w:r>
      <w:r>
        <w:rPr>
          <w:rFonts w:ascii="Times New Roman" w:hAnsi="Times New Roman" w:cs="Times New Roman"/>
          <w:sz w:val="24"/>
          <w:szCs w:val="24"/>
        </w:rPr>
        <w:t xml:space="preserve"> Transcript, 10/11/19, p. 2-3.</w:t>
      </w:r>
    </w:p>
    <w:p w14:paraId="76C4F97B" w14:textId="05EDBB5A" w:rsidR="00C80CCB" w:rsidRDefault="00C80CCB"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33.</w:t>
        <w:tab/>
        <w:t>On December 11, 2019, the Court received correspondence from the Joe Johnson Mental Center advising that they were unable to decide concerning competency and recommended a referral to Middle Tennessee Mental Health Institute.  This Court, on the following day, December 12, 2019, entered another Order directing such referral to the MTMHI.</w:t>
      </w:r>
    </w:p>
    <w:p w14:paraId="1C265572" w14:textId="56A9656B" w:rsidR="00E066D5" w:rsidRDefault="00E066D5"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34.</w:t>
        <w:tab/>
        <w:t>On December 17, 2019, according to the docket entries, the Court granted Elizabeth Roderick’s oral Motion to Withdraw.</w:t>
      </w:r>
    </w:p>
    <w:p w14:paraId="6F74C565" w14:textId="33A99FF4" w:rsidR="008968B8" w:rsidRDefault="008968B8"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b/>
        <w:t>35.</w:t>
        <w:tab/>
        <w:t>On February 24, 2020, MTMHI sent correspondence to the Court that the Defendant was competent to stand trial and competent at the time of his offense.  The case was set for [DATE 2020].</w:t>
      </w:r>
    </w:p>
    <w:p w14:paraId="28EDF587" w14:textId="3D1D7C55" w:rsidR="008968B8" w:rsidRDefault="008968B8"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36.</w:t>
        <w:tab/>
        <w:t>On [DATE 2020], the Court substituted Steve Moore as counsel for the Defendant and the case was continued to April 24, 2020 for a status conference.</w:t>
      </w:r>
      <w:r>
        <w:rPr>
          <w:rStyle w:val="FootnoteReference"/>
          <w:rFonts w:ascii="Times New Roman" w:hAnsi="Times New Roman" w:cs="Times New Roman"/>
          <w:sz w:val="24"/>
          <w:szCs w:val="24"/>
        </w:rPr>
        <w:footnoteReference w:id="14"/>
      </w:r>
      <w:r>
        <w:rPr>
          <w:rFonts w:ascii="Times New Roman" w:hAnsi="Times New Roman" w:cs="Times New Roman"/>
          <w:sz w:val="24"/>
          <w:szCs w:val="24"/>
        </w:rPr>
        <w:t xml:space="preserve">  </w:t>
      </w:r>
    </w:p>
    <w:p w14:paraId="6DF75A14" w14:textId="014E0258" w:rsidR="00877248" w:rsidRDefault="00877248"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37.</w:t>
        <w:tab/>
        <w:t>On April 20, 2020 and due to the Supreme Court’s March 25, 2020 Order re. COVID, the case was continued to May 15, 2020, to June 12, 2020, June 19, 2020, June 25, 2020, and to July 16, 2020.</w:t>
      </w:r>
    </w:p>
    <w:p w14:paraId="7A1327E0" w14:textId="329966F3" w:rsidR="007650F7" w:rsidRDefault="007650F7"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38.</w:t>
        <w:tab/>
        <w:t>On July 16, 2020, Steve Moore filed a Motion to Withdraw due to a “conflict.”  On the same date, the Court granted Steve Moore’s Motion to Withdraw.</w:t>
      </w:r>
    </w:p>
    <w:p w14:paraId="6BC9D008" w14:textId="5C926B53" w:rsidR="00FD2843" w:rsidRDefault="00FD2843"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39.</w:t>
        <w:tab/>
        <w:t>Current Counsel entered an appearance for this Defendant on or about July 28, 2020.  Counsel is retained as the Defendant was recently hired for employment.</w:t>
      </w:r>
    </w:p>
    <w:p w14:paraId="39D3407E" w14:textId="18C34128" w:rsidR="00BF42EB" w:rsidRDefault="00BF42EB"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40.</w:t>
        <w:tab/>
        <w:t>This matter is currently set for a status conference on September 22, 2020.</w:t>
      </w:r>
    </w:p>
    <w:p w14:paraId="5BEF0DB8" w14:textId="0921AFD9" w:rsidR="00D84AAE" w:rsidRDefault="00E13629"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41.</w:t>
        <w:tab/>
        <w:t xml:space="preserve">It has now been four (4) years and five (5) months since his initial arrest.  At the time of his initial arrest, the Defendant was employed and just had a son who was 11 days old.  Due to the criminal charge, the Defendant lost his job and has not seen his son for over four (4) years and five (5) months.  He had a brief job for a few months while this case was pending but lost that job as well.  Only recently, has he been able to re-gain employment.  Thru no fault of his own, the Defendant’s first attorney died in or around [DATE 2018].  A second attorney, Mr. Pearce, appeared once and then moved to Mississippi.  He has been appointed three (3) other lawyers.  Current counsel is now his sixth attorney.  </w:t>
      </w:r>
    </w:p>
    <w:p w14:paraId="57989734" w14:textId="3E67E62F" w:rsidR="00D84AAE" w:rsidRDefault="00D84AAE" w:rsidP="006F394A">
      <w:p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b/>
        <w:t>The State District Attorneys are no better.  There has been a total of four (4) Assistant District Attorneys who have appeared as counsel of record in this case.</w:t>
      </w:r>
    </w:p>
    <w:p w14:paraId="5D958401" w14:textId="77777777" w:rsidR="00814939" w:rsidRDefault="005F1559" w:rsidP="00D84AAE">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Further, even though the State, the Defendant and the victims all agreed to a judicial diversion on a </w:t>
      </w:r>
      <w:r>
        <w:rPr>
          <w:rFonts w:ascii="Times New Roman" w:hAnsi="Times New Roman" w:cs="Times New Roman"/>
          <w:i/>
          <w:iCs/>
          <w:sz w:val="24"/>
          <w:szCs w:val="24"/>
        </w:rPr>
        <w:t>nolo contendere</w:t>
      </w:r>
      <w:r>
        <w:rPr>
          <w:rFonts w:ascii="Times New Roman" w:hAnsi="Times New Roman" w:cs="Times New Roman"/>
          <w:sz w:val="24"/>
          <w:szCs w:val="24"/>
        </w:rPr>
        <w:t xml:space="preserve"> plea which this Court appears to have initially rejected, the case was continued multiple times on this issue.  A final diversion hearing was never conducted. </w:t>
      </w:r>
    </w:p>
    <w:p w14:paraId="2C0983CD" w14:textId="77777777" w:rsidR="00F60C81" w:rsidRDefault="000F3072" w:rsidP="00D84AAE">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State took advantage of this delay.  Roderick’s Motion to Dismiss was filed in April 2019 and the case was continued another six (6) months until October 2019.  Roderick was never able to even argue her motion, but rather, the State was granted enough time to go back to the Grand Jury and seek another Indictment.  Now, [DEFENDANT] faces a 2</w:t>
      </w:r>
      <w:r>
        <w:rPr>
          <w:rFonts w:ascii="Times New Roman" w:hAnsi="Times New Roman" w:cs="Times New Roman"/>
          <w:sz w:val="24"/>
          <w:szCs w:val="24"/>
          <w:vertAlign w:val="superscript"/>
        </w:rPr>
        <w:t>nd</w:t>
      </w:r>
      <w:r>
        <w:rPr>
          <w:rFonts w:ascii="Times New Roman" w:hAnsi="Times New Roman" w:cs="Times New Roman"/>
          <w:sz w:val="24"/>
          <w:szCs w:val="24"/>
        </w:rPr>
        <w:t xml:space="preserve"> serious felony charge, not just a single felony charge that he faced initially.</w:t>
      </w:r>
    </w:p>
    <w:p w14:paraId="563A2071" w14:textId="0617708A" w:rsidR="00814939" w:rsidRDefault="00F60C81" w:rsidP="00D84AAE">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issue and tortured history of forensic evaluations for [DEFENDANT] is equally troubling as he underwent 3 different evaluations.  Counsel would point out that mental health treatment was part of the initial plea agreement, yet the Court requested the initial evaluation, the second evaluation and the third, all before accepting the plea agreement.  [DEFENDANT] trials and tribulations during these evaluations is part of the record, but he was forced to spend 15 days in-patient, possibly more during the subsequent evaluations.  The result was competency, something his own attorneys never questioned, at least not on the record and in open court.</w:t>
      </w:r>
    </w:p>
    <w:p w14:paraId="569155F5" w14:textId="3E4D1EA0" w:rsidR="00BA38A0" w:rsidRDefault="005F1559" w:rsidP="005F1559">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Defendant has no criminal history of any kind.  He not only lost his job but lost the first four (4) and a half year of his son’s life because of the delays in this case.</w:t>
      </w:r>
    </w:p>
    <w:p w14:paraId="35AAF60F" w14:textId="02DDBFAF" w:rsidR="008C22F7" w:rsidRDefault="00BA38A0" w:rsidP="00BA38A0">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Respectfully, the delays in this case have prejudiced [DEFENDANT] in an extreme way which violate his constitutional rights to a speedy trial rights and his due process rights to a fair trial.  This Court should dismiss the Indictment.</w:t>
      </w:r>
    </w:p>
    <w:p w14:paraId="100F4F9B" w14:textId="77777777" w:rsidR="00BA38A0" w:rsidRDefault="00BA38A0" w:rsidP="00BA38A0">
      <w:pPr>
        <w:spacing w:after="0" w:line="480" w:lineRule="auto"/>
        <w:ind w:firstLine="720"/>
        <w:jc w:val="both"/>
        <w:rPr>
          <w:rFonts w:ascii="Times New Roman" w:hAnsi="Times New Roman" w:cs="Times New Roman"/>
          <w:sz w:val="24"/>
          <w:szCs w:val="24"/>
        </w:rPr>
      </w:pPr>
    </w:p>
    <w:p w14:paraId="1E36E82F" w14:textId="1BC5F5BE" w:rsidR="005334B9" w:rsidRDefault="005334B9" w:rsidP="005334B9">
      <w:pPr>
        <w:spacing w:after="0" w:line="48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MEMORANDUM IN SUPPORT</w:t>
      </w:r>
    </w:p>
    <w:p w14:paraId="65A485AD" w14:textId="77777777" w:rsidR="005334B9" w:rsidRDefault="005334B9" w:rsidP="005334B9">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An accused’s constitutional right to a speedy trial is found in both the Sixth Amendment to the United States Constitution and </w:t>
      </w:r>
      <w:hyperlink r:id="rId11" w:history="1">
        <w:r>
          <w:rPr>
            <w:rStyle w:val="Hyperlink"/>
            <w:rFonts w:ascii="Times New Roman" w:hAnsi="Times New Roman" w:cs="Times New Roman"/>
            <w:color w:val="auto"/>
            <w:sz w:val="24"/>
            <w:szCs w:val="24"/>
            <w:u w:val="none"/>
          </w:rPr>
          <w:t>Article 1, Section 9</w:t>
        </w:r>
      </w:hyperlink>
      <w:r>
        <w:rPr>
          <w:rFonts w:ascii="Times New Roman" w:hAnsi="Times New Roman" w:cs="Times New Roman"/>
          <w:sz w:val="24"/>
          <w:szCs w:val="24"/>
        </w:rPr>
        <w:t> of the Tennessee Constitution.</w:t>
      </w:r>
    </w:p>
    <w:p w14:paraId="6051D349" w14:textId="77777777" w:rsidR="005334B9" w:rsidRDefault="005334B9" w:rsidP="005334B9">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T.C.A. § 40-14-101 provides an identical right which states, “[i]n all criminal prosecutions, the accused is entitled to a </w:t>
      </w:r>
      <w:r>
        <w:rPr>
          <w:rStyle w:val="cosearchterm"/>
          <w:rFonts w:ascii="Times New Roman" w:hAnsi="Times New Roman" w:cs="Times New Roman"/>
          <w:sz w:val="24"/>
          <w:szCs w:val="24"/>
        </w:rPr>
        <w:t>speedy</w:t>
      </w:r>
      <w:r>
        <w:rPr>
          <w:rFonts w:ascii="Times New Roman" w:hAnsi="Times New Roman" w:cs="Times New Roman"/>
          <w:sz w:val="24"/>
          <w:szCs w:val="24"/>
        </w:rPr>
        <w:t> </w:t>
      </w:r>
      <w:r>
        <w:rPr>
          <w:rStyle w:val="cosearchterm"/>
          <w:rFonts w:ascii="Times New Roman" w:hAnsi="Times New Roman" w:cs="Times New Roman"/>
          <w:sz w:val="24"/>
          <w:szCs w:val="24"/>
        </w:rPr>
        <w:t>trial</w:t>
      </w:r>
      <w:r>
        <w:rPr>
          <w:rFonts w:ascii="Times New Roman" w:hAnsi="Times New Roman" w:cs="Times New Roman"/>
          <w:sz w:val="24"/>
          <w:szCs w:val="24"/>
        </w:rPr>
        <w:t xml:space="preserve">, and to be heard in person and by counsel.” </w:t>
      </w:r>
    </w:p>
    <w:p w14:paraId="1C25FDEB" w14:textId="6276E0F9" w:rsidR="005334B9" w:rsidRDefault="005334B9" w:rsidP="005334B9">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Further, the </w:t>
      </w:r>
      <w:r>
        <w:rPr>
          <w:rFonts w:ascii="Times New Roman" w:hAnsi="Times New Roman" w:cs="Times New Roman"/>
          <w:i/>
          <w:iCs/>
          <w:sz w:val="24"/>
          <w:szCs w:val="24"/>
        </w:rPr>
        <w:t>Tennessee Rules of Criminal Procedure</w:t>
      </w:r>
      <w:r>
        <w:rPr>
          <w:rFonts w:ascii="Times New Roman" w:hAnsi="Times New Roman" w:cs="Times New Roman"/>
          <w:sz w:val="24"/>
          <w:szCs w:val="24"/>
        </w:rPr>
        <w:t xml:space="preserve"> provide that “if there is unnecessary delay in bringing a defendant to trial, the court may dismiss the indictment, presentment, information or complaint.”  </w:t>
      </w:r>
      <w:r>
        <w:rPr>
          <w:rFonts w:ascii="Times New Roman" w:hAnsi="Times New Roman" w:cs="Times New Roman"/>
          <w:i/>
          <w:iCs/>
          <w:sz w:val="24"/>
          <w:szCs w:val="24"/>
        </w:rPr>
        <w:t>See</w:t>
      </w:r>
      <w:r>
        <w:rPr>
          <w:rFonts w:ascii="Times New Roman" w:hAnsi="Times New Roman" w:cs="Times New Roman"/>
          <w:sz w:val="24"/>
          <w:szCs w:val="24"/>
        </w:rPr>
        <w:t xml:space="preserve"> Tenn.R.Crim.P. 48(b).</w:t>
      </w:r>
    </w:p>
    <w:p w14:paraId="58C21F33" w14:textId="0BF2ECCC" w:rsidR="006F394A" w:rsidRDefault="005334B9" w:rsidP="005334B9">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These speedy trial rights are guarantees that were designed “to protect the accused against oppressive pre-trial incarceration, the anxiety and concern due to unresolved criminal charges, and the risk that evidence will be lost or memories diminished.”  </w:t>
      </w:r>
      <w:hyperlink r:id="rId12" w:anchor="co_pp_sp_713_492" w:history="1">
        <w:r>
          <w:rPr>
            <w:rStyle w:val="Emphasis"/>
            <w:rFonts w:ascii="Times New Roman" w:hAnsi="Times New Roman" w:cs="Times New Roman"/>
            <w:sz w:val="24"/>
            <w:szCs w:val="24"/>
          </w:rPr>
          <w:t>State v. Utley,</w:t>
        </w:r>
        <w:r>
          <w:rPr>
            <w:rStyle w:val="Hyperlink"/>
            <w:rFonts w:ascii="Times New Roman" w:hAnsi="Times New Roman" w:cs="Times New Roman"/>
            <w:color w:val="auto"/>
            <w:sz w:val="24"/>
            <w:szCs w:val="24"/>
            <w:u w:val="none"/>
          </w:rPr>
          <w:t> 956 S.W.2d 489, 492 (Tenn.1997)</w:t>
        </w:r>
      </w:hyperlink>
      <w:r>
        <w:rPr>
          <w:rFonts w:ascii="Times New Roman" w:hAnsi="Times New Roman" w:cs="Times New Roman"/>
          <w:sz w:val="24"/>
          <w:szCs w:val="24"/>
        </w:rPr>
        <w:t> (citing </w:t>
      </w:r>
      <w:hyperlink r:id="rId13" w:anchor="co_pp_sp_708_2692" w:history="1">
        <w:r>
          <w:rPr>
            <w:rStyle w:val="Emphasis"/>
            <w:rFonts w:ascii="Times New Roman" w:hAnsi="Times New Roman" w:cs="Times New Roman"/>
            <w:sz w:val="24"/>
            <w:szCs w:val="24"/>
          </w:rPr>
          <w:t>Doggett v. United States,</w:t>
        </w:r>
        <w:r>
          <w:rPr>
            <w:rStyle w:val="Hyperlink"/>
            <w:rFonts w:ascii="Times New Roman" w:hAnsi="Times New Roman" w:cs="Times New Roman"/>
            <w:color w:val="auto"/>
            <w:sz w:val="24"/>
            <w:szCs w:val="24"/>
            <w:u w:val="none"/>
          </w:rPr>
          <w:t> 505 U.S. 647, 654, 112 S.Ct. 2686, 2692, 120 L.Ed.2d 520 (1992)</w:t>
        </w:r>
      </w:hyperlink>
      <w:r>
        <w:rPr>
          <w:rFonts w:ascii="Times New Roman" w:hAnsi="Times New Roman" w:cs="Times New Roman"/>
          <w:sz w:val="24"/>
          <w:szCs w:val="24"/>
        </w:rPr>
        <w:t>).</w:t>
      </w:r>
    </w:p>
    <w:p w14:paraId="5E405173" w14:textId="77777777" w:rsidR="005334B9" w:rsidRDefault="005334B9" w:rsidP="005334B9">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Defendant’s speedy trial rights are implicated when there is an arrest.  </w:t>
      </w:r>
      <w:r>
        <w:rPr>
          <w:rFonts w:ascii="Times New Roman" w:hAnsi="Times New Roman" w:cs="Times New Roman"/>
          <w:i/>
          <w:iCs/>
          <w:sz w:val="24"/>
          <w:szCs w:val="24"/>
        </w:rPr>
        <w:t>Utley</w:t>
      </w:r>
      <w:r>
        <w:rPr>
          <w:rFonts w:ascii="Times New Roman" w:hAnsi="Times New Roman" w:cs="Times New Roman"/>
          <w:sz w:val="24"/>
          <w:szCs w:val="24"/>
        </w:rPr>
        <w:t xml:space="preserve">, 956 S.W.2d at 491.  When a Defendant asserts a denial of his speedy trial rights, the reviewing Court must conduct a balancing test.  </w:t>
      </w:r>
      <w:hyperlink r:id="rId14" w:history="1">
        <w:r>
          <w:rPr>
            <w:rStyle w:val="Emphasis"/>
            <w:rFonts w:ascii="Times New Roman" w:hAnsi="Times New Roman" w:cs="Times New Roman"/>
            <w:sz w:val="24"/>
            <w:szCs w:val="24"/>
          </w:rPr>
          <w:t>Barker v. Wingo,</w:t>
        </w:r>
        <w:r>
          <w:rPr>
            <w:rStyle w:val="Hyperlink"/>
            <w:rFonts w:ascii="Times New Roman" w:hAnsi="Times New Roman" w:cs="Times New Roman"/>
            <w:color w:val="auto"/>
            <w:sz w:val="24"/>
            <w:szCs w:val="24"/>
            <w:u w:val="none"/>
          </w:rPr>
          <w:t> 407 U.S. 514, 92 S.Ct. 2182, 33 L.Ed.2d 101 (1972)</w:t>
        </w:r>
      </w:hyperlink>
      <w:r>
        <w:rPr>
          <w:rFonts w:ascii="Times New Roman" w:hAnsi="Times New Roman" w:cs="Times New Roman"/>
          <w:sz w:val="24"/>
          <w:szCs w:val="24"/>
        </w:rPr>
        <w:t xml:space="preserve">; </w:t>
      </w:r>
      <w:hyperlink r:id="rId15" w:anchor="co_pp_sp_713_346" w:history="1">
        <w:r>
          <w:rPr>
            <w:rStyle w:val="Emphasis"/>
            <w:rFonts w:ascii="Times New Roman" w:hAnsi="Times New Roman" w:cs="Times New Roman"/>
            <w:sz w:val="24"/>
            <w:szCs w:val="24"/>
          </w:rPr>
          <w:t>State v. Wood,</w:t>
        </w:r>
        <w:r>
          <w:rPr>
            <w:rStyle w:val="Hyperlink"/>
            <w:rFonts w:ascii="Times New Roman" w:hAnsi="Times New Roman" w:cs="Times New Roman"/>
            <w:color w:val="auto"/>
            <w:sz w:val="24"/>
            <w:szCs w:val="24"/>
            <w:u w:val="none"/>
          </w:rPr>
          <w:t> 924 S.W.2d 342, 346 (Tenn.1996)</w:t>
        </w:r>
      </w:hyperlink>
      <w:r>
        <w:rPr>
          <w:rFonts w:ascii="Times New Roman" w:hAnsi="Times New Roman" w:cs="Times New Roman"/>
          <w:sz w:val="24"/>
          <w:szCs w:val="24"/>
        </w:rPr>
        <w:t>; </w:t>
      </w:r>
      <w:hyperlink r:id="rId16" w:anchor="co_pp_sp_713_353" w:history="1">
        <w:r>
          <w:rPr>
            <w:rStyle w:val="Emphasis"/>
            <w:rFonts w:ascii="Times New Roman" w:hAnsi="Times New Roman" w:cs="Times New Roman"/>
            <w:sz w:val="24"/>
            <w:szCs w:val="24"/>
          </w:rPr>
          <w:t>State v. Baker,</w:t>
        </w:r>
        <w:r>
          <w:rPr>
            <w:rStyle w:val="Hyperlink"/>
            <w:rFonts w:ascii="Times New Roman" w:hAnsi="Times New Roman" w:cs="Times New Roman"/>
            <w:color w:val="auto"/>
            <w:sz w:val="24"/>
            <w:szCs w:val="24"/>
            <w:u w:val="none"/>
          </w:rPr>
          <w:t> 614 S.W.2d 352, 353 (Tenn.1981)</w:t>
        </w:r>
      </w:hyperlink>
      <w:r>
        <w:rPr>
          <w:rFonts w:ascii="Times New Roman" w:hAnsi="Times New Roman" w:cs="Times New Roman"/>
          <w:sz w:val="24"/>
          <w:szCs w:val="24"/>
        </w:rPr>
        <w:t>; </w:t>
      </w:r>
      <w:hyperlink r:id="rId17" w:anchor="co_pp_sp_713_83" w:history="1">
        <w:r>
          <w:rPr>
            <w:rStyle w:val="Emphasis"/>
            <w:rFonts w:ascii="Times New Roman" w:hAnsi="Times New Roman" w:cs="Times New Roman"/>
            <w:sz w:val="24"/>
            <w:szCs w:val="24"/>
          </w:rPr>
          <w:t>State v. Bishop,</w:t>
        </w:r>
        <w:r>
          <w:rPr>
            <w:rStyle w:val="Hyperlink"/>
            <w:rFonts w:ascii="Times New Roman" w:hAnsi="Times New Roman" w:cs="Times New Roman"/>
            <w:color w:val="auto"/>
            <w:sz w:val="24"/>
            <w:szCs w:val="24"/>
            <w:u w:val="none"/>
          </w:rPr>
          <w:t> 493 S.W.2d 81, 83–85 (Tenn.1973)</w:t>
        </w:r>
      </w:hyperlink>
      <w:r>
        <w:rPr>
          <w:rFonts w:ascii="Times New Roman" w:hAnsi="Times New Roman" w:cs="Times New Roman"/>
          <w:sz w:val="24"/>
          <w:szCs w:val="24"/>
        </w:rPr>
        <w:t xml:space="preserve">. </w:t>
      </w:r>
    </w:p>
    <w:p w14:paraId="2A33C74A" w14:textId="56E1BFC0" w:rsidR="006F394A" w:rsidRDefault="005334B9" w:rsidP="005334B9">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Under the </w:t>
      </w:r>
      <w:hyperlink r:id="rId18" w:history="1">
        <w:r>
          <w:rPr>
            <w:rStyle w:val="Emphasis"/>
            <w:rFonts w:ascii="Times New Roman" w:hAnsi="Times New Roman" w:cs="Times New Roman"/>
            <w:sz w:val="24"/>
            <w:szCs w:val="24"/>
          </w:rPr>
          <w:t>Barker</w:t>
        </w:r>
      </w:hyperlink>
      <w:r>
        <w:rPr>
          <w:rFonts w:ascii="Times New Roman" w:hAnsi="Times New Roman" w:cs="Times New Roman"/>
          <w:sz w:val="24"/>
          <w:szCs w:val="24"/>
        </w:rPr>
        <w:t xml:space="preserve"> test, four (4) factors must be considered: (1) the length of the delay; (2) the reasons for the delay; (3) the accused's assertion of the right to a </w:t>
      </w:r>
      <w:r>
        <w:rPr>
          <w:rStyle w:val="cosearchterm"/>
          <w:rFonts w:ascii="Times New Roman" w:hAnsi="Times New Roman" w:cs="Times New Roman"/>
          <w:sz w:val="24"/>
          <w:szCs w:val="24"/>
        </w:rPr>
        <w:t>speedy</w:t>
      </w:r>
      <w:r>
        <w:rPr>
          <w:rFonts w:ascii="Times New Roman" w:hAnsi="Times New Roman" w:cs="Times New Roman"/>
          <w:sz w:val="24"/>
          <w:szCs w:val="24"/>
        </w:rPr>
        <w:t> </w:t>
      </w:r>
      <w:r>
        <w:rPr>
          <w:rStyle w:val="cosearchterm"/>
          <w:rFonts w:ascii="Times New Roman" w:hAnsi="Times New Roman" w:cs="Times New Roman"/>
          <w:sz w:val="24"/>
          <w:szCs w:val="24"/>
        </w:rPr>
        <w:t>trial</w:t>
      </w:r>
      <w:r>
        <w:rPr>
          <w:rFonts w:ascii="Times New Roman" w:hAnsi="Times New Roman" w:cs="Times New Roman"/>
          <w:sz w:val="24"/>
          <w:szCs w:val="24"/>
        </w:rPr>
        <w:t xml:space="preserve">; and (4) the prejudice resulting from the delay.  </w:t>
      </w:r>
      <w:hyperlink r:id="rId19" w:anchor="co_pp_sp_708_2192" w:history="1">
        <w:r>
          <w:rPr>
            <w:rStyle w:val="Emphasis"/>
            <w:rFonts w:ascii="Times New Roman" w:hAnsi="Times New Roman" w:cs="Times New Roman"/>
            <w:sz w:val="24"/>
            <w:szCs w:val="24"/>
          </w:rPr>
          <w:t>Barker,</w:t>
        </w:r>
        <w:r>
          <w:rPr>
            <w:rStyle w:val="Hyperlink"/>
            <w:rFonts w:ascii="Times New Roman" w:hAnsi="Times New Roman" w:cs="Times New Roman"/>
            <w:color w:val="auto"/>
            <w:sz w:val="24"/>
            <w:szCs w:val="24"/>
            <w:u w:val="none"/>
          </w:rPr>
          <w:t> 407 U.S. at 530.</w:t>
        </w:r>
      </w:hyperlink>
      <w:r>
        <w:rPr>
          <w:rFonts w:ascii="Times New Roman" w:hAnsi="Times New Roman" w:cs="Times New Roman"/>
          <w:sz w:val="24"/>
          <w:szCs w:val="24"/>
        </w:rPr>
        <w:t> If, after conducting this balancing test, it is concluded that the defendant was in fact denied a </w:t>
      </w:r>
      <w:r>
        <w:rPr>
          <w:rStyle w:val="cosearchterm"/>
          <w:rFonts w:ascii="Times New Roman" w:hAnsi="Times New Roman" w:cs="Times New Roman"/>
          <w:sz w:val="24"/>
          <w:szCs w:val="24"/>
        </w:rPr>
        <w:t>speedy</w:t>
      </w:r>
      <w:r>
        <w:rPr>
          <w:rFonts w:ascii="Times New Roman" w:hAnsi="Times New Roman" w:cs="Times New Roman"/>
          <w:sz w:val="24"/>
          <w:szCs w:val="24"/>
        </w:rPr>
        <w:t> </w:t>
      </w:r>
      <w:r>
        <w:rPr>
          <w:rStyle w:val="cosearchterm"/>
          <w:rFonts w:ascii="Times New Roman" w:hAnsi="Times New Roman" w:cs="Times New Roman"/>
          <w:sz w:val="24"/>
          <w:szCs w:val="24"/>
        </w:rPr>
        <w:t>trial</w:t>
      </w:r>
      <w:r>
        <w:rPr>
          <w:rFonts w:ascii="Times New Roman" w:hAnsi="Times New Roman" w:cs="Times New Roman"/>
          <w:sz w:val="24"/>
          <w:szCs w:val="24"/>
        </w:rPr>
        <w:t xml:space="preserve">, constitutional principles </w:t>
        <w:lastRenderedPageBreak/>
        <w:t xml:space="preserve">require that the conviction be reversed and the criminal charges dismissed.  </w:t>
      </w:r>
      <w:hyperlink r:id="rId20" w:anchor="co_pp_sp_713_83" w:history="1">
        <w:r>
          <w:rPr>
            <w:rStyle w:val="Emphasis"/>
            <w:rFonts w:ascii="Times New Roman" w:hAnsi="Times New Roman" w:cs="Times New Roman"/>
            <w:sz w:val="24"/>
            <w:szCs w:val="24"/>
          </w:rPr>
          <w:t>Bishop,</w:t>
        </w:r>
        <w:r>
          <w:rPr>
            <w:rStyle w:val="Hyperlink"/>
            <w:rFonts w:ascii="Times New Roman" w:hAnsi="Times New Roman" w:cs="Times New Roman"/>
            <w:color w:val="auto"/>
            <w:sz w:val="24"/>
            <w:szCs w:val="24"/>
            <w:u w:val="none"/>
          </w:rPr>
          <w:t> 493 S.W.2d at 83.</w:t>
        </w:r>
      </w:hyperlink>
    </w:p>
    <w:p w14:paraId="3CC0E9B7" w14:textId="7EA86D1A" w:rsidR="005334B9" w:rsidRDefault="005334B9" w:rsidP="005334B9">
      <w:pPr>
        <w:spacing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Under the first factor, a delay of one year or longer will </w:t>
      </w:r>
      <w:r>
        <w:rPr>
          <w:rFonts w:ascii="Times New Roman" w:eastAsia="Times New Roman" w:hAnsi="Times New Roman" w:cs="Times New Roman"/>
          <w:sz w:val="24"/>
          <w:szCs w:val="24"/>
        </w:rPr>
        <w:t>trigger an inquiry into a speedy trial violation. </w:t>
      </w:r>
      <w:hyperlink r:id="rId21" w:anchor="co_pp_sp_4644_759" w:history="1">
        <w:r>
          <w:rPr>
            <w:rFonts w:ascii="Times New Roman" w:eastAsia="Times New Roman" w:hAnsi="Times New Roman" w:cs="Times New Roman"/>
            <w:i/>
            <w:iCs/>
            <w:sz w:val="24"/>
            <w:szCs w:val="24"/>
          </w:rPr>
          <w:t>State v. Simmons,</w:t>
        </w:r>
        <w:r>
          <w:rPr>
            <w:rFonts w:ascii="Times New Roman" w:eastAsia="Times New Roman" w:hAnsi="Times New Roman" w:cs="Times New Roman"/>
            <w:sz w:val="24"/>
            <w:szCs w:val="24"/>
          </w:rPr>
          <w:t> 54 S.W.3d 755, 759 (Tenn. 2001)</w:t>
        </w:r>
      </w:hyperlink>
      <w:r>
        <w:rPr>
          <w:rFonts w:ascii="Times New Roman" w:eastAsia="Times New Roman" w:hAnsi="Times New Roman" w:cs="Times New Roman"/>
          <w:sz w:val="24"/>
          <w:szCs w:val="24"/>
        </w:rPr>
        <w:t>. In the instant case, the Defendant was arrested on [DATE 2016].  It has now been four (4) years and approximately five (5) months since his arrest.</w:t>
      </w:r>
    </w:p>
    <w:p w14:paraId="4981C4F6" w14:textId="5C5AC82D" w:rsidR="00484FBF" w:rsidRDefault="00484FBF" w:rsidP="00484FBF">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Courts have created four categories for the second factor which include: “(1) intentional delay to gain a tactical advantage over the defense or delay designed to harass the defendant; (2) bureaucratic indifference or negligence; (3) delay necessary to the fair and effective prosecution of the case; and (4) delay caused, or acquiesced in, by the defense.”  </w:t>
      </w:r>
      <w:hyperlink r:id="rId22" w:anchor="co_pp_sp_713_346" w:history="1">
        <w:r>
          <w:rPr>
            <w:rFonts w:ascii="Times New Roman" w:eastAsia="Times New Roman" w:hAnsi="Times New Roman" w:cs="Times New Roman"/>
            <w:i/>
            <w:iCs/>
            <w:sz w:val="24"/>
            <w:szCs w:val="24"/>
          </w:rPr>
          <w:t>State v. Wood,</w:t>
        </w:r>
        <w:r>
          <w:rPr>
            <w:rFonts w:ascii="Times New Roman" w:eastAsia="Times New Roman" w:hAnsi="Times New Roman" w:cs="Times New Roman"/>
            <w:sz w:val="24"/>
            <w:szCs w:val="24"/>
          </w:rPr>
          <w:t> 924 S.W.2d 342, 346–47 (Tenn.1996)</w:t>
        </w:r>
      </w:hyperlink>
      <w:r>
        <w:rPr>
          <w:rFonts w:ascii="Times New Roman" w:eastAsia="Times New Roman" w:hAnsi="Times New Roman" w:cs="Times New Roman"/>
          <w:sz w:val="24"/>
          <w:szCs w:val="24"/>
        </w:rPr>
        <w:t xml:space="preserve"> (footnotes omitted). </w:t>
      </w:r>
    </w:p>
    <w:p w14:paraId="3CE6B763" w14:textId="5310AC87" w:rsidR="00050EEB" w:rsidRDefault="0052173B" w:rsidP="0052173B">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In the present case, the State has clearly gained a tactical advantage over [DEFENDANT] because they used the delay to obtain a second indictment which charges him with two (2) felony offenses, not just one.  Roderick filed the initially Motion to Dismiss in April 2019 and it took six (6) months for the State to re-indict.  Upon review of the Court docket, Roderick was not even given the chance to even argue her motion.</w:t>
      </w:r>
    </w:p>
    <w:p w14:paraId="1433B506" w14:textId="12A4A0CC" w:rsidR="00A260AE" w:rsidRDefault="005772EB" w:rsidP="00050EEB">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 the long delay has caused witness’ memories to fade.  [DEFENDANT] himself would honestly testify that his memory of the events has faded which affect his right to a fair trial.  Further, even given Mr. [WITNESS] testimony before this Court, the State has indicted [DEFENDANT] for putting Mr. [WITNESS] in reasonable fear of an aggravated assault when he testified that he was not in reasonable fear.  Has his testimony now changed?  </w:t>
      </w:r>
    </w:p>
    <w:p w14:paraId="21BE5BFD" w14:textId="4CE8A5F6" w:rsidR="0052173B" w:rsidRDefault="005B6345" w:rsidP="00050EEB">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Lastly, the delay due to the forensic evaluations was not totally due to negligence, nor was it for a fair and effective prosecution of the case.  [DEFENDANT] was put in-patient for over two weeks.  </w:t>
        <w:lastRenderedPageBreak/>
        <w:t>He was given Thorazine which caused his blood pressure to drop and he nearly died.  An over-zealous police officer caused [DEFENDANT]’ case to be substantially delayed because of his role in [DEFENDANT]’ evaluation.</w:t>
      </w:r>
    </w:p>
    <w:p w14:paraId="58B4DD3A" w14:textId="780A1AAE" w:rsidR="00484FBF" w:rsidRDefault="00484FBF" w:rsidP="00484FBF">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third factor regarding the Defendant’s assertion of his speedy trial rights is generally given great weight when determining whether the right was denied.  </w:t>
      </w:r>
      <w:hyperlink r:id="rId23" w:anchor="co_pp_sp_708_2192" w:history="1"/>
      <w:r>
        <w:rPr>
          <w:rFonts w:ascii="Times New Roman" w:eastAsia="Times New Roman" w:hAnsi="Times New Roman" w:cs="Times New Roman"/>
          <w:sz w:val="24"/>
          <w:szCs w:val="24"/>
        </w:rPr>
        <w:t xml:space="preserve">  In this case, the Defendant submits that he has asserted his constitutional right to a speedy trial in open court before your Honor.  Further, in November 2018, the Court set a February 2019 trial date.  So, at the very latest, the Defendant asserted his right to a trial on or before November 2018.</w:t>
      </w:r>
    </w:p>
    <w:p w14:paraId="7FEC3AD5" w14:textId="36AE7ED2" w:rsidR="005334B9" w:rsidRDefault="00484FBF" w:rsidP="00484FBF">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Fourth factor is the prejudice to the Defendant.  Courts have held that this is the “final and most important factor in the [speedy trial] analysis.”  </w:t>
      </w:r>
      <w:hyperlink r:id="rId24" w:anchor="co_pp_sp_4644_760" w:history="1">
        <w:r>
          <w:rPr>
            <w:rFonts w:ascii="Times New Roman" w:eastAsia="Times New Roman" w:hAnsi="Times New Roman" w:cs="Times New Roman"/>
            <w:i/>
            <w:iCs/>
            <w:sz w:val="24"/>
            <w:szCs w:val="24"/>
          </w:rPr>
          <w:t>Simmons,</w:t>
        </w:r>
        <w:r>
          <w:rPr>
            <w:rFonts w:ascii="Times New Roman" w:eastAsia="Times New Roman" w:hAnsi="Times New Roman" w:cs="Times New Roman"/>
            <w:sz w:val="24"/>
            <w:szCs w:val="24"/>
          </w:rPr>
          <w:t> 54 S.W.3d at 760.</w:t>
        </w:r>
      </w:hyperlink>
      <w:r>
        <w:rPr>
          <w:rFonts w:ascii="Times New Roman" w:eastAsia="Times New Roman" w:hAnsi="Times New Roman" w:cs="Times New Roman"/>
          <w:sz w:val="24"/>
          <w:szCs w:val="24"/>
        </w:rPr>
        <w:t> “Courts do not necessarily require a defendant to affirmatively prove particularized prejudice.” </w:t>
      </w:r>
      <w:hyperlink r:id="rId25" w:history="1">
        <w:r>
          <w:rPr>
            <w:rFonts w:ascii="Times New Roman" w:eastAsia="Times New Roman" w:hAnsi="Times New Roman" w:cs="Times New Roman"/>
            <w:i/>
            <w:iCs/>
            <w:sz w:val="24"/>
            <w:szCs w:val="24"/>
          </w:rPr>
          <w:t>Id.</w:t>
        </w:r>
      </w:hyperlink>
      <w:r>
        <w:rPr>
          <w:rFonts w:ascii="Times New Roman" w:eastAsia="Times New Roman" w:hAnsi="Times New Roman" w:cs="Times New Roman"/>
          <w:sz w:val="24"/>
          <w:szCs w:val="24"/>
        </w:rPr>
        <w:t> (citing </w:t>
      </w:r>
      <w:hyperlink r:id="rId26" w:history="1">
        <w:r>
          <w:rPr>
            <w:rFonts w:ascii="Times New Roman" w:eastAsia="Times New Roman" w:hAnsi="Times New Roman" w:cs="Times New Roman"/>
            <w:i/>
            <w:iCs/>
            <w:sz w:val="24"/>
            <w:szCs w:val="24"/>
          </w:rPr>
          <w:t>Doggett,</w:t>
        </w:r>
        <w:r>
          <w:rPr>
            <w:rFonts w:ascii="Times New Roman" w:eastAsia="Times New Roman" w:hAnsi="Times New Roman" w:cs="Times New Roman"/>
            <w:sz w:val="24"/>
            <w:szCs w:val="24"/>
          </w:rPr>
          <w:t> 505 U.S. at 654–55, 112 S.Ct. 2686, 120 L.Ed.2d 520).</w:t>
        </w:r>
      </w:hyperlink>
      <w:r>
        <w:rPr>
          <w:rFonts w:ascii="Times New Roman" w:eastAsia="Times New Roman" w:hAnsi="Times New Roman" w:cs="Times New Roman"/>
          <w:sz w:val="24"/>
          <w:szCs w:val="24"/>
        </w:rPr>
        <w:t>  Our supreme court has explained that “when evaluating this factor courts must be aware that the speedy trial right is designed: (1) to prevent undue and oppressive incarceration prior to trial; (2) to minimize anxiety and concern accompanying public accusation; and (3) to limit the possibilities that long delay will impair the defense.” </w:t>
      </w:r>
      <w:hyperlink r:id="rId27" w:history="1">
        <w:r>
          <w:rPr>
            <w:rFonts w:ascii="Times New Roman" w:eastAsia="Times New Roman" w:hAnsi="Times New Roman" w:cs="Times New Roman"/>
            <w:i/>
            <w:iCs/>
            <w:sz w:val="24"/>
            <w:szCs w:val="24"/>
          </w:rPr>
          <w:t>Id.</w:t>
        </w:r>
      </w:hyperlink>
    </w:p>
    <w:p w14:paraId="7E931E2E" w14:textId="17EC4213" w:rsidR="00484FBF" w:rsidRDefault="00484FBF" w:rsidP="00484FBF">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t>
      </w:r>
      <w:r>
        <w:rPr>
          <w:rFonts w:ascii="Times New Roman" w:eastAsia="Times New Roman" w:hAnsi="Times New Roman" w:cs="Times New Roman"/>
          <w:i/>
          <w:iCs/>
          <w:sz w:val="24"/>
          <w:szCs w:val="24"/>
        </w:rPr>
        <w:t>State v. Hudgins</w:t>
      </w:r>
      <w:r>
        <w:rPr>
          <w:rFonts w:ascii="Times New Roman" w:eastAsia="Times New Roman" w:hAnsi="Times New Roman" w:cs="Times New Roman"/>
          <w:sz w:val="24"/>
          <w:szCs w:val="24"/>
        </w:rPr>
        <w:t xml:space="preserve">, 188 S.W.3d 663, 668 (Tenn.Crim.App. 2005), the Defendant claimed that he was prejudiced by the delay because “he only ‘vaguely’ remembers his September 2000 arrest and because the memory of witnesses, including the officer involved, will be diminished.”  The Tennessee Court of Criminal Appeals stated, “we believe that the appellee's testimony regarding his memory of the incident weighs heavily in support of finding that he was prejudiced by the delay. Moreover, we note that this case involved misdemeanor offenses and that “the delay that can be tolerated for an ordinary street crime is considerably less than for a serious, complex </w:t>
        <w:lastRenderedPageBreak/>
        <w:t>... charge.” </w:t>
      </w:r>
      <w:hyperlink r:id="rId28" w:anchor="co_pp_sp_708_2192" w:history="1">
        <w:r>
          <w:rPr>
            <w:rFonts w:ascii="Times New Roman" w:eastAsia="Times New Roman" w:hAnsi="Times New Roman" w:cs="Times New Roman"/>
            <w:i/>
            <w:iCs/>
            <w:sz w:val="24"/>
            <w:szCs w:val="24"/>
          </w:rPr>
          <w:t>Barker,</w:t>
        </w:r>
        <w:r>
          <w:rPr>
            <w:rFonts w:ascii="Times New Roman" w:eastAsia="Times New Roman" w:hAnsi="Times New Roman" w:cs="Times New Roman"/>
            <w:sz w:val="24"/>
            <w:szCs w:val="24"/>
          </w:rPr>
          <w:t> 407 U.S. at 531, 92 S.Ct. at 2192.</w:t>
        </w:r>
      </w:hyperlink>
      <w:r>
        <w:rPr>
          <w:rFonts w:ascii="Times New Roman" w:eastAsia="Times New Roman" w:hAnsi="Times New Roman" w:cs="Times New Roman"/>
          <w:sz w:val="24"/>
          <w:szCs w:val="24"/>
        </w:rPr>
        <w:t xml:space="preserve">  The </w:t>
      </w:r>
      <w:r>
        <w:rPr>
          <w:rFonts w:ascii="Times New Roman" w:eastAsia="Times New Roman" w:hAnsi="Times New Roman" w:cs="Times New Roman"/>
          <w:i/>
          <w:iCs/>
          <w:sz w:val="24"/>
          <w:szCs w:val="24"/>
        </w:rPr>
        <w:t>Hudgins</w:t>
      </w:r>
      <w:r>
        <w:rPr>
          <w:rFonts w:ascii="Times New Roman" w:eastAsia="Times New Roman" w:hAnsi="Times New Roman" w:cs="Times New Roman"/>
          <w:sz w:val="24"/>
          <w:szCs w:val="24"/>
        </w:rPr>
        <w:t xml:space="preserve"> Court dismissed the Defendant’s DUI case after a nearly three (3) and a half year delay.</w:t>
      </w:r>
    </w:p>
    <w:p w14:paraId="5DAFA0AD" w14:textId="73367A6A" w:rsidR="009E09E6" w:rsidRDefault="009E09E6" w:rsidP="00484FBF">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Defendant has previously asserted multiple examples of his prejudice which include his second indictment, the lost/destroyed in-car video(s), the faded memories, his experience with three (3) forensic evaluations which include approximately two (2) weeks in-patient and a near death experience, and now COVID.  However, there are anxiety and concern regarding public accusations against [DEFENDANT] which come into play such as the fact that he has lost his employment because of these charges and most importantly, he hasn’t seen his son in four (4) years and nearly six (6) months.</w:t>
      </w:r>
    </w:p>
    <w:p w14:paraId="0C0337A3" w14:textId="11F7D161" w:rsidR="00D341C9" w:rsidRDefault="00D341C9" w:rsidP="00484FBF">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Respectfully, taken all the factors together coupled with the prejudice that [DEFENDANT] has experienced should cause this Court to grant this Motion and dismiss this Indictment.</w:t>
      </w:r>
    </w:p>
    <w:p w14:paraId="65483274" w14:textId="77777777" w:rsidR="006F394A" w:rsidRPr="00225972" w:rsidRDefault="006F394A" w:rsidP="006F394A">
      <w:pPr>
        <w:spacing w:after="0" w:line="480" w:lineRule="auto"/>
        <w:jc w:val="both"/>
        <w:rPr>
          <w:rFonts w:ascii="Times New Roman" w:hAnsi="Times New Roman" w:cs="Times New Roman"/>
          <w:sz w:val="24"/>
          <w:szCs w:val="24"/>
        </w:rPr>
      </w:pPr>
    </w:p>
    <w:p w14:paraId="1DC47498" w14:textId="77777777" w:rsidR="006F394A" w:rsidRPr="00742BAB" w:rsidRDefault="006F394A" w:rsidP="006F394A">
      <w:pPr>
        <w:spacing w:after="0" w:line="480" w:lineRule="auto"/>
        <w:ind w:left="36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Respectfully Submitted:</w:t>
      </w:r>
    </w:p>
    <w:p w14:paraId="14B9A6A4" w14:textId="77777777" w:rsidR="006F394A" w:rsidRDefault="006F394A" w:rsidP="006F394A">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ab/>
        <w:tab/>
        <w:tab/>
        <w:tab/>
        <w:tab/>
        <w:tab/>
      </w:r>
      <w:r>
        <w:rPr>
          <w:rFonts w:ascii="Times New Roman" w:eastAsia="Times New Roman" w:hAnsi="Times New Roman" w:cs="Times New Roman"/>
          <w:b/>
          <w:sz w:val="24"/>
          <w:szCs w:val="24"/>
        </w:rPr>
        <w:t>[DEFENSE LAW FIRM]</w:t>
      </w:r>
    </w:p>
    <w:p w14:paraId="313A96A1" w14:textId="77777777" w:rsidR="006F394A" w:rsidRPr="00742BAB" w:rsidRDefault="006F394A" w:rsidP="006F394A">
      <w:pPr>
        <w:spacing w:after="0" w:line="240" w:lineRule="auto"/>
        <w:jc w:val="both"/>
        <w:rPr>
          <w:rFonts w:ascii="Times New Roman" w:eastAsia="Times New Roman" w:hAnsi="Times New Roman" w:cs="Times New Roman"/>
          <w:b/>
          <w:sz w:val="24"/>
          <w:szCs w:val="24"/>
        </w:rPr>
      </w:pPr>
    </w:p>
    <w:p w14:paraId="2FB1690B" w14:textId="77777777" w:rsidR="006F394A" w:rsidRPr="00742BAB" w:rsidRDefault="006F394A" w:rsidP="006F394A">
      <w:pPr>
        <w:spacing w:after="0" w:line="240" w:lineRule="auto"/>
        <w:jc w:val="both"/>
        <w:rPr>
          <w:rFonts w:ascii="Times New Roman" w:eastAsia="Times New Roman" w:hAnsi="Times New Roman" w:cs="Times New Roman"/>
          <w:b/>
          <w:sz w:val="24"/>
          <w:szCs w:val="24"/>
        </w:rPr>
      </w:pPr>
    </w:p>
    <w:p w14:paraId="44179A92" w14:textId="46919304" w:rsidR="006F394A" w:rsidRPr="00742BAB" w:rsidRDefault="006F394A" w:rsidP="006F394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r>
      <w:r>
        <w:rPr>
          <w:rFonts w:ascii="Times New Roman" w:eastAsia="Times New Roman" w:hAnsi="Times New Roman" w:cs="Times New Roman"/>
          <w:sz w:val="24"/>
          <w:szCs w:val="24"/>
          <w:u w:val="single"/>
        </w:rPr>
        <w:t>_s/[DEFENSE ATTORNEY]_____________________________</w:t>
      </w:r>
    </w:p>
    <w:p w14:paraId="5891A921" w14:textId="77777777" w:rsidR="006F394A" w:rsidRPr="00742BAB" w:rsidRDefault="006F394A" w:rsidP="006F394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[DEFENSE ATTORNEY], [BAR NUMBER]</w:t>
      </w:r>
    </w:p>
    <w:p w14:paraId="67124BE0" w14:textId="77777777" w:rsidR="006F394A" w:rsidRPr="00742BAB" w:rsidRDefault="006F394A" w:rsidP="006F394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 xml:space="preserve">[DEFENSE ATTORNEY ADDRESS] </w:t>
      </w:r>
    </w:p>
    <w:p w14:paraId="43F5B800" w14:textId="77777777" w:rsidR="006F394A" w:rsidRPr="00742BAB" w:rsidRDefault="006F394A" w:rsidP="006F394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[DEFENSE ATTORNEY CITY, STATE ZIP]</w:t>
      </w:r>
    </w:p>
    <w:p w14:paraId="44A0B9DB" w14:textId="77777777" w:rsidR="006F394A" w:rsidRDefault="006F394A" w:rsidP="006F394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[PHONE]</w:t>
      </w:r>
    </w:p>
    <w:p w14:paraId="6506E8F0" w14:textId="77777777" w:rsidR="006F394A" w:rsidRDefault="006F394A" w:rsidP="006F394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 xml:space="preserve">[FAX] </w:t>
      </w:r>
    </w:p>
    <w:p w14:paraId="55232BFB" w14:textId="77777777" w:rsidR="006F394A" w:rsidRDefault="006F394A" w:rsidP="006F394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[DEFENSE ATTORNEY EMAIL]</w:t>
      </w:r>
    </w:p>
    <w:p w14:paraId="415B327F" w14:textId="493D3865" w:rsidR="006F394A" w:rsidRDefault="006F394A" w:rsidP="006F394A">
      <w:pPr>
        <w:spacing w:after="0" w:line="240" w:lineRule="auto"/>
        <w:jc w:val="both"/>
        <w:rPr>
          <w:rFonts w:ascii="Times New Roman" w:eastAsia="Times New Roman" w:hAnsi="Times New Roman" w:cs="Times New Roman"/>
          <w:sz w:val="24"/>
          <w:szCs w:val="24"/>
        </w:rPr>
      </w:pPr>
    </w:p>
    <w:p w14:paraId="4CA96696" w14:textId="4675A31F" w:rsidR="00D341C9" w:rsidRDefault="00D341C9" w:rsidP="006F394A">
      <w:pPr>
        <w:spacing w:after="0" w:line="240" w:lineRule="auto"/>
        <w:jc w:val="both"/>
        <w:rPr>
          <w:rFonts w:ascii="Times New Roman" w:eastAsia="Times New Roman" w:hAnsi="Times New Roman" w:cs="Times New Roman"/>
          <w:sz w:val="24"/>
          <w:szCs w:val="24"/>
        </w:rPr>
      </w:pPr>
    </w:p>
    <w:p w14:paraId="29FFC9A9" w14:textId="54E8135D" w:rsidR="00D341C9" w:rsidRDefault="00D341C9" w:rsidP="006F394A">
      <w:pPr>
        <w:spacing w:after="0" w:line="240" w:lineRule="auto"/>
        <w:jc w:val="both"/>
        <w:rPr>
          <w:rFonts w:ascii="Times New Roman" w:eastAsia="Times New Roman" w:hAnsi="Times New Roman" w:cs="Times New Roman"/>
          <w:sz w:val="24"/>
          <w:szCs w:val="24"/>
        </w:rPr>
      </w:pPr>
    </w:p>
    <w:p w14:paraId="663BAEC0" w14:textId="1AABDF08" w:rsidR="00D341C9" w:rsidRDefault="00D341C9" w:rsidP="006F394A">
      <w:pPr>
        <w:spacing w:after="0" w:line="240" w:lineRule="auto"/>
        <w:jc w:val="both"/>
        <w:rPr>
          <w:rFonts w:ascii="Times New Roman" w:eastAsia="Times New Roman" w:hAnsi="Times New Roman" w:cs="Times New Roman"/>
          <w:sz w:val="24"/>
          <w:szCs w:val="24"/>
        </w:rPr>
      </w:pPr>
    </w:p>
    <w:p w14:paraId="4E98033B" w14:textId="38C0D9A8" w:rsidR="00D341C9" w:rsidRDefault="00D341C9" w:rsidP="006F394A">
      <w:pPr>
        <w:spacing w:after="0" w:line="240" w:lineRule="auto"/>
        <w:jc w:val="both"/>
        <w:rPr>
          <w:rFonts w:ascii="Times New Roman" w:eastAsia="Times New Roman" w:hAnsi="Times New Roman" w:cs="Times New Roman"/>
          <w:sz w:val="24"/>
          <w:szCs w:val="24"/>
        </w:rPr>
      </w:pPr>
    </w:p>
    <w:p w14:paraId="596AD919" w14:textId="73177077" w:rsidR="00D341C9" w:rsidRDefault="00D341C9" w:rsidP="006F394A">
      <w:pPr>
        <w:spacing w:after="0" w:line="240" w:lineRule="auto"/>
        <w:jc w:val="both"/>
        <w:rPr>
          <w:rFonts w:ascii="Times New Roman" w:eastAsia="Times New Roman" w:hAnsi="Times New Roman" w:cs="Times New Roman"/>
          <w:sz w:val="24"/>
          <w:szCs w:val="24"/>
        </w:rPr>
      </w:pPr>
    </w:p>
    <w:p w14:paraId="65428402" w14:textId="43CF2774" w:rsidR="00D341C9" w:rsidRDefault="00D341C9" w:rsidP="006F394A">
      <w:pPr>
        <w:spacing w:after="0" w:line="240" w:lineRule="auto"/>
        <w:jc w:val="both"/>
        <w:rPr>
          <w:rFonts w:ascii="Times New Roman" w:eastAsia="Times New Roman" w:hAnsi="Times New Roman" w:cs="Times New Roman"/>
          <w:sz w:val="24"/>
          <w:szCs w:val="24"/>
        </w:rPr>
      </w:pPr>
    </w:p>
    <w:p w14:paraId="7D29681A" w14:textId="388B9AEB" w:rsidR="00D341C9" w:rsidRDefault="00D341C9" w:rsidP="006F394A">
      <w:pPr>
        <w:spacing w:after="0" w:line="240" w:lineRule="auto"/>
        <w:jc w:val="both"/>
        <w:rPr>
          <w:rFonts w:ascii="Times New Roman" w:eastAsia="Times New Roman" w:hAnsi="Times New Roman" w:cs="Times New Roman"/>
          <w:sz w:val="24"/>
          <w:szCs w:val="24"/>
        </w:rPr>
      </w:pPr>
    </w:p>
    <w:p w14:paraId="5EC2EB62" w14:textId="77777777" w:rsidR="00D341C9" w:rsidRDefault="00D341C9" w:rsidP="006F394A">
      <w:pPr>
        <w:spacing w:after="0" w:line="240" w:lineRule="auto"/>
        <w:jc w:val="both"/>
        <w:rPr>
          <w:rFonts w:ascii="Times New Roman" w:eastAsia="Times New Roman" w:hAnsi="Times New Roman" w:cs="Times New Roman"/>
          <w:sz w:val="24"/>
          <w:szCs w:val="24"/>
        </w:rPr>
      </w:pPr>
    </w:p>
    <w:p w14:paraId="62AD04B5" w14:textId="77777777" w:rsidR="006F394A" w:rsidRPr="00742BAB" w:rsidRDefault="006F394A" w:rsidP="006F394A">
      <w:pPr>
        <w:spacing w:after="0" w:line="240" w:lineRule="auto"/>
        <w:jc w:val="both"/>
        <w:rPr>
          <w:rFonts w:ascii="Times New Roman" w:eastAsia="Times New Roman" w:hAnsi="Times New Roman" w:cs="Times New Roman"/>
          <w:sz w:val="24"/>
          <w:szCs w:val="24"/>
        </w:rPr>
      </w:pPr>
    </w:p>
    <w:p w14:paraId="229A740A" w14:textId="77777777" w:rsidR="006F394A" w:rsidRPr="006C5675" w:rsidRDefault="006F394A" w:rsidP="006F394A">
      <w:pPr>
        <w:widowControl w:val="0"/>
        <w:autoSpaceDE w:val="0"/>
        <w:autoSpaceDN w:val="0"/>
        <w:adjustRightInd w:val="0"/>
        <w:spacing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CERTIFICATE OF SERVICE</w:t>
      </w:r>
    </w:p>
    <w:p w14:paraId="1A6266C5" w14:textId="77777777" w:rsidR="006F394A" w:rsidRPr="00742BAB" w:rsidRDefault="006F394A" w:rsidP="006F394A">
      <w:pPr>
        <w:widowControl w:val="0"/>
        <w:autoSpaceDE w:val="0"/>
        <w:autoSpaceDN w:val="0"/>
        <w:adjustRightInd w:val="0"/>
        <w:spacing w:after="0" w:line="240" w:lineRule="auto"/>
        <w:jc w:val="both"/>
        <w:rPr>
          <w:rFonts w:ascii="Times New Roman" w:eastAsia="Times New Roman" w:hAnsi="Times New Roman" w:cs="Times New Roman"/>
          <w:sz w:val="24"/>
          <w:szCs w:val="24"/>
        </w:rPr>
      </w:pPr>
    </w:p>
    <w:p w14:paraId="4C0D63D0" w14:textId="77777777" w:rsidR="006F394A" w:rsidRPr="00742BAB" w:rsidRDefault="006F394A" w:rsidP="006F394A">
      <w:pPr>
        <w:widowControl w:val="0"/>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This is to certify that a true and exact copy of the foregoing document has been served on the following counsel of record by placing postage prepaid envelope in the United States Mail, by facsimile, and/or by email to the following:</w:t>
      </w:r>
    </w:p>
    <w:p w14:paraId="38BB1102" w14:textId="77777777" w:rsidR="006F394A" w:rsidRPr="00742BAB" w:rsidRDefault="006F394A" w:rsidP="006F394A">
      <w:pPr>
        <w:spacing w:after="0" w:line="240" w:lineRule="auto"/>
        <w:jc w:val="both"/>
        <w:rPr>
          <w:rFonts w:ascii="Times New Roman" w:eastAsia="Calibri" w:hAnsi="Times New Roman" w:cs="Times New Roman"/>
          <w:sz w:val="24"/>
          <w:szCs w:val="24"/>
        </w:rPr>
      </w:pPr>
    </w:p>
    <w:p w14:paraId="7B884986" w14:textId="77777777" w:rsidR="006F394A" w:rsidRDefault="006F394A" w:rsidP="006F394A">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t xml:space="preserve">[PROSECUTOR], Assistant District Attorney </w:t>
      </w:r>
    </w:p>
    <w:p w14:paraId="367984AE" w14:textId="77777777" w:rsidR="006F394A" w:rsidRPr="00742BAB" w:rsidRDefault="006F394A" w:rsidP="006F394A">
      <w:pPr>
        <w:spacing w:after="0" w:line="24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[County] District Attorney’s Office </w:t>
      </w:r>
    </w:p>
    <w:p w14:paraId="6EE3C95F" w14:textId="77777777" w:rsidR="006F394A" w:rsidRPr="00742BAB" w:rsidRDefault="006F394A" w:rsidP="006F394A">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t xml:space="preserve">[PROSECUTOR ADDRESS] </w:t>
      </w:r>
    </w:p>
    <w:p w14:paraId="33B12A43" w14:textId="77777777" w:rsidR="006F394A" w:rsidRPr="00742BAB" w:rsidRDefault="006F394A" w:rsidP="006F394A">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t xml:space="preserve">[PROSECUTOR CITY, STATE ZIP] </w:t>
      </w:r>
    </w:p>
    <w:p w14:paraId="2EAF23C8" w14:textId="77777777" w:rsidR="006F394A" w:rsidRPr="00742BAB" w:rsidRDefault="006F394A" w:rsidP="006F394A">
      <w:pPr>
        <w:widowControl w:val="0"/>
        <w:autoSpaceDE w:val="0"/>
        <w:autoSpaceDN w:val="0"/>
        <w:adjustRightInd w:val="0"/>
        <w:spacing w:after="0" w:line="240" w:lineRule="auto"/>
        <w:jc w:val="both"/>
        <w:rPr>
          <w:rFonts w:ascii="Times New Roman" w:eastAsia="Times New Roman" w:hAnsi="Times New Roman" w:cs="Times New Roman"/>
          <w:sz w:val="24"/>
          <w:szCs w:val="24"/>
        </w:rPr>
      </w:pPr>
    </w:p>
    <w:p w14:paraId="0FFC8886" w14:textId="66B6131A" w:rsidR="006F394A" w:rsidRPr="00742BAB" w:rsidRDefault="006F394A" w:rsidP="006F394A">
      <w:pPr>
        <w:widowControl w:val="0"/>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 xml:space="preserve">This the </w:t>
      </w:r>
      <w:r>
        <w:rPr>
          <w:rFonts w:ascii="Times New Roman" w:eastAsia="Times New Roman" w:hAnsi="Times New Roman" w:cs="Times New Roman"/>
          <w:sz w:val="24"/>
          <w:szCs w:val="24"/>
          <w:u w:val="single"/>
        </w:rPr>
        <w:t>__15th____</w:t>
      </w:r>
      <w:r>
        <w:rPr>
          <w:rFonts w:ascii="Times New Roman" w:eastAsia="Times New Roman" w:hAnsi="Times New Roman" w:cs="Times New Roman"/>
          <w:sz w:val="24"/>
          <w:szCs w:val="24"/>
        </w:rPr>
        <w:t xml:space="preserve"> day of [DATE 2020]. </w:t>
      </w:r>
    </w:p>
    <w:p w14:paraId="660E407D" w14:textId="77777777" w:rsidR="006F394A" w:rsidRPr="00742BAB" w:rsidRDefault="006F394A" w:rsidP="006F394A">
      <w:pPr>
        <w:widowControl w:val="0"/>
        <w:autoSpaceDE w:val="0"/>
        <w:autoSpaceDN w:val="0"/>
        <w:adjustRightInd w:val="0"/>
        <w:spacing w:after="0" w:line="240" w:lineRule="auto"/>
        <w:jc w:val="both"/>
        <w:rPr>
          <w:rFonts w:ascii="Times New Roman" w:eastAsia="Times New Roman" w:hAnsi="Times New Roman" w:cs="Times New Roman"/>
          <w:sz w:val="24"/>
          <w:szCs w:val="24"/>
        </w:rPr>
      </w:pPr>
    </w:p>
    <w:p w14:paraId="4BCCE402" w14:textId="77777777" w:rsidR="006F394A" w:rsidRPr="00742BAB" w:rsidRDefault="006F394A" w:rsidP="006F394A">
      <w:pPr>
        <w:widowControl w:val="0"/>
        <w:autoSpaceDE w:val="0"/>
        <w:autoSpaceDN w:val="0"/>
        <w:adjustRightInd w:val="0"/>
        <w:spacing w:after="0" w:line="240" w:lineRule="auto"/>
        <w:jc w:val="both"/>
        <w:rPr>
          <w:rFonts w:ascii="Times New Roman" w:eastAsia="Times New Roman" w:hAnsi="Times New Roman" w:cs="Times New Roman"/>
          <w:sz w:val="24"/>
          <w:szCs w:val="24"/>
        </w:rPr>
      </w:pPr>
    </w:p>
    <w:p w14:paraId="0E541073" w14:textId="2BF8B594" w:rsidR="006F394A" w:rsidRPr="00742BAB" w:rsidRDefault="006F394A" w:rsidP="006F394A">
      <w:pPr>
        <w:widowControl w:val="0"/>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r>
      <w:r>
        <w:rPr>
          <w:rFonts w:ascii="Times New Roman" w:eastAsia="Times New Roman" w:hAnsi="Times New Roman" w:cs="Times New Roman"/>
          <w:sz w:val="24"/>
          <w:szCs w:val="24"/>
          <w:u w:val="single"/>
        </w:rPr>
        <w:t>_s/[DEFENSE ATTORNEY]_____________________________</w:t>
      </w:r>
    </w:p>
    <w:p w14:paraId="4A07B896" w14:textId="06660139" w:rsidR="006F394A" w:rsidRPr="00742BAB" w:rsidRDefault="006F394A" w:rsidP="006F394A">
      <w:pPr>
        <w:widowControl w:val="0"/>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 xml:space="preserve">[DEFENSE ATTORNEY]  </w:t>
      </w:r>
    </w:p>
    <w:p w14:paraId="25411DCC" w14:textId="77777777" w:rsidR="006F394A" w:rsidRDefault="006F394A" w:rsidP="006F394A"/>
    <w:p w14:paraId="0B99F4A4" w14:textId="77777777" w:rsidR="002D01B0" w:rsidRDefault="002D01B0"/>
    <w:sectPr w:rsidR="002D01B0">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ED2C73" w14:textId="77777777" w:rsidR="004C0A19" w:rsidRDefault="004C0A19" w:rsidP="00C5391F">
      <w:pPr>
        <w:spacing w:after="0" w:line="240" w:lineRule="auto"/>
      </w:pPr>
      <w:r>
        <w:separator/>
      </w:r>
    </w:p>
  </w:endnote>
  <w:endnote w:type="continuationSeparator" w:id="0">
    <w:p w14:paraId="69CD041F" w14:textId="77777777" w:rsidR="004C0A19" w:rsidRDefault="004C0A19" w:rsidP="00C53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sz w:val="24"/>
        <w:szCs w:val="24"/>
      </w:rPr>
      <w:id w:val="-1372764376"/>
      <w:docPartObj>
        <w:docPartGallery w:val="Page Numbers (Bottom of Page)"/>
        <w:docPartUnique/>
      </w:docPartObj>
    </w:sdtPr>
    <w:sdtEndPr>
      <w:rPr>
        <w:noProof/>
      </w:rPr>
    </w:sdtEndPr>
    <w:sdtContent>
      <w:p w14:paraId="4E20E3A4" w14:textId="77777777" w:rsidR="001D172F" w:rsidRPr="001D172F" w:rsidRDefault="00D85FAC">
        <w:pPr>
          <w:pStyle w:val="Footer"/>
          <w:jc w:val="center"/>
          <w:rPr>
            <w:rFonts w:ascii="Times New Roman" w:hAnsi="Times New Roman" w:cs="Times New Roman"/>
            <w:sz w:val="24"/>
            <w:szCs w:val="24"/>
          </w:rPr>
        </w:pPr>
        <w:r w:rsidRPr="001D172F">
          <w:rPr>
            <w:rFonts w:ascii="Times New Roman" w:hAnsi="Times New Roman" w:cs="Times New Roman"/>
            <w:sz w:val="24"/>
            <w:szCs w:val="24"/>
          </w:rPr>
          <w:fldChar w:fldCharType="begin"/>
        </w:r>
        <w:r w:rsidRPr="001D172F">
          <w:rPr>
            <w:rFonts w:ascii="Times New Roman" w:hAnsi="Times New Roman" w:cs="Times New Roman"/>
            <w:sz w:val="24"/>
            <w:szCs w:val="24"/>
          </w:rPr>
          <w:instrText xml:space="preserve"> PAGE   \* MERGEFORMAT </w:instrText>
        </w:r>
        <w:r w:rsidRPr="001D172F">
          <w:rPr>
            <w:rFonts w:ascii="Times New Roman" w:hAnsi="Times New Roman" w:cs="Times New Roman"/>
            <w:sz w:val="24"/>
            <w:szCs w:val="24"/>
          </w:rPr>
          <w:fldChar w:fldCharType="separate"/>
        </w:r>
        <w:r w:rsidRPr="001D172F">
          <w:rPr>
            <w:rFonts w:ascii="Times New Roman" w:hAnsi="Times New Roman" w:cs="Times New Roman"/>
            <w:noProof/>
            <w:sz w:val="24"/>
            <w:szCs w:val="24"/>
          </w:rPr>
          <w:t>2</w:t>
        </w:r>
        <w:r w:rsidRPr="001D172F">
          <w:rPr>
            <w:rFonts w:ascii="Times New Roman" w:hAnsi="Times New Roman" w:cs="Times New Roman"/>
            <w:noProof/>
            <w:sz w:val="24"/>
            <w:szCs w:val="24"/>
          </w:rPr>
          <w:fldChar w:fldCharType="end"/>
        </w:r>
      </w:p>
    </w:sdtContent>
  </w:sdt>
  <w:p w14:paraId="5EC9DDD2" w14:textId="77777777" w:rsidR="001D172F" w:rsidRDefault="00FB2D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834D42" w14:textId="77777777" w:rsidR="004C0A19" w:rsidRDefault="004C0A19" w:rsidP="00C5391F">
      <w:pPr>
        <w:spacing w:after="0" w:line="240" w:lineRule="auto"/>
      </w:pPr>
      <w:r>
        <w:separator/>
      </w:r>
    </w:p>
  </w:footnote>
  <w:footnote w:type="continuationSeparator" w:id="0">
    <w:p w14:paraId="5E09D6B2" w14:textId="77777777" w:rsidR="004C0A19" w:rsidRDefault="004C0A19" w:rsidP="00C5391F">
      <w:pPr>
        <w:spacing w:after="0" w:line="240" w:lineRule="auto"/>
      </w:pPr>
      <w:r>
        <w:continuationSeparator/>
      </w:r>
    </w:p>
  </w:footnote>
  <w:footnote w:id="1">
    <w:p w14:paraId="5C9A4EA1" w14:textId="1C322524" w:rsidR="006017E6" w:rsidRPr="006017E6" w:rsidRDefault="006017E6" w:rsidP="006017E6">
      <w:pPr>
        <w:pStyle w:val="FootnoteText"/>
        <w:jc w:val="both"/>
        <w:rPr>
          <w:rFonts w:ascii="Times New Roman" w:hAnsi="Times New Roman" w:cs="Times New Roman"/>
          <w:sz w:val="24"/>
          <w:szCs w:val="24"/>
        </w:rPr>
      </w:pPr>
      <w:r w:rsidRPr="006017E6">
        <w:rPr>
          <w:rStyle w:val="FootnoteReference"/>
          <w:rFonts w:ascii="Times New Roman" w:hAnsi="Times New Roman" w:cs="Times New Roman"/>
          <w:sz w:val="24"/>
          <w:szCs w:val="24"/>
        </w:rPr>
        <w:footnoteRef/>
      </w:r>
      <w:r w:rsidRPr="006017E6">
        <w:rPr>
          <w:rFonts w:ascii="Times New Roman" w:hAnsi="Times New Roman" w:cs="Times New Roman"/>
          <w:sz w:val="24"/>
          <w:szCs w:val="24"/>
        </w:rPr>
        <w:t xml:space="preserve"> At all times, the Defendant has been a “qualified defendant” eligible for a judicial diversion pursuant to T.C.A. § 40-35-313.</w:t>
      </w:r>
    </w:p>
  </w:footnote>
  <w:footnote w:id="2">
    <w:p w14:paraId="477B2F92" w14:textId="2C06917D" w:rsidR="00D1678F" w:rsidRDefault="00D1678F" w:rsidP="008045A6">
      <w:pPr>
        <w:pStyle w:val="FootnoteText"/>
        <w:jc w:val="both"/>
      </w:pPr>
      <w:r w:rsidRPr="00514271">
        <w:rPr>
          <w:rStyle w:val="FootnoteReference"/>
          <w:rFonts w:ascii="Times New Roman" w:hAnsi="Times New Roman" w:cs="Times New Roman"/>
          <w:sz w:val="24"/>
          <w:szCs w:val="24"/>
        </w:rPr>
        <w:footnoteRef/>
      </w:r>
      <w:r>
        <w:t xml:space="preserve"> </w:t>
      </w:r>
      <w:r w:rsidRPr="003859F0">
        <w:rPr>
          <w:rFonts w:ascii="Times New Roman" w:hAnsi="Times New Roman" w:cs="Times New Roman"/>
          <w:sz w:val="24"/>
          <w:szCs w:val="24"/>
        </w:rPr>
        <w:t xml:space="preserve">While the decision to accept a </w:t>
      </w:r>
      <w:r w:rsidRPr="0072410C">
        <w:rPr>
          <w:rFonts w:ascii="Times New Roman" w:hAnsi="Times New Roman" w:cs="Times New Roman"/>
          <w:i/>
          <w:iCs/>
          <w:sz w:val="24"/>
          <w:szCs w:val="24"/>
        </w:rPr>
        <w:t>nolo contendere</w:t>
      </w:r>
      <w:r w:rsidRPr="003859F0">
        <w:rPr>
          <w:rFonts w:ascii="Times New Roman" w:hAnsi="Times New Roman" w:cs="Times New Roman"/>
          <w:sz w:val="24"/>
          <w:szCs w:val="24"/>
        </w:rPr>
        <w:t xml:space="preserve"> plea is within the discretion of the Trial Court, pursuant to Rule 11 (a)(2)</w:t>
      </w:r>
      <w:r>
        <w:rPr>
          <w:rFonts w:ascii="Times New Roman" w:hAnsi="Times New Roman" w:cs="Times New Roman"/>
          <w:sz w:val="24"/>
          <w:szCs w:val="24"/>
        </w:rPr>
        <w:t xml:space="preserve"> of the </w:t>
      </w:r>
      <w:r w:rsidRPr="008045A6">
        <w:rPr>
          <w:rFonts w:ascii="Times New Roman" w:hAnsi="Times New Roman" w:cs="Times New Roman"/>
          <w:i/>
          <w:iCs/>
          <w:sz w:val="24"/>
          <w:szCs w:val="24"/>
        </w:rPr>
        <w:t>Tennessee Rules of Criminal Procedure</w:t>
      </w:r>
      <w:r w:rsidRPr="003859F0">
        <w:rPr>
          <w:rFonts w:ascii="Times New Roman" w:hAnsi="Times New Roman" w:cs="Times New Roman"/>
          <w:sz w:val="24"/>
          <w:szCs w:val="24"/>
        </w:rPr>
        <w:t xml:space="preserve">, “a defendant may plead </w:t>
      </w:r>
      <w:r w:rsidRPr="00376B8F">
        <w:rPr>
          <w:rFonts w:ascii="Times New Roman" w:hAnsi="Times New Roman" w:cs="Times New Roman"/>
          <w:i/>
          <w:iCs/>
          <w:sz w:val="24"/>
          <w:szCs w:val="24"/>
        </w:rPr>
        <w:t>nolo contendere</w:t>
      </w:r>
      <w:r w:rsidRPr="003859F0">
        <w:rPr>
          <w:rFonts w:ascii="Times New Roman" w:hAnsi="Times New Roman" w:cs="Times New Roman"/>
          <w:sz w:val="24"/>
          <w:szCs w:val="24"/>
        </w:rPr>
        <w:t xml:space="preserve"> only with the consent of the court.  Before accepting a plea of </w:t>
      </w:r>
      <w:r w:rsidRPr="00376B8F">
        <w:rPr>
          <w:rFonts w:ascii="Times New Roman" w:hAnsi="Times New Roman" w:cs="Times New Roman"/>
          <w:i/>
          <w:iCs/>
          <w:sz w:val="24"/>
          <w:szCs w:val="24"/>
        </w:rPr>
        <w:t>nolo contendere</w:t>
      </w:r>
      <w:r w:rsidRPr="003859F0">
        <w:rPr>
          <w:rFonts w:ascii="Times New Roman" w:hAnsi="Times New Roman" w:cs="Times New Roman"/>
          <w:sz w:val="24"/>
          <w:szCs w:val="24"/>
        </w:rPr>
        <w:t>, the court shall consider the views of the parties and the interest of the public in the effective administration of justice.”</w:t>
      </w:r>
      <w:r>
        <w:rPr>
          <w:rFonts w:ascii="Times New Roman" w:hAnsi="Times New Roman" w:cs="Times New Roman"/>
          <w:sz w:val="24"/>
          <w:szCs w:val="24"/>
        </w:rPr>
        <w:t xml:space="preserve">  In the present case, the parties including the victims all concurred in the Defendant pleading </w:t>
      </w:r>
      <w:r w:rsidRPr="00376B8F">
        <w:rPr>
          <w:rFonts w:ascii="Times New Roman" w:hAnsi="Times New Roman" w:cs="Times New Roman"/>
          <w:i/>
          <w:iCs/>
          <w:sz w:val="24"/>
          <w:szCs w:val="24"/>
        </w:rPr>
        <w:t>nolo</w:t>
      </w:r>
      <w:r>
        <w:rPr>
          <w:rFonts w:ascii="Times New Roman" w:hAnsi="Times New Roman" w:cs="Times New Roman"/>
          <w:sz w:val="24"/>
          <w:szCs w:val="24"/>
        </w:rPr>
        <w:t xml:space="preserve"> and receiving a diversion.  There is nothing in the record that the interest of the public in the effective administration of justice was considered.  Further, a </w:t>
      </w:r>
      <w:r w:rsidRPr="00376B8F">
        <w:rPr>
          <w:rFonts w:ascii="Times New Roman" w:hAnsi="Times New Roman" w:cs="Times New Roman"/>
          <w:i/>
          <w:iCs/>
          <w:sz w:val="24"/>
          <w:szCs w:val="24"/>
        </w:rPr>
        <w:t>nolo</w:t>
      </w:r>
      <w:r>
        <w:rPr>
          <w:rFonts w:ascii="Times New Roman" w:hAnsi="Times New Roman" w:cs="Times New Roman"/>
          <w:sz w:val="24"/>
          <w:szCs w:val="24"/>
        </w:rPr>
        <w:t xml:space="preserve"> plea neither admits to the underlying conduct nor denies the underlying conduct.  </w:t>
      </w:r>
    </w:p>
  </w:footnote>
  <w:footnote w:id="3">
    <w:p w14:paraId="10C636F4" w14:textId="619CD32C" w:rsidR="009045EE" w:rsidRPr="00746EF1" w:rsidRDefault="009045EE" w:rsidP="00746EF1">
      <w:pPr>
        <w:pStyle w:val="FootnoteText"/>
        <w:jc w:val="both"/>
        <w:rPr>
          <w:rFonts w:ascii="Times New Roman" w:hAnsi="Times New Roman" w:cs="Times New Roman"/>
          <w:sz w:val="24"/>
          <w:szCs w:val="24"/>
        </w:rPr>
      </w:pPr>
      <w:r w:rsidRPr="00746EF1">
        <w:rPr>
          <w:rStyle w:val="FootnoteReference"/>
          <w:rFonts w:ascii="Times New Roman" w:hAnsi="Times New Roman" w:cs="Times New Roman"/>
          <w:sz w:val="24"/>
          <w:szCs w:val="24"/>
        </w:rPr>
        <w:footnoteRef/>
      </w:r>
      <w:r w:rsidRPr="00746EF1">
        <w:rPr>
          <w:rFonts w:ascii="Times New Roman" w:hAnsi="Times New Roman" w:cs="Times New Roman"/>
          <w:sz w:val="24"/>
          <w:szCs w:val="24"/>
        </w:rPr>
        <w:t xml:space="preserve"> In the Court fil</w:t>
      </w:r>
      <w:r w:rsidR="001F64A5" w:rsidRPr="00746EF1">
        <w:rPr>
          <w:rFonts w:ascii="Times New Roman" w:hAnsi="Times New Roman" w:cs="Times New Roman"/>
          <w:sz w:val="24"/>
          <w:szCs w:val="24"/>
        </w:rPr>
        <w:t>e presently, there exists the signed plea agreement executed by ADA Bryan, defense attorney Caputo and the Defendant.  Further, there exists a</w:t>
      </w:r>
      <w:r w:rsidR="00746EF1" w:rsidRPr="00746EF1">
        <w:rPr>
          <w:rFonts w:ascii="Times New Roman" w:hAnsi="Times New Roman" w:cs="Times New Roman"/>
          <w:sz w:val="24"/>
          <w:szCs w:val="24"/>
        </w:rPr>
        <w:t>n Order for</w:t>
      </w:r>
      <w:r w:rsidR="001F64A5" w:rsidRPr="00746EF1">
        <w:rPr>
          <w:rFonts w:ascii="Times New Roman" w:hAnsi="Times New Roman" w:cs="Times New Roman"/>
          <w:sz w:val="24"/>
          <w:szCs w:val="24"/>
        </w:rPr>
        <w:t xml:space="preserve"> Diversion that had been filled out and completed by ADA Bryan</w:t>
      </w:r>
      <w:r w:rsidR="00746EF1" w:rsidRPr="00746EF1">
        <w:rPr>
          <w:rFonts w:ascii="Times New Roman" w:hAnsi="Times New Roman" w:cs="Times New Roman"/>
          <w:sz w:val="24"/>
          <w:szCs w:val="24"/>
        </w:rPr>
        <w:t>.  All standard documents you would see for a plea.</w:t>
      </w:r>
    </w:p>
  </w:footnote>
  <w:footnote w:id="4">
    <w:p w14:paraId="572B4244" w14:textId="475BC302" w:rsidR="001E79BE" w:rsidRPr="00893527" w:rsidRDefault="001E79BE" w:rsidP="00FB2DBD">
      <w:pPr>
        <w:pStyle w:val="FootnoteText"/>
        <w:jc w:val="both"/>
        <w:rPr>
          <w:rFonts w:ascii="Times New Roman" w:hAnsi="Times New Roman" w:cs="Times New Roman"/>
          <w:sz w:val="24"/>
          <w:szCs w:val="24"/>
        </w:rPr>
      </w:pPr>
      <w:r w:rsidRPr="00893527">
        <w:rPr>
          <w:rStyle w:val="FootnoteReference"/>
          <w:rFonts w:ascii="Times New Roman" w:hAnsi="Times New Roman" w:cs="Times New Roman"/>
          <w:sz w:val="24"/>
          <w:szCs w:val="24"/>
        </w:rPr>
        <w:footnoteRef/>
      </w:r>
      <w:r w:rsidRPr="00893527">
        <w:rPr>
          <w:rFonts w:ascii="Times New Roman" w:hAnsi="Times New Roman" w:cs="Times New Roman"/>
          <w:sz w:val="24"/>
          <w:szCs w:val="24"/>
        </w:rPr>
        <w:t xml:space="preserve"> </w:t>
      </w:r>
      <w:r w:rsidR="00862C30" w:rsidRPr="00893527">
        <w:rPr>
          <w:rFonts w:ascii="Times New Roman" w:hAnsi="Times New Roman" w:cs="Times New Roman"/>
          <w:sz w:val="24"/>
          <w:szCs w:val="24"/>
        </w:rPr>
        <w:t xml:space="preserve">Counsel is unable to locate any law which suggests that the factor of remorse should be considered in determining whether to accept a </w:t>
      </w:r>
      <w:r w:rsidR="00862C30" w:rsidRPr="00024864">
        <w:rPr>
          <w:rFonts w:ascii="Times New Roman" w:hAnsi="Times New Roman" w:cs="Times New Roman"/>
          <w:i/>
          <w:iCs/>
          <w:sz w:val="24"/>
          <w:szCs w:val="24"/>
        </w:rPr>
        <w:t xml:space="preserve">nolo contendere </w:t>
      </w:r>
      <w:r w:rsidR="00862C30" w:rsidRPr="00893527">
        <w:rPr>
          <w:rFonts w:ascii="Times New Roman" w:hAnsi="Times New Roman" w:cs="Times New Roman"/>
          <w:sz w:val="24"/>
          <w:szCs w:val="24"/>
        </w:rPr>
        <w:t xml:space="preserve">plea.  </w:t>
      </w:r>
      <w:r w:rsidR="00DD0D89" w:rsidRPr="00893527">
        <w:rPr>
          <w:rFonts w:ascii="Times New Roman" w:hAnsi="Times New Roman" w:cs="Times New Roman"/>
          <w:sz w:val="24"/>
          <w:szCs w:val="24"/>
        </w:rPr>
        <w:t xml:space="preserve">In </w:t>
      </w:r>
      <w:r w:rsidR="00DD0D89" w:rsidRPr="00893527">
        <w:rPr>
          <w:rFonts w:ascii="Times New Roman" w:hAnsi="Times New Roman" w:cs="Times New Roman"/>
          <w:i/>
          <w:iCs/>
          <w:sz w:val="24"/>
          <w:szCs w:val="24"/>
        </w:rPr>
        <w:t>State v. Crowe</w:t>
      </w:r>
      <w:r w:rsidR="00DD0D89" w:rsidRPr="00893527">
        <w:rPr>
          <w:rFonts w:ascii="Times New Roman" w:hAnsi="Times New Roman" w:cs="Times New Roman"/>
          <w:sz w:val="24"/>
          <w:szCs w:val="24"/>
        </w:rPr>
        <w:t>, 168 S.W.3d 731 (Tenn. 2005), the Tennessee Supreme Court held that</w:t>
      </w:r>
      <w:r w:rsidR="006B4294" w:rsidRPr="00893527">
        <w:rPr>
          <w:rFonts w:ascii="Times New Roman" w:hAnsi="Times New Roman" w:cs="Times New Roman"/>
          <w:sz w:val="24"/>
          <w:szCs w:val="24"/>
        </w:rPr>
        <w:t xml:space="preserve"> Rule 11(f) of the </w:t>
      </w:r>
      <w:r w:rsidR="006B4294" w:rsidRPr="00024864">
        <w:rPr>
          <w:rFonts w:ascii="Times New Roman" w:hAnsi="Times New Roman" w:cs="Times New Roman"/>
          <w:i/>
          <w:iCs/>
          <w:sz w:val="24"/>
          <w:szCs w:val="24"/>
        </w:rPr>
        <w:t>Tennessee Rules of Criminal Procedure</w:t>
      </w:r>
      <w:r w:rsidR="006B4294" w:rsidRPr="00893527">
        <w:rPr>
          <w:rFonts w:ascii="Times New Roman" w:hAnsi="Times New Roman" w:cs="Times New Roman"/>
          <w:sz w:val="24"/>
          <w:szCs w:val="24"/>
        </w:rPr>
        <w:t xml:space="preserve"> does not mandate the establishment of a factual basis before a trial court may accept a </w:t>
      </w:r>
      <w:r w:rsidR="006B4294" w:rsidRPr="00024864">
        <w:rPr>
          <w:rFonts w:ascii="Times New Roman" w:hAnsi="Times New Roman" w:cs="Times New Roman"/>
          <w:i/>
          <w:iCs/>
          <w:sz w:val="24"/>
          <w:szCs w:val="24"/>
        </w:rPr>
        <w:t>nolo contendere</w:t>
      </w:r>
      <w:r w:rsidR="006B4294" w:rsidRPr="00893527">
        <w:rPr>
          <w:rFonts w:ascii="Times New Roman" w:hAnsi="Times New Roman" w:cs="Times New Roman"/>
          <w:sz w:val="24"/>
          <w:szCs w:val="24"/>
        </w:rPr>
        <w:t xml:space="preserve"> plea</w:t>
      </w:r>
      <w:r w:rsidR="00893527" w:rsidRPr="00893527">
        <w:rPr>
          <w:rFonts w:ascii="Times New Roman" w:hAnsi="Times New Roman" w:cs="Times New Roman"/>
          <w:sz w:val="24"/>
          <w:szCs w:val="24"/>
        </w:rPr>
        <w:t>.</w:t>
      </w:r>
    </w:p>
  </w:footnote>
  <w:footnote w:id="5">
    <w:p w14:paraId="3485D283" w14:textId="61646B99" w:rsidR="00B7556D" w:rsidRPr="0011590D" w:rsidRDefault="00B7556D" w:rsidP="00FB2DBD">
      <w:pPr>
        <w:pStyle w:val="FootnoteText"/>
        <w:jc w:val="both"/>
        <w:rPr>
          <w:rFonts w:ascii="Times New Roman" w:hAnsi="Times New Roman" w:cs="Times New Roman"/>
          <w:sz w:val="24"/>
          <w:szCs w:val="24"/>
        </w:rPr>
      </w:pPr>
      <w:r w:rsidRPr="00893527">
        <w:rPr>
          <w:rStyle w:val="FootnoteReference"/>
          <w:rFonts w:ascii="Times New Roman" w:hAnsi="Times New Roman" w:cs="Times New Roman"/>
          <w:sz w:val="24"/>
          <w:szCs w:val="24"/>
        </w:rPr>
        <w:footnoteRef/>
      </w:r>
      <w:r w:rsidRPr="00893527">
        <w:rPr>
          <w:rFonts w:ascii="Times New Roman" w:hAnsi="Times New Roman" w:cs="Times New Roman"/>
          <w:sz w:val="24"/>
          <w:szCs w:val="24"/>
        </w:rPr>
        <w:t xml:space="preserve"> Having reviewed the transcript, the Defendant agree(s)</w:t>
      </w:r>
      <w:r w:rsidR="00362DF8" w:rsidRPr="00893527">
        <w:rPr>
          <w:rFonts w:ascii="Times New Roman" w:hAnsi="Times New Roman" w:cs="Times New Roman"/>
          <w:sz w:val="24"/>
          <w:szCs w:val="24"/>
        </w:rPr>
        <w:t xml:space="preserve"> that </w:t>
      </w:r>
      <w:r w:rsidR="00580148">
        <w:rPr>
          <w:rFonts w:ascii="Times New Roman" w:hAnsi="Times New Roman" w:cs="Times New Roman"/>
          <w:sz w:val="24"/>
          <w:szCs w:val="24"/>
        </w:rPr>
        <w:t>this statement is confusing</w:t>
      </w:r>
      <w:r w:rsidR="00362DF8" w:rsidRPr="00893527">
        <w:rPr>
          <w:rFonts w:ascii="Times New Roman" w:hAnsi="Times New Roman" w:cs="Times New Roman"/>
          <w:sz w:val="24"/>
          <w:szCs w:val="24"/>
        </w:rPr>
        <w:t>.  Th</w:t>
      </w:r>
      <w:r w:rsidR="003A5506">
        <w:rPr>
          <w:rFonts w:ascii="Times New Roman" w:hAnsi="Times New Roman" w:cs="Times New Roman"/>
          <w:sz w:val="24"/>
          <w:szCs w:val="24"/>
        </w:rPr>
        <w:t>e</w:t>
      </w:r>
      <w:r w:rsidR="00362DF8" w:rsidRPr="00893527">
        <w:rPr>
          <w:rFonts w:ascii="Times New Roman" w:hAnsi="Times New Roman" w:cs="Times New Roman"/>
          <w:sz w:val="24"/>
          <w:szCs w:val="24"/>
        </w:rPr>
        <w:t xml:space="preserve"> statement seems to suggest that he didn’t pick</w:t>
      </w:r>
      <w:r w:rsidR="00362DF8" w:rsidRPr="0011590D">
        <w:rPr>
          <w:rFonts w:ascii="Times New Roman" w:hAnsi="Times New Roman" w:cs="Times New Roman"/>
          <w:sz w:val="24"/>
          <w:szCs w:val="24"/>
        </w:rPr>
        <w:t xml:space="preserve"> up the rifle until after they called the police, however, </w:t>
      </w:r>
      <w:r w:rsidR="003A5506">
        <w:rPr>
          <w:rFonts w:ascii="Times New Roman" w:hAnsi="Times New Roman" w:cs="Times New Roman"/>
          <w:sz w:val="24"/>
          <w:szCs w:val="24"/>
        </w:rPr>
        <w:t>the statement</w:t>
      </w:r>
      <w:r w:rsidR="00B441DA" w:rsidRPr="0011590D">
        <w:rPr>
          <w:rFonts w:ascii="Times New Roman" w:hAnsi="Times New Roman" w:cs="Times New Roman"/>
          <w:sz w:val="24"/>
          <w:szCs w:val="24"/>
        </w:rPr>
        <w:t xml:space="preserve"> can also be interpreted to mean that </w:t>
      </w:r>
      <w:r w:rsidR="003A5506">
        <w:rPr>
          <w:rFonts w:ascii="Times New Roman" w:hAnsi="Times New Roman" w:cs="Times New Roman"/>
          <w:sz w:val="24"/>
          <w:szCs w:val="24"/>
        </w:rPr>
        <w:t>Mr. Jones</w:t>
      </w:r>
      <w:r w:rsidR="00B441DA" w:rsidRPr="0011590D">
        <w:rPr>
          <w:rFonts w:ascii="Times New Roman" w:hAnsi="Times New Roman" w:cs="Times New Roman"/>
          <w:sz w:val="24"/>
          <w:szCs w:val="24"/>
        </w:rPr>
        <w:t xml:space="preserve"> didn’t move the rifle out</w:t>
      </w:r>
      <w:r w:rsidR="003A5506">
        <w:rPr>
          <w:rFonts w:ascii="Times New Roman" w:hAnsi="Times New Roman" w:cs="Times New Roman"/>
          <w:sz w:val="24"/>
          <w:szCs w:val="24"/>
        </w:rPr>
        <w:t xml:space="preserve">side </w:t>
      </w:r>
      <w:r w:rsidR="00B441DA" w:rsidRPr="0011590D">
        <w:rPr>
          <w:rFonts w:ascii="Times New Roman" w:hAnsi="Times New Roman" w:cs="Times New Roman"/>
          <w:sz w:val="24"/>
          <w:szCs w:val="24"/>
        </w:rPr>
        <w:t xml:space="preserve">until after they called the police.  The Court interpreted this statement as the former </w:t>
      </w:r>
      <w:r w:rsidR="0011590D" w:rsidRPr="0011590D">
        <w:rPr>
          <w:rFonts w:ascii="Times New Roman" w:hAnsi="Times New Roman" w:cs="Times New Roman"/>
          <w:sz w:val="24"/>
          <w:szCs w:val="24"/>
        </w:rPr>
        <w:t>which led to several specific questions about when the alleged victim called the police and if the Defendant was holding the rifle at that time.</w:t>
      </w:r>
      <w:r w:rsidR="00523B30">
        <w:rPr>
          <w:rFonts w:ascii="Times New Roman" w:hAnsi="Times New Roman" w:cs="Times New Roman"/>
          <w:sz w:val="24"/>
          <w:szCs w:val="24"/>
        </w:rPr>
        <w:t xml:space="preserve">  </w:t>
      </w:r>
    </w:p>
  </w:footnote>
  <w:footnote w:id="6">
    <w:p w14:paraId="2C139266" w14:textId="532E5166" w:rsidR="00EC7499" w:rsidRPr="00E90974" w:rsidRDefault="00EC7499" w:rsidP="00FB2DBD">
      <w:pPr>
        <w:pStyle w:val="FootnoteText"/>
        <w:jc w:val="both"/>
        <w:rPr>
          <w:rFonts w:ascii="Times New Roman" w:hAnsi="Times New Roman" w:cs="Times New Roman"/>
          <w:sz w:val="24"/>
          <w:szCs w:val="24"/>
        </w:rPr>
      </w:pPr>
      <w:r w:rsidRPr="00E90974">
        <w:rPr>
          <w:rStyle w:val="FootnoteReference"/>
          <w:rFonts w:ascii="Times New Roman" w:hAnsi="Times New Roman" w:cs="Times New Roman"/>
          <w:sz w:val="24"/>
          <w:szCs w:val="24"/>
        </w:rPr>
        <w:footnoteRef/>
      </w:r>
      <w:r w:rsidRPr="00E90974">
        <w:rPr>
          <w:rFonts w:ascii="Times New Roman" w:hAnsi="Times New Roman" w:cs="Times New Roman"/>
          <w:sz w:val="24"/>
          <w:szCs w:val="24"/>
        </w:rPr>
        <w:t xml:space="preserve"> </w:t>
      </w:r>
      <w:r w:rsidR="00D71962" w:rsidRPr="00E90974">
        <w:rPr>
          <w:rFonts w:ascii="Times New Roman" w:hAnsi="Times New Roman" w:cs="Times New Roman"/>
          <w:sz w:val="24"/>
          <w:szCs w:val="24"/>
        </w:rPr>
        <w:t>This question appears to be based upon the Defendant’s statement, “I did take the moment to move it because they had already called the police</w:t>
      </w:r>
      <w:r w:rsidR="00E90974" w:rsidRPr="00E90974">
        <w:rPr>
          <w:rFonts w:ascii="Times New Roman" w:hAnsi="Times New Roman" w:cs="Times New Roman"/>
          <w:sz w:val="24"/>
          <w:szCs w:val="24"/>
        </w:rPr>
        <w:t>.”  Respectfully, Counsel submits that the Defendant misspoke but also this was misinterpreted by the Court.</w:t>
      </w:r>
    </w:p>
  </w:footnote>
  <w:footnote w:id="7">
    <w:p w14:paraId="61BCF2EE" w14:textId="5086AA30" w:rsidR="00A31193" w:rsidRPr="00A31193" w:rsidRDefault="00A31193" w:rsidP="00FB2DBD">
      <w:pPr>
        <w:pStyle w:val="FootnoteText"/>
        <w:jc w:val="both"/>
        <w:rPr>
          <w:rFonts w:ascii="Times New Roman" w:hAnsi="Times New Roman" w:cs="Times New Roman"/>
          <w:sz w:val="24"/>
          <w:szCs w:val="24"/>
        </w:rPr>
      </w:pPr>
      <w:r w:rsidRPr="00A31193">
        <w:rPr>
          <w:rStyle w:val="FootnoteReference"/>
          <w:rFonts w:ascii="Times New Roman" w:hAnsi="Times New Roman" w:cs="Times New Roman"/>
          <w:sz w:val="24"/>
          <w:szCs w:val="24"/>
        </w:rPr>
        <w:footnoteRef/>
      </w:r>
      <w:r w:rsidRPr="00A31193">
        <w:rPr>
          <w:rFonts w:ascii="Times New Roman" w:hAnsi="Times New Roman" w:cs="Times New Roman"/>
          <w:sz w:val="24"/>
          <w:szCs w:val="24"/>
        </w:rPr>
        <w:t xml:space="preserve"> At this point, the Court has already questioned the Defendant about the gun being loaded, why he moved the weapon and had him apologize to the victim(s) family.</w:t>
      </w:r>
    </w:p>
  </w:footnote>
  <w:footnote w:id="8">
    <w:p w14:paraId="342D00FE" w14:textId="34057BC7" w:rsidR="00E85B9D" w:rsidRPr="00013FBE" w:rsidRDefault="00E85B9D" w:rsidP="00013FBE">
      <w:pPr>
        <w:pStyle w:val="FootnoteText"/>
        <w:jc w:val="both"/>
        <w:rPr>
          <w:rFonts w:ascii="Times New Roman" w:hAnsi="Times New Roman" w:cs="Times New Roman"/>
          <w:sz w:val="24"/>
          <w:szCs w:val="24"/>
        </w:rPr>
      </w:pPr>
      <w:r w:rsidRPr="003317E6">
        <w:rPr>
          <w:rStyle w:val="FootnoteReference"/>
          <w:rFonts w:ascii="Times New Roman" w:hAnsi="Times New Roman" w:cs="Times New Roman"/>
          <w:sz w:val="24"/>
          <w:szCs w:val="24"/>
        </w:rPr>
        <w:footnoteRef/>
      </w:r>
      <w:r w:rsidRPr="003317E6">
        <w:rPr>
          <w:rFonts w:ascii="Times New Roman" w:hAnsi="Times New Roman" w:cs="Times New Roman"/>
          <w:sz w:val="24"/>
          <w:szCs w:val="24"/>
        </w:rPr>
        <w:t xml:space="preserve"> Neither the victim(s) nor did ADA Bryan during the </w:t>
      </w:r>
      <w:r w:rsidR="003317E6" w:rsidRPr="003317E6">
        <w:rPr>
          <w:rFonts w:ascii="Times New Roman" w:hAnsi="Times New Roman" w:cs="Times New Roman"/>
          <w:sz w:val="24"/>
          <w:szCs w:val="24"/>
        </w:rPr>
        <w:t>7/6/17 hearing ever allege</w:t>
      </w:r>
      <w:r w:rsidR="00B5084E">
        <w:rPr>
          <w:rFonts w:ascii="Times New Roman" w:hAnsi="Times New Roman" w:cs="Times New Roman"/>
          <w:sz w:val="24"/>
          <w:szCs w:val="24"/>
        </w:rPr>
        <w:t xml:space="preserve"> that the victim(s)</w:t>
      </w:r>
      <w:r w:rsidR="003317E6" w:rsidRPr="003317E6">
        <w:rPr>
          <w:rFonts w:ascii="Times New Roman" w:hAnsi="Times New Roman" w:cs="Times New Roman"/>
          <w:sz w:val="24"/>
          <w:szCs w:val="24"/>
        </w:rPr>
        <w:t xml:space="preserve"> </w:t>
      </w:r>
      <w:r w:rsidR="00B5084E" w:rsidRPr="00013FBE">
        <w:rPr>
          <w:rFonts w:ascii="Times New Roman" w:hAnsi="Times New Roman" w:cs="Times New Roman"/>
          <w:sz w:val="24"/>
          <w:szCs w:val="24"/>
        </w:rPr>
        <w:t>were</w:t>
      </w:r>
      <w:r w:rsidR="003317E6" w:rsidRPr="00013FBE">
        <w:rPr>
          <w:rFonts w:ascii="Times New Roman" w:hAnsi="Times New Roman" w:cs="Times New Roman"/>
          <w:sz w:val="24"/>
          <w:szCs w:val="24"/>
        </w:rPr>
        <w:t xml:space="preserve"> held up by gunpoint.</w:t>
      </w:r>
    </w:p>
  </w:footnote>
  <w:footnote w:id="9">
    <w:p w14:paraId="2A650558" w14:textId="05A9E634" w:rsidR="0029376D" w:rsidRPr="00013FBE" w:rsidRDefault="0029376D" w:rsidP="00013FBE">
      <w:pPr>
        <w:pStyle w:val="FootnoteText"/>
        <w:jc w:val="both"/>
        <w:rPr>
          <w:rFonts w:ascii="Times New Roman" w:hAnsi="Times New Roman" w:cs="Times New Roman"/>
          <w:sz w:val="24"/>
          <w:szCs w:val="24"/>
        </w:rPr>
      </w:pPr>
      <w:r w:rsidRPr="00013FBE">
        <w:rPr>
          <w:rStyle w:val="FootnoteReference"/>
          <w:rFonts w:ascii="Times New Roman" w:hAnsi="Times New Roman" w:cs="Times New Roman"/>
          <w:sz w:val="24"/>
          <w:szCs w:val="24"/>
        </w:rPr>
        <w:footnoteRef/>
      </w:r>
      <w:r w:rsidRPr="00013FBE">
        <w:rPr>
          <w:rFonts w:ascii="Times New Roman" w:hAnsi="Times New Roman" w:cs="Times New Roman"/>
          <w:sz w:val="24"/>
          <w:szCs w:val="24"/>
        </w:rPr>
        <w:t xml:space="preserve"> The Order directing a forensic </w:t>
      </w:r>
      <w:r w:rsidR="00013FBE" w:rsidRPr="00013FBE">
        <w:rPr>
          <w:rFonts w:ascii="Times New Roman" w:hAnsi="Times New Roman" w:cs="Times New Roman"/>
          <w:sz w:val="24"/>
          <w:szCs w:val="24"/>
        </w:rPr>
        <w:t xml:space="preserve">evaluation states, “upon the Defendant’s petition,” yet the Defendant never filed any request, </w:t>
      </w:r>
      <w:proofErr w:type="gramStart"/>
      <w:r w:rsidR="00013FBE" w:rsidRPr="00013FBE">
        <w:rPr>
          <w:rFonts w:ascii="Times New Roman" w:hAnsi="Times New Roman" w:cs="Times New Roman"/>
          <w:sz w:val="24"/>
          <w:szCs w:val="24"/>
        </w:rPr>
        <w:t>motion</w:t>
      </w:r>
      <w:proofErr w:type="gramEnd"/>
      <w:r w:rsidR="00013FBE" w:rsidRPr="00013FBE">
        <w:rPr>
          <w:rFonts w:ascii="Times New Roman" w:hAnsi="Times New Roman" w:cs="Times New Roman"/>
          <w:sz w:val="24"/>
          <w:szCs w:val="24"/>
        </w:rPr>
        <w:t xml:space="preserve"> or petition for a forensic evaluation.  This evaluation appears to have been done at the request of the Court.</w:t>
      </w:r>
    </w:p>
  </w:footnote>
  <w:footnote w:id="10">
    <w:p w14:paraId="35A98337" w14:textId="7C8E1F42" w:rsidR="00356024" w:rsidRPr="00356024" w:rsidRDefault="00356024" w:rsidP="00013FBE">
      <w:pPr>
        <w:pStyle w:val="FootnoteText"/>
        <w:jc w:val="both"/>
        <w:rPr>
          <w:rFonts w:ascii="Times New Roman" w:hAnsi="Times New Roman" w:cs="Times New Roman"/>
          <w:sz w:val="24"/>
          <w:szCs w:val="24"/>
        </w:rPr>
      </w:pPr>
      <w:r w:rsidRPr="00013FBE">
        <w:rPr>
          <w:rStyle w:val="FootnoteReference"/>
          <w:rFonts w:ascii="Times New Roman" w:hAnsi="Times New Roman" w:cs="Times New Roman"/>
          <w:sz w:val="24"/>
          <w:szCs w:val="24"/>
        </w:rPr>
        <w:footnoteRef/>
      </w:r>
      <w:r w:rsidRPr="00013FBE">
        <w:rPr>
          <w:rFonts w:ascii="Times New Roman" w:hAnsi="Times New Roman" w:cs="Times New Roman"/>
          <w:sz w:val="24"/>
          <w:szCs w:val="24"/>
        </w:rPr>
        <w:t xml:space="preserve"> </w:t>
      </w:r>
      <w:r w:rsidR="00B5521C" w:rsidRPr="00013FBE">
        <w:rPr>
          <w:rFonts w:ascii="Times New Roman" w:hAnsi="Times New Roman" w:cs="Times New Roman"/>
          <w:sz w:val="24"/>
          <w:szCs w:val="24"/>
        </w:rPr>
        <w:t>The docket reflects</w:t>
      </w:r>
      <w:r w:rsidR="00B5521C">
        <w:rPr>
          <w:rFonts w:ascii="Times New Roman" w:hAnsi="Times New Roman" w:cs="Times New Roman"/>
          <w:sz w:val="24"/>
          <w:szCs w:val="24"/>
        </w:rPr>
        <w:t xml:space="preserve"> that a formal order directing a forensic evaluation was filed on 12/5/1</w:t>
      </w:r>
      <w:r w:rsidR="00DC7240">
        <w:rPr>
          <w:rFonts w:ascii="Times New Roman" w:hAnsi="Times New Roman" w:cs="Times New Roman"/>
          <w:sz w:val="24"/>
          <w:szCs w:val="24"/>
        </w:rPr>
        <w:t>7 and a second order was filed on 1/29/18.  It is unclear why a second order was needed.</w:t>
      </w:r>
      <w:r w:rsidR="00213D82">
        <w:rPr>
          <w:rFonts w:ascii="Times New Roman" w:hAnsi="Times New Roman" w:cs="Times New Roman"/>
          <w:sz w:val="24"/>
          <w:szCs w:val="24"/>
        </w:rPr>
        <w:t xml:space="preserve">  Further, this second order also contained the phrase, “upon the Defendant’s petition” which is not factually accurate.</w:t>
      </w:r>
    </w:p>
  </w:footnote>
  <w:footnote w:id="11">
    <w:p w14:paraId="12BA1AA0" w14:textId="5F05C9C0" w:rsidR="0085123B" w:rsidRPr="009E798E" w:rsidRDefault="0085123B" w:rsidP="009E798E">
      <w:pPr>
        <w:pStyle w:val="FootnoteText"/>
        <w:jc w:val="both"/>
        <w:rPr>
          <w:rFonts w:ascii="Times New Roman" w:hAnsi="Times New Roman" w:cs="Times New Roman"/>
          <w:sz w:val="24"/>
          <w:szCs w:val="24"/>
        </w:rPr>
      </w:pPr>
      <w:r w:rsidRPr="00296B2F">
        <w:rPr>
          <w:rStyle w:val="FootnoteReference"/>
          <w:rFonts w:ascii="Times New Roman" w:hAnsi="Times New Roman" w:cs="Times New Roman"/>
          <w:sz w:val="24"/>
          <w:szCs w:val="24"/>
        </w:rPr>
        <w:footnoteRef/>
      </w:r>
      <w:r w:rsidRPr="00296B2F">
        <w:rPr>
          <w:rFonts w:ascii="Times New Roman" w:hAnsi="Times New Roman" w:cs="Times New Roman"/>
          <w:sz w:val="24"/>
          <w:szCs w:val="24"/>
        </w:rPr>
        <w:t xml:space="preserve"> It does not appear that the Defendant had any notice that the Court was going to send him for a second forensic evaluation.  The transcript from that hearing reveals that Moccasin Bend injected him with trazadone to the point in which is passed out</w:t>
      </w:r>
      <w:r w:rsidR="00945615" w:rsidRPr="00296B2F">
        <w:rPr>
          <w:rFonts w:ascii="Times New Roman" w:hAnsi="Times New Roman" w:cs="Times New Roman"/>
          <w:sz w:val="24"/>
          <w:szCs w:val="24"/>
        </w:rPr>
        <w:t xml:space="preserve"> and his blood pressure dropped.  It further appears that a Chattanooga Police officer became involved.  The Court states, “it bothers me, candidly as it probably does you as well, that maybe there was a Chattanooga Police Officer who may be otherwise unconnected with your case directly so, but it bothers me that they were involved in the forensic evaluation such that I have some doubts about whether the previous</w:t>
      </w:r>
      <w:r w:rsidR="00296B2F" w:rsidRPr="00296B2F">
        <w:rPr>
          <w:rFonts w:ascii="Times New Roman" w:hAnsi="Times New Roman" w:cs="Times New Roman"/>
          <w:sz w:val="24"/>
          <w:szCs w:val="24"/>
        </w:rPr>
        <w:t xml:space="preserve"> </w:t>
      </w:r>
      <w:r w:rsidR="00296B2F" w:rsidRPr="009E798E">
        <w:rPr>
          <w:rFonts w:ascii="Times New Roman" w:hAnsi="Times New Roman" w:cs="Times New Roman"/>
          <w:sz w:val="24"/>
          <w:szCs w:val="24"/>
        </w:rPr>
        <w:t xml:space="preserve">evaluation can be relied upon.”  </w:t>
      </w:r>
      <w:r w:rsidR="00ED4436" w:rsidRPr="00ED4436">
        <w:rPr>
          <w:rFonts w:ascii="Times New Roman" w:hAnsi="Times New Roman" w:cs="Times New Roman"/>
          <w:i/>
          <w:iCs/>
          <w:sz w:val="24"/>
          <w:szCs w:val="24"/>
        </w:rPr>
        <w:t>See</w:t>
      </w:r>
      <w:r w:rsidR="00ED4436">
        <w:rPr>
          <w:rFonts w:ascii="Times New Roman" w:hAnsi="Times New Roman" w:cs="Times New Roman"/>
          <w:sz w:val="24"/>
          <w:szCs w:val="24"/>
        </w:rPr>
        <w:t xml:space="preserve"> </w:t>
      </w:r>
      <w:r w:rsidR="00296B2F" w:rsidRPr="009E798E">
        <w:rPr>
          <w:rFonts w:ascii="Times New Roman" w:hAnsi="Times New Roman" w:cs="Times New Roman"/>
          <w:sz w:val="24"/>
          <w:szCs w:val="24"/>
        </w:rPr>
        <w:t>Transcript, p. 4.</w:t>
      </w:r>
    </w:p>
  </w:footnote>
  <w:footnote w:id="12">
    <w:p w14:paraId="5620F92B" w14:textId="5B163DF6" w:rsidR="0033240F" w:rsidRPr="003C5C1D" w:rsidRDefault="0033240F" w:rsidP="00FB2DBD">
      <w:pPr>
        <w:pStyle w:val="FootnoteText"/>
        <w:jc w:val="both"/>
        <w:rPr>
          <w:rFonts w:ascii="Times New Roman" w:hAnsi="Times New Roman" w:cs="Times New Roman"/>
          <w:sz w:val="24"/>
          <w:szCs w:val="24"/>
        </w:rPr>
      </w:pPr>
      <w:r w:rsidRPr="003C5C1D">
        <w:rPr>
          <w:rStyle w:val="FootnoteReference"/>
          <w:rFonts w:ascii="Times New Roman" w:hAnsi="Times New Roman" w:cs="Times New Roman"/>
          <w:sz w:val="24"/>
          <w:szCs w:val="24"/>
        </w:rPr>
        <w:footnoteRef/>
      </w:r>
      <w:r w:rsidRPr="003C5C1D">
        <w:rPr>
          <w:rFonts w:ascii="Times New Roman" w:hAnsi="Times New Roman" w:cs="Times New Roman"/>
          <w:sz w:val="24"/>
          <w:szCs w:val="24"/>
        </w:rPr>
        <w:t xml:space="preserve"> It is unclear why a second forensic order was required when the docket reflects an Order was also entered on 8/22/19.</w:t>
      </w:r>
      <w:r w:rsidR="00DD16E0">
        <w:rPr>
          <w:rFonts w:ascii="Times New Roman" w:hAnsi="Times New Roman" w:cs="Times New Roman"/>
          <w:sz w:val="24"/>
          <w:szCs w:val="24"/>
        </w:rPr>
        <w:t xml:space="preserve">  Again, both Orders contained the phrase, “upon the Defendant’s petition” which is factually inaccurate because at not point in time did the Defendant ever file any request, motion or petition seeking a forensic evaluation and the transcript does not contain any such request by either the Defendant or his attorney.</w:t>
      </w:r>
    </w:p>
  </w:footnote>
  <w:footnote w:id="13">
    <w:p w14:paraId="6A091998" w14:textId="36E1D7C9" w:rsidR="007A4F53" w:rsidRDefault="007A4F53" w:rsidP="00FB2DBD">
      <w:pPr>
        <w:pStyle w:val="FootnoteText"/>
        <w:jc w:val="both"/>
      </w:pPr>
      <w:r w:rsidRPr="009E798E">
        <w:rPr>
          <w:rStyle w:val="FootnoteReference"/>
          <w:rFonts w:ascii="Times New Roman" w:hAnsi="Times New Roman" w:cs="Times New Roman"/>
          <w:sz w:val="24"/>
          <w:szCs w:val="24"/>
        </w:rPr>
        <w:footnoteRef/>
      </w:r>
      <w:r w:rsidRPr="009E798E">
        <w:rPr>
          <w:rFonts w:ascii="Times New Roman" w:hAnsi="Times New Roman" w:cs="Times New Roman"/>
          <w:sz w:val="24"/>
          <w:szCs w:val="24"/>
        </w:rPr>
        <w:t xml:space="preserve"> Recall Robert Eigelsbach testimony before this Court on </w:t>
      </w:r>
      <w:r w:rsidR="005C7C83" w:rsidRPr="009E798E">
        <w:rPr>
          <w:rFonts w:ascii="Times New Roman" w:hAnsi="Times New Roman" w:cs="Times New Roman"/>
          <w:sz w:val="24"/>
          <w:szCs w:val="24"/>
        </w:rPr>
        <w:t>July 6, 2017 who</w:t>
      </w:r>
      <w:r w:rsidR="009E798E" w:rsidRPr="009E798E">
        <w:rPr>
          <w:rFonts w:ascii="Times New Roman" w:hAnsi="Times New Roman" w:cs="Times New Roman"/>
          <w:sz w:val="24"/>
          <w:szCs w:val="24"/>
        </w:rPr>
        <w:t xml:space="preserve"> testified that he</w:t>
      </w:r>
      <w:r w:rsidR="005C7C83" w:rsidRPr="009E798E">
        <w:rPr>
          <w:rFonts w:ascii="Times New Roman" w:hAnsi="Times New Roman" w:cs="Times New Roman"/>
          <w:sz w:val="24"/>
          <w:szCs w:val="24"/>
        </w:rPr>
        <w:t xml:space="preserve"> </w:t>
      </w:r>
      <w:proofErr w:type="gramStart"/>
      <w:r w:rsidR="005C7C83" w:rsidRPr="009E798E">
        <w:rPr>
          <w:rFonts w:ascii="Times New Roman" w:hAnsi="Times New Roman" w:cs="Times New Roman"/>
          <w:sz w:val="24"/>
          <w:szCs w:val="24"/>
        </w:rPr>
        <w:t>didn’t</w:t>
      </w:r>
      <w:proofErr w:type="gramEnd"/>
      <w:r w:rsidR="00136188">
        <w:rPr>
          <w:rFonts w:ascii="Times New Roman" w:hAnsi="Times New Roman" w:cs="Times New Roman"/>
          <w:sz w:val="24"/>
          <w:szCs w:val="24"/>
        </w:rPr>
        <w:t xml:space="preserve"> fear the Defendant because he didn’t</w:t>
      </w:r>
      <w:r w:rsidR="005C7C83" w:rsidRPr="009E798E">
        <w:rPr>
          <w:rFonts w:ascii="Times New Roman" w:hAnsi="Times New Roman" w:cs="Times New Roman"/>
          <w:sz w:val="24"/>
          <w:szCs w:val="24"/>
        </w:rPr>
        <w:t xml:space="preserve"> see the Defendant </w:t>
      </w:r>
      <w:r w:rsidR="009E798E" w:rsidRPr="009E798E">
        <w:rPr>
          <w:rFonts w:ascii="Times New Roman" w:hAnsi="Times New Roman" w:cs="Times New Roman"/>
          <w:sz w:val="24"/>
          <w:szCs w:val="24"/>
        </w:rPr>
        <w:t>display his rifle.</w:t>
      </w:r>
    </w:p>
  </w:footnote>
  <w:footnote w:id="14">
    <w:p w14:paraId="56B1828C" w14:textId="4B5F8A2D" w:rsidR="00325252" w:rsidRPr="009C3FED" w:rsidRDefault="00325252" w:rsidP="00FB2DBD">
      <w:pPr>
        <w:pStyle w:val="FootnoteText"/>
        <w:jc w:val="both"/>
        <w:rPr>
          <w:rFonts w:ascii="Times New Roman" w:hAnsi="Times New Roman" w:cs="Times New Roman"/>
          <w:sz w:val="24"/>
          <w:szCs w:val="24"/>
        </w:rPr>
      </w:pPr>
      <w:r w:rsidRPr="009C3FED">
        <w:rPr>
          <w:rStyle w:val="FootnoteReference"/>
          <w:rFonts w:ascii="Times New Roman" w:hAnsi="Times New Roman" w:cs="Times New Roman"/>
          <w:sz w:val="24"/>
          <w:szCs w:val="24"/>
        </w:rPr>
        <w:footnoteRef/>
      </w:r>
      <w:r w:rsidRPr="009C3FED">
        <w:rPr>
          <w:rFonts w:ascii="Times New Roman" w:hAnsi="Times New Roman" w:cs="Times New Roman"/>
          <w:sz w:val="24"/>
          <w:szCs w:val="24"/>
        </w:rPr>
        <w:t xml:space="preserve"> It appears that the Defendant was without counsel from December 17, 2019 to February 28, 2</w:t>
      </w:r>
      <w:r w:rsidR="009C3FED" w:rsidRPr="009C3FED">
        <w:rPr>
          <w:rFonts w:ascii="Times New Roman" w:hAnsi="Times New Roman" w:cs="Times New Roman"/>
          <w:sz w:val="24"/>
          <w:szCs w:val="24"/>
        </w:rPr>
        <w:t>020 at a time in which he was undergoing a significant mental health evaluation</w:t>
      </w:r>
      <w:r w:rsidR="00CB0B19">
        <w:rPr>
          <w:rFonts w:ascii="Times New Roman" w:hAnsi="Times New Roman" w:cs="Times New Roman"/>
          <w:sz w:val="24"/>
          <w:szCs w:val="24"/>
        </w:rPr>
        <w:t>, his 3</w:t>
      </w:r>
      <w:r w:rsidR="00CB0B19" w:rsidRPr="00CB0B19">
        <w:rPr>
          <w:rFonts w:ascii="Times New Roman" w:hAnsi="Times New Roman" w:cs="Times New Roman"/>
          <w:sz w:val="24"/>
          <w:szCs w:val="24"/>
          <w:vertAlign w:val="superscript"/>
        </w:rPr>
        <w:t>rd</w:t>
      </w:r>
      <w:r w:rsidR="00CB0B19">
        <w:rPr>
          <w:rFonts w:ascii="Times New Roman" w:hAnsi="Times New Roman" w:cs="Times New Roman"/>
          <w:sz w:val="24"/>
          <w:szCs w:val="24"/>
        </w:rPr>
        <w:t>, all ordered by this Court</w:t>
      </w:r>
      <w:r w:rsidR="009C3FED" w:rsidRPr="009C3FED">
        <w:rPr>
          <w:rFonts w:ascii="Times New Roman" w:hAnsi="Times New Roman" w:cs="Times New Roman"/>
          <w:sz w:val="24"/>
          <w:szCs w:val="24"/>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94A"/>
    <w:rsid w:val="00012A70"/>
    <w:rsid w:val="00013FBE"/>
    <w:rsid w:val="00024864"/>
    <w:rsid w:val="000319E4"/>
    <w:rsid w:val="000420EF"/>
    <w:rsid w:val="00044A16"/>
    <w:rsid w:val="00044AE1"/>
    <w:rsid w:val="00050420"/>
    <w:rsid w:val="00050EEB"/>
    <w:rsid w:val="000722A6"/>
    <w:rsid w:val="00073022"/>
    <w:rsid w:val="000925CB"/>
    <w:rsid w:val="000A6ECD"/>
    <w:rsid w:val="000B4F07"/>
    <w:rsid w:val="000C272D"/>
    <w:rsid w:val="000C6488"/>
    <w:rsid w:val="000D65C6"/>
    <w:rsid w:val="000E73CB"/>
    <w:rsid w:val="000F3072"/>
    <w:rsid w:val="000F54B5"/>
    <w:rsid w:val="000F60ED"/>
    <w:rsid w:val="001024FC"/>
    <w:rsid w:val="00111579"/>
    <w:rsid w:val="001120DE"/>
    <w:rsid w:val="00114084"/>
    <w:rsid w:val="0011590D"/>
    <w:rsid w:val="001164FB"/>
    <w:rsid w:val="00120A1F"/>
    <w:rsid w:val="00136188"/>
    <w:rsid w:val="001369F0"/>
    <w:rsid w:val="00164E45"/>
    <w:rsid w:val="00165D90"/>
    <w:rsid w:val="00173735"/>
    <w:rsid w:val="00173CBD"/>
    <w:rsid w:val="00185A9A"/>
    <w:rsid w:val="00187872"/>
    <w:rsid w:val="001911F8"/>
    <w:rsid w:val="00191DF7"/>
    <w:rsid w:val="001A3244"/>
    <w:rsid w:val="001A45B2"/>
    <w:rsid w:val="001A71E4"/>
    <w:rsid w:val="001C7687"/>
    <w:rsid w:val="001D1A0F"/>
    <w:rsid w:val="001D2E05"/>
    <w:rsid w:val="001E57A9"/>
    <w:rsid w:val="001E79BE"/>
    <w:rsid w:val="001F0B55"/>
    <w:rsid w:val="001F1168"/>
    <w:rsid w:val="001F22F1"/>
    <w:rsid w:val="001F3250"/>
    <w:rsid w:val="001F64A5"/>
    <w:rsid w:val="00213D82"/>
    <w:rsid w:val="00223BAE"/>
    <w:rsid w:val="002242D0"/>
    <w:rsid w:val="00232C30"/>
    <w:rsid w:val="00233B29"/>
    <w:rsid w:val="00253335"/>
    <w:rsid w:val="00254BAA"/>
    <w:rsid w:val="0029124C"/>
    <w:rsid w:val="00291E72"/>
    <w:rsid w:val="0029376D"/>
    <w:rsid w:val="00296B2F"/>
    <w:rsid w:val="002B0A04"/>
    <w:rsid w:val="002B5871"/>
    <w:rsid w:val="002C4342"/>
    <w:rsid w:val="002C7191"/>
    <w:rsid w:val="002D01B0"/>
    <w:rsid w:val="0030498D"/>
    <w:rsid w:val="00311EAC"/>
    <w:rsid w:val="003157B3"/>
    <w:rsid w:val="00316F6C"/>
    <w:rsid w:val="00325252"/>
    <w:rsid w:val="00330F6F"/>
    <w:rsid w:val="003317E6"/>
    <w:rsid w:val="0033240F"/>
    <w:rsid w:val="0034074F"/>
    <w:rsid w:val="0034572F"/>
    <w:rsid w:val="00354807"/>
    <w:rsid w:val="00356024"/>
    <w:rsid w:val="0036007A"/>
    <w:rsid w:val="00362DF8"/>
    <w:rsid w:val="00376B8F"/>
    <w:rsid w:val="0037705D"/>
    <w:rsid w:val="00377521"/>
    <w:rsid w:val="00383082"/>
    <w:rsid w:val="003859F0"/>
    <w:rsid w:val="003A1772"/>
    <w:rsid w:val="003A5506"/>
    <w:rsid w:val="003B3488"/>
    <w:rsid w:val="003C5C1D"/>
    <w:rsid w:val="003D22E4"/>
    <w:rsid w:val="003D292D"/>
    <w:rsid w:val="003D71AC"/>
    <w:rsid w:val="003D73B3"/>
    <w:rsid w:val="003D7EA6"/>
    <w:rsid w:val="003E1DF2"/>
    <w:rsid w:val="003E5592"/>
    <w:rsid w:val="003F2716"/>
    <w:rsid w:val="00400AE2"/>
    <w:rsid w:val="00403526"/>
    <w:rsid w:val="004072CD"/>
    <w:rsid w:val="00420A12"/>
    <w:rsid w:val="00440DF3"/>
    <w:rsid w:val="00444278"/>
    <w:rsid w:val="00453F08"/>
    <w:rsid w:val="0047120B"/>
    <w:rsid w:val="004725D5"/>
    <w:rsid w:val="00483080"/>
    <w:rsid w:val="00484FBF"/>
    <w:rsid w:val="00492936"/>
    <w:rsid w:val="004A5827"/>
    <w:rsid w:val="004B5E82"/>
    <w:rsid w:val="004C0A19"/>
    <w:rsid w:val="004F77DE"/>
    <w:rsid w:val="0050038E"/>
    <w:rsid w:val="0050201F"/>
    <w:rsid w:val="0050702B"/>
    <w:rsid w:val="0051021E"/>
    <w:rsid w:val="005112A2"/>
    <w:rsid w:val="00514271"/>
    <w:rsid w:val="0052077B"/>
    <w:rsid w:val="0052173B"/>
    <w:rsid w:val="00523B30"/>
    <w:rsid w:val="005334B9"/>
    <w:rsid w:val="0053537D"/>
    <w:rsid w:val="00546268"/>
    <w:rsid w:val="00547DB7"/>
    <w:rsid w:val="00561E5E"/>
    <w:rsid w:val="005642CE"/>
    <w:rsid w:val="00570404"/>
    <w:rsid w:val="00574482"/>
    <w:rsid w:val="005772EB"/>
    <w:rsid w:val="00580148"/>
    <w:rsid w:val="005B6345"/>
    <w:rsid w:val="005C2B01"/>
    <w:rsid w:val="005C6E61"/>
    <w:rsid w:val="005C7C83"/>
    <w:rsid w:val="005F1559"/>
    <w:rsid w:val="005F6187"/>
    <w:rsid w:val="006017E6"/>
    <w:rsid w:val="00604F76"/>
    <w:rsid w:val="00610977"/>
    <w:rsid w:val="00610F42"/>
    <w:rsid w:val="00627FF5"/>
    <w:rsid w:val="00630EA8"/>
    <w:rsid w:val="006319B9"/>
    <w:rsid w:val="00633CD5"/>
    <w:rsid w:val="0063512B"/>
    <w:rsid w:val="00643387"/>
    <w:rsid w:val="00644ED6"/>
    <w:rsid w:val="00651384"/>
    <w:rsid w:val="00661EE7"/>
    <w:rsid w:val="006623B9"/>
    <w:rsid w:val="006667C5"/>
    <w:rsid w:val="006765ED"/>
    <w:rsid w:val="00681E6F"/>
    <w:rsid w:val="00691CE2"/>
    <w:rsid w:val="00693190"/>
    <w:rsid w:val="006A1F5C"/>
    <w:rsid w:val="006A22A4"/>
    <w:rsid w:val="006B4294"/>
    <w:rsid w:val="006C0049"/>
    <w:rsid w:val="006C045F"/>
    <w:rsid w:val="006D2D7F"/>
    <w:rsid w:val="006E6E11"/>
    <w:rsid w:val="006F0897"/>
    <w:rsid w:val="006F394A"/>
    <w:rsid w:val="006F5AF5"/>
    <w:rsid w:val="007024F2"/>
    <w:rsid w:val="007048CD"/>
    <w:rsid w:val="00714CE7"/>
    <w:rsid w:val="0072410C"/>
    <w:rsid w:val="00740A6B"/>
    <w:rsid w:val="007438C7"/>
    <w:rsid w:val="00746EF1"/>
    <w:rsid w:val="007650F7"/>
    <w:rsid w:val="007717D8"/>
    <w:rsid w:val="007823EB"/>
    <w:rsid w:val="00792166"/>
    <w:rsid w:val="00796BD0"/>
    <w:rsid w:val="007A4F53"/>
    <w:rsid w:val="007B0B0B"/>
    <w:rsid w:val="007B2326"/>
    <w:rsid w:val="007C78FD"/>
    <w:rsid w:val="007D06E8"/>
    <w:rsid w:val="007E13A2"/>
    <w:rsid w:val="007E4BB8"/>
    <w:rsid w:val="007F137D"/>
    <w:rsid w:val="007F7C44"/>
    <w:rsid w:val="008045A6"/>
    <w:rsid w:val="00814939"/>
    <w:rsid w:val="0082575A"/>
    <w:rsid w:val="0083554C"/>
    <w:rsid w:val="008371CF"/>
    <w:rsid w:val="0084280B"/>
    <w:rsid w:val="00843C3F"/>
    <w:rsid w:val="008447C1"/>
    <w:rsid w:val="0085123B"/>
    <w:rsid w:val="00856603"/>
    <w:rsid w:val="00862C30"/>
    <w:rsid w:val="00866F19"/>
    <w:rsid w:val="0087672F"/>
    <w:rsid w:val="00876BB4"/>
    <w:rsid w:val="00877248"/>
    <w:rsid w:val="008834B8"/>
    <w:rsid w:val="00884AB7"/>
    <w:rsid w:val="00886E1B"/>
    <w:rsid w:val="00893527"/>
    <w:rsid w:val="00893B54"/>
    <w:rsid w:val="008968B8"/>
    <w:rsid w:val="008A0211"/>
    <w:rsid w:val="008B323D"/>
    <w:rsid w:val="008C0055"/>
    <w:rsid w:val="008C22F7"/>
    <w:rsid w:val="008C6F43"/>
    <w:rsid w:val="008D6A61"/>
    <w:rsid w:val="008E5DDC"/>
    <w:rsid w:val="008F0711"/>
    <w:rsid w:val="008F1889"/>
    <w:rsid w:val="008F4024"/>
    <w:rsid w:val="008F5F87"/>
    <w:rsid w:val="009043BF"/>
    <w:rsid w:val="009045EE"/>
    <w:rsid w:val="0091634D"/>
    <w:rsid w:val="00944A92"/>
    <w:rsid w:val="00945615"/>
    <w:rsid w:val="00950A92"/>
    <w:rsid w:val="0095199C"/>
    <w:rsid w:val="009523BA"/>
    <w:rsid w:val="0095362A"/>
    <w:rsid w:val="00953E36"/>
    <w:rsid w:val="00953FF5"/>
    <w:rsid w:val="00973B80"/>
    <w:rsid w:val="00974E4A"/>
    <w:rsid w:val="0097717B"/>
    <w:rsid w:val="009835C4"/>
    <w:rsid w:val="00984A30"/>
    <w:rsid w:val="009B2212"/>
    <w:rsid w:val="009B5214"/>
    <w:rsid w:val="009B60E4"/>
    <w:rsid w:val="009C3051"/>
    <w:rsid w:val="009C3FED"/>
    <w:rsid w:val="009C5612"/>
    <w:rsid w:val="009D21AB"/>
    <w:rsid w:val="009E09E6"/>
    <w:rsid w:val="009E6556"/>
    <w:rsid w:val="009E798E"/>
    <w:rsid w:val="009F567E"/>
    <w:rsid w:val="00A245F6"/>
    <w:rsid w:val="00A25CC9"/>
    <w:rsid w:val="00A260AE"/>
    <w:rsid w:val="00A31193"/>
    <w:rsid w:val="00A61EA0"/>
    <w:rsid w:val="00A6497F"/>
    <w:rsid w:val="00A7528E"/>
    <w:rsid w:val="00A83427"/>
    <w:rsid w:val="00A92DDC"/>
    <w:rsid w:val="00A95727"/>
    <w:rsid w:val="00A970BE"/>
    <w:rsid w:val="00AA044F"/>
    <w:rsid w:val="00AB03AF"/>
    <w:rsid w:val="00AB1ED4"/>
    <w:rsid w:val="00AC1ED7"/>
    <w:rsid w:val="00AC2AEE"/>
    <w:rsid w:val="00AC45C8"/>
    <w:rsid w:val="00AD2EDA"/>
    <w:rsid w:val="00AE669D"/>
    <w:rsid w:val="00AF0A5A"/>
    <w:rsid w:val="00AF195D"/>
    <w:rsid w:val="00B012F5"/>
    <w:rsid w:val="00B01621"/>
    <w:rsid w:val="00B03627"/>
    <w:rsid w:val="00B179BD"/>
    <w:rsid w:val="00B23CC9"/>
    <w:rsid w:val="00B25F63"/>
    <w:rsid w:val="00B26BF3"/>
    <w:rsid w:val="00B3183E"/>
    <w:rsid w:val="00B33EF0"/>
    <w:rsid w:val="00B4016E"/>
    <w:rsid w:val="00B430AB"/>
    <w:rsid w:val="00B441DA"/>
    <w:rsid w:val="00B5084E"/>
    <w:rsid w:val="00B53EFC"/>
    <w:rsid w:val="00B5521C"/>
    <w:rsid w:val="00B56FFE"/>
    <w:rsid w:val="00B60160"/>
    <w:rsid w:val="00B7556D"/>
    <w:rsid w:val="00B75FD6"/>
    <w:rsid w:val="00B91E43"/>
    <w:rsid w:val="00B91F97"/>
    <w:rsid w:val="00B92431"/>
    <w:rsid w:val="00B92B05"/>
    <w:rsid w:val="00BA38A0"/>
    <w:rsid w:val="00BA4525"/>
    <w:rsid w:val="00BA6B05"/>
    <w:rsid w:val="00BB12FD"/>
    <w:rsid w:val="00BB1487"/>
    <w:rsid w:val="00BC3412"/>
    <w:rsid w:val="00BF42EB"/>
    <w:rsid w:val="00BF7FB4"/>
    <w:rsid w:val="00C04600"/>
    <w:rsid w:val="00C2310D"/>
    <w:rsid w:val="00C2625F"/>
    <w:rsid w:val="00C36689"/>
    <w:rsid w:val="00C421A1"/>
    <w:rsid w:val="00C4474D"/>
    <w:rsid w:val="00C466A5"/>
    <w:rsid w:val="00C513C0"/>
    <w:rsid w:val="00C5391F"/>
    <w:rsid w:val="00C6310F"/>
    <w:rsid w:val="00C80CCB"/>
    <w:rsid w:val="00C940BE"/>
    <w:rsid w:val="00CB0B19"/>
    <w:rsid w:val="00CB3D5A"/>
    <w:rsid w:val="00CC42B3"/>
    <w:rsid w:val="00CC6299"/>
    <w:rsid w:val="00CF6362"/>
    <w:rsid w:val="00CF777D"/>
    <w:rsid w:val="00D030C2"/>
    <w:rsid w:val="00D0680A"/>
    <w:rsid w:val="00D07841"/>
    <w:rsid w:val="00D1678F"/>
    <w:rsid w:val="00D248BA"/>
    <w:rsid w:val="00D2559E"/>
    <w:rsid w:val="00D341C9"/>
    <w:rsid w:val="00D347F8"/>
    <w:rsid w:val="00D3541B"/>
    <w:rsid w:val="00D44542"/>
    <w:rsid w:val="00D52C8C"/>
    <w:rsid w:val="00D5480D"/>
    <w:rsid w:val="00D63A3E"/>
    <w:rsid w:val="00D71962"/>
    <w:rsid w:val="00D7532C"/>
    <w:rsid w:val="00D84AAE"/>
    <w:rsid w:val="00D85FAC"/>
    <w:rsid w:val="00DA6FEA"/>
    <w:rsid w:val="00DB5622"/>
    <w:rsid w:val="00DC3A55"/>
    <w:rsid w:val="00DC4216"/>
    <w:rsid w:val="00DC7240"/>
    <w:rsid w:val="00DD0D89"/>
    <w:rsid w:val="00DD11FB"/>
    <w:rsid w:val="00DD16E0"/>
    <w:rsid w:val="00DD7EF6"/>
    <w:rsid w:val="00DE157C"/>
    <w:rsid w:val="00DE5C7D"/>
    <w:rsid w:val="00DE747A"/>
    <w:rsid w:val="00DF11C6"/>
    <w:rsid w:val="00E042A9"/>
    <w:rsid w:val="00E066D5"/>
    <w:rsid w:val="00E13629"/>
    <w:rsid w:val="00E15CBD"/>
    <w:rsid w:val="00E32AB8"/>
    <w:rsid w:val="00E34F40"/>
    <w:rsid w:val="00E35B32"/>
    <w:rsid w:val="00E52CC2"/>
    <w:rsid w:val="00E63D9F"/>
    <w:rsid w:val="00E7157B"/>
    <w:rsid w:val="00E76DCC"/>
    <w:rsid w:val="00E80D0C"/>
    <w:rsid w:val="00E81B53"/>
    <w:rsid w:val="00E85B9D"/>
    <w:rsid w:val="00E90974"/>
    <w:rsid w:val="00E9593F"/>
    <w:rsid w:val="00EB09F2"/>
    <w:rsid w:val="00EB24B6"/>
    <w:rsid w:val="00EB5AC9"/>
    <w:rsid w:val="00EB71E4"/>
    <w:rsid w:val="00EB726C"/>
    <w:rsid w:val="00EC624D"/>
    <w:rsid w:val="00EC7499"/>
    <w:rsid w:val="00ED4436"/>
    <w:rsid w:val="00EE04C0"/>
    <w:rsid w:val="00F068FD"/>
    <w:rsid w:val="00F131AC"/>
    <w:rsid w:val="00F3202B"/>
    <w:rsid w:val="00F34FFD"/>
    <w:rsid w:val="00F35762"/>
    <w:rsid w:val="00F60C81"/>
    <w:rsid w:val="00F63584"/>
    <w:rsid w:val="00F64553"/>
    <w:rsid w:val="00F92056"/>
    <w:rsid w:val="00F95A62"/>
    <w:rsid w:val="00FB2DBD"/>
    <w:rsid w:val="00FD2843"/>
    <w:rsid w:val="00FE4BCB"/>
    <w:rsid w:val="00FF01EB"/>
    <w:rsid w:val="00FF4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55F7C"/>
  <w15:chartTrackingRefBased/>
  <w15:docId w15:val="{2E1C2B11-8F2B-465E-ADE4-A6694CE7D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94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F394A"/>
    <w:rPr>
      <w:color w:val="0000FF"/>
      <w:u w:val="single"/>
    </w:rPr>
  </w:style>
  <w:style w:type="character" w:styleId="Emphasis">
    <w:name w:val="Emphasis"/>
    <w:basedOn w:val="DefaultParagraphFont"/>
    <w:uiPriority w:val="20"/>
    <w:qFormat/>
    <w:rsid w:val="006F394A"/>
    <w:rPr>
      <w:i/>
      <w:iCs/>
    </w:rPr>
  </w:style>
  <w:style w:type="paragraph" w:styleId="Footer">
    <w:name w:val="footer"/>
    <w:basedOn w:val="Normal"/>
    <w:link w:val="FooterChar"/>
    <w:uiPriority w:val="99"/>
    <w:unhideWhenUsed/>
    <w:rsid w:val="006F39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394A"/>
  </w:style>
  <w:style w:type="character" w:customStyle="1" w:styleId="cosearchterm">
    <w:name w:val="co_searchterm"/>
    <w:basedOn w:val="DefaultParagraphFont"/>
    <w:rsid w:val="005334B9"/>
  </w:style>
  <w:style w:type="paragraph" w:styleId="FootnoteText">
    <w:name w:val="footnote text"/>
    <w:basedOn w:val="Normal"/>
    <w:link w:val="FootnoteTextChar"/>
    <w:uiPriority w:val="99"/>
    <w:semiHidden/>
    <w:unhideWhenUsed/>
    <w:rsid w:val="00C539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5391F"/>
    <w:rPr>
      <w:sz w:val="20"/>
      <w:szCs w:val="20"/>
    </w:rPr>
  </w:style>
  <w:style w:type="character" w:styleId="FootnoteReference">
    <w:name w:val="footnote reference"/>
    <w:basedOn w:val="DefaultParagraphFont"/>
    <w:uiPriority w:val="99"/>
    <w:semiHidden/>
    <w:unhideWhenUsed/>
    <w:rsid w:val="00C5391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42568957">
      <w:bodyDiv w:val="1"/>
      <w:marLeft w:val="0"/>
      <w:marRight w:val="0"/>
      <w:marTop w:val="0"/>
      <w:marBottom w:val="0"/>
      <w:divBdr>
        <w:top w:val="none" w:sz="0" w:space="0" w:color="auto"/>
        <w:left w:val="none" w:sz="0" w:space="0" w:color="auto"/>
        <w:bottom w:val="none" w:sz="0" w:space="0" w:color="auto"/>
        <w:right w:val="none" w:sz="0" w:space="0" w:color="auto"/>
      </w:divBdr>
      <w:divsChild>
        <w:div w:id="1556314127">
          <w:marLeft w:val="0"/>
          <w:marRight w:val="0"/>
          <w:marTop w:val="240"/>
          <w:marBottom w:val="0"/>
          <w:divBdr>
            <w:top w:val="none" w:sz="0" w:space="0" w:color="auto"/>
            <w:left w:val="none" w:sz="0" w:space="0" w:color="auto"/>
            <w:bottom w:val="none" w:sz="0" w:space="0" w:color="auto"/>
            <w:right w:val="none" w:sz="0" w:space="0" w:color="auto"/>
          </w:divBdr>
          <w:divsChild>
            <w:div w:id="338774961">
              <w:marLeft w:val="0"/>
              <w:marRight w:val="0"/>
              <w:marTop w:val="0"/>
              <w:marBottom w:val="0"/>
              <w:divBdr>
                <w:top w:val="none" w:sz="0" w:space="0" w:color="auto"/>
                <w:left w:val="none" w:sz="0" w:space="0" w:color="auto"/>
                <w:bottom w:val="none" w:sz="0" w:space="0" w:color="auto"/>
                <w:right w:val="none" w:sz="0" w:space="0" w:color="auto"/>
              </w:divBdr>
            </w:div>
          </w:divsChild>
        </w:div>
        <w:div w:id="493492701">
          <w:marLeft w:val="0"/>
          <w:marRight w:val="0"/>
          <w:marTop w:val="240"/>
          <w:marBottom w:val="0"/>
          <w:divBdr>
            <w:top w:val="none" w:sz="0" w:space="0" w:color="auto"/>
            <w:left w:val="none" w:sz="0" w:space="0" w:color="auto"/>
            <w:bottom w:val="none" w:sz="0" w:space="0" w:color="auto"/>
            <w:right w:val="none" w:sz="0" w:space="0" w:color="auto"/>
          </w:divBdr>
          <w:divsChild>
            <w:div w:id="2098211367">
              <w:marLeft w:val="0"/>
              <w:marRight w:val="0"/>
              <w:marTop w:val="0"/>
              <w:marBottom w:val="0"/>
              <w:divBdr>
                <w:top w:val="none" w:sz="0" w:space="0" w:color="auto"/>
                <w:left w:val="none" w:sz="0" w:space="0" w:color="auto"/>
                <w:bottom w:val="none" w:sz="0" w:space="0" w:color="auto"/>
                <w:right w:val="none" w:sz="0" w:space="0" w:color="auto"/>
              </w:divBdr>
            </w:div>
          </w:divsChild>
        </w:div>
        <w:div w:id="920531624">
          <w:marLeft w:val="0"/>
          <w:marRight w:val="0"/>
          <w:marTop w:val="240"/>
          <w:marBottom w:val="0"/>
          <w:divBdr>
            <w:top w:val="none" w:sz="0" w:space="0" w:color="auto"/>
            <w:left w:val="none" w:sz="0" w:space="0" w:color="auto"/>
            <w:bottom w:val="none" w:sz="0" w:space="0" w:color="auto"/>
            <w:right w:val="none" w:sz="0" w:space="0" w:color="auto"/>
          </w:divBdr>
          <w:divsChild>
            <w:div w:id="1127503032">
              <w:marLeft w:val="0"/>
              <w:marRight w:val="0"/>
              <w:marTop w:val="0"/>
              <w:marBottom w:val="0"/>
              <w:divBdr>
                <w:top w:val="none" w:sz="0" w:space="0" w:color="auto"/>
                <w:left w:val="none" w:sz="0" w:space="0" w:color="auto"/>
                <w:bottom w:val="none" w:sz="0" w:space="0" w:color="auto"/>
                <w:right w:val="none" w:sz="0" w:space="0" w:color="auto"/>
              </w:divBdr>
            </w:div>
          </w:divsChild>
        </w:div>
        <w:div w:id="1462730285">
          <w:marLeft w:val="0"/>
          <w:marRight w:val="0"/>
          <w:marTop w:val="240"/>
          <w:marBottom w:val="0"/>
          <w:divBdr>
            <w:top w:val="none" w:sz="0" w:space="0" w:color="auto"/>
            <w:left w:val="none" w:sz="0" w:space="0" w:color="auto"/>
            <w:bottom w:val="none" w:sz="0" w:space="0" w:color="auto"/>
            <w:right w:val="none" w:sz="0" w:space="0" w:color="auto"/>
          </w:divBdr>
          <w:divsChild>
            <w:div w:id="2099403915">
              <w:marLeft w:val="0"/>
              <w:marRight w:val="0"/>
              <w:marTop w:val="0"/>
              <w:marBottom w:val="0"/>
              <w:divBdr>
                <w:top w:val="none" w:sz="0" w:space="0" w:color="auto"/>
                <w:left w:val="none" w:sz="0" w:space="0" w:color="auto"/>
                <w:bottom w:val="none" w:sz="0" w:space="0" w:color="auto"/>
                <w:right w:val="none" w:sz="0" w:space="0" w:color="auto"/>
              </w:divBdr>
            </w:div>
          </w:divsChild>
        </w:div>
        <w:div w:id="621500539">
          <w:marLeft w:val="0"/>
          <w:marRight w:val="0"/>
          <w:marTop w:val="240"/>
          <w:marBottom w:val="0"/>
          <w:divBdr>
            <w:top w:val="none" w:sz="0" w:space="0" w:color="auto"/>
            <w:left w:val="none" w:sz="0" w:space="0" w:color="auto"/>
            <w:bottom w:val="none" w:sz="0" w:space="0" w:color="auto"/>
            <w:right w:val="none" w:sz="0" w:space="0" w:color="auto"/>
          </w:divBdr>
          <w:divsChild>
            <w:div w:id="721710038">
              <w:marLeft w:val="0"/>
              <w:marRight w:val="0"/>
              <w:marTop w:val="0"/>
              <w:marBottom w:val="0"/>
              <w:divBdr>
                <w:top w:val="none" w:sz="0" w:space="0" w:color="auto"/>
                <w:left w:val="none" w:sz="0" w:space="0" w:color="auto"/>
                <w:bottom w:val="none" w:sz="0" w:space="0" w:color="auto"/>
                <w:right w:val="none" w:sz="0" w:space="0" w:color="auto"/>
              </w:divBdr>
            </w:div>
          </w:divsChild>
        </w:div>
        <w:div w:id="53093284">
          <w:marLeft w:val="0"/>
          <w:marRight w:val="0"/>
          <w:marTop w:val="240"/>
          <w:marBottom w:val="0"/>
          <w:divBdr>
            <w:top w:val="none" w:sz="0" w:space="0" w:color="auto"/>
            <w:left w:val="none" w:sz="0" w:space="0" w:color="auto"/>
            <w:bottom w:val="none" w:sz="0" w:space="0" w:color="auto"/>
            <w:right w:val="none" w:sz="0" w:space="0" w:color="auto"/>
          </w:divBdr>
          <w:divsChild>
            <w:div w:id="737633023">
              <w:marLeft w:val="0"/>
              <w:marRight w:val="0"/>
              <w:marTop w:val="0"/>
              <w:marBottom w:val="0"/>
              <w:divBdr>
                <w:top w:val="none" w:sz="0" w:space="0" w:color="auto"/>
                <w:left w:val="none" w:sz="0" w:space="0" w:color="auto"/>
                <w:bottom w:val="none" w:sz="0" w:space="0" w:color="auto"/>
                <w:right w:val="none" w:sz="0" w:space="0" w:color="auto"/>
              </w:divBdr>
              <w:divsChild>
                <w:div w:id="30258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962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1.next.westlaw.com/Link/Document/FullText?findType=Y&amp;serNum=1992113956&amp;pubNum=708&amp;originatingDoc=I869d7ad628ff11da9bcc85e7f8e2f4cd&amp;refType=RP&amp;fi=co_pp_sp_708_2692&amp;originationContext=document&amp;transitionType=DocumentItem&amp;contextData=(sc.Search)" TargetMode="External"/><Relationship Id="rId18" Type="http://schemas.openxmlformats.org/officeDocument/2006/relationships/hyperlink" Target="https://1.next.westlaw.com/Link/Document/FullText?findType=Y&amp;serNum=1972127165&amp;originatingDoc=I869d7ad628ff11da9bcc85e7f8e2f4cd&amp;refType=RP&amp;originationContext=document&amp;transitionType=DocumentItem&amp;contextData=(sc.Search)" TargetMode="External"/><Relationship Id="rId26" Type="http://schemas.openxmlformats.org/officeDocument/2006/relationships/hyperlink" Target="https://1.next.westlaw.com/Link/Document/FullText?findType=Y&amp;serNum=1992113956&amp;pubNum=708&amp;originatingDoc=I869d7ad628ff11da9bcc85e7f8e2f4cd&amp;refType=RP&amp;originationContext=document&amp;transitionType=DocumentItem&amp;contextData=(sc.Search)" TargetMode="External"/><Relationship Id="rId3" Type="http://schemas.openxmlformats.org/officeDocument/2006/relationships/customXml" Target="../customXml/item3.xml"/><Relationship Id="rId21" Type="http://schemas.openxmlformats.org/officeDocument/2006/relationships/hyperlink" Target="https://1.next.westlaw.com/Link/Document/FullText?findType=Y&amp;serNum=2001765454&amp;pubNum=4644&amp;originatingDoc=I869d7ad628ff11da9bcc85e7f8e2f4cd&amp;refType=RP&amp;fi=co_pp_sp_4644_759&amp;originationContext=document&amp;transitionType=DocumentItem&amp;contextData=(sc.Search)" TargetMode="External"/><Relationship Id="rId7" Type="http://schemas.openxmlformats.org/officeDocument/2006/relationships/settings" Target="settings.xml"/><Relationship Id="rId12" Type="http://schemas.openxmlformats.org/officeDocument/2006/relationships/hyperlink" Target="https://1.next.westlaw.com/Link/Document/FullText?findType=Y&amp;serNum=1997231339&amp;pubNum=713&amp;originatingDoc=I869d7ad628ff11da9bcc85e7f8e2f4cd&amp;refType=RP&amp;fi=co_pp_sp_713_492&amp;originationContext=document&amp;transitionType=DocumentItem&amp;contextData=(sc.Search)" TargetMode="External"/><Relationship Id="rId17" Type="http://schemas.openxmlformats.org/officeDocument/2006/relationships/hyperlink" Target="https://1.next.westlaw.com/Link/Document/FullText?findType=Y&amp;serNum=1973129977&amp;pubNum=713&amp;originatingDoc=I869d7ad628ff11da9bcc85e7f8e2f4cd&amp;refType=RP&amp;fi=co_pp_sp_713_83&amp;originationContext=document&amp;transitionType=DocumentItem&amp;contextData=(sc.Search)" TargetMode="External"/><Relationship Id="rId25" Type="http://schemas.openxmlformats.org/officeDocument/2006/relationships/hyperlink" Target="https://1.next.westlaw.com/Link/Document/FullText?findType=Y&amp;serNum=2001765454&amp;originatingDoc=I869d7ad628ff11da9bcc85e7f8e2f4cd&amp;refType=RP&amp;originationContext=document&amp;transitionType=DocumentItem&amp;contextData=(sc.Search)" TargetMode="External"/><Relationship Id="rId2" Type="http://schemas.openxmlformats.org/officeDocument/2006/relationships/customXml" Target="../customXml/item2.xml"/><Relationship Id="rId16" Type="http://schemas.openxmlformats.org/officeDocument/2006/relationships/hyperlink" Target="https://1.next.westlaw.com/Link/Document/FullText?findType=Y&amp;serNum=1981118320&amp;pubNum=713&amp;originatingDoc=I869d7ad628ff11da9bcc85e7f8e2f4cd&amp;refType=RP&amp;fi=co_pp_sp_713_353&amp;originationContext=document&amp;transitionType=DocumentItem&amp;contextData=(sc.Search)" TargetMode="External"/><Relationship Id="rId20" Type="http://schemas.openxmlformats.org/officeDocument/2006/relationships/hyperlink" Target="https://1.next.westlaw.com/Link/Document/FullText?findType=Y&amp;serNum=1973129977&amp;pubNum=713&amp;originatingDoc=I869d7ad628ff11da9bcc85e7f8e2f4cd&amp;refType=RP&amp;fi=co_pp_sp_713_83&amp;originationContext=document&amp;transitionType=DocumentItem&amp;contextData=(sc.Search)"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1.next.westlaw.com/Link/Document/FullText?findType=L&amp;pubNum=1000039&amp;cite=TNCNART1S9&amp;originatingDoc=I869d7ad628ff11da9bcc85e7f8e2f4cd&amp;refType=LQ&amp;originationContext=document&amp;transitionType=DocumentItem&amp;contextData=(sc.Search)" TargetMode="External"/><Relationship Id="rId24" Type="http://schemas.openxmlformats.org/officeDocument/2006/relationships/hyperlink" Target="https://1.next.westlaw.com/Link/Document/FullText?findType=Y&amp;serNum=2001765454&amp;pubNum=4644&amp;originatingDoc=I869d7ad628ff11da9bcc85e7f8e2f4cd&amp;refType=RP&amp;fi=co_pp_sp_4644_760&amp;originationContext=document&amp;transitionType=DocumentItem&amp;contextData=(sc.Search)" TargetMode="External"/><Relationship Id="rId5" Type="http://schemas.openxmlformats.org/officeDocument/2006/relationships/customXml" Target="../customXml/item5.xml"/><Relationship Id="rId15" Type="http://schemas.openxmlformats.org/officeDocument/2006/relationships/hyperlink" Target="https://1.next.westlaw.com/Link/Document/FullText?findType=Y&amp;serNum=1996108487&amp;pubNum=713&amp;originatingDoc=I869d7ad628ff11da9bcc85e7f8e2f4cd&amp;refType=RP&amp;fi=co_pp_sp_713_346&amp;originationContext=document&amp;transitionType=DocumentItem&amp;contextData=(sc.Search)" TargetMode="External"/><Relationship Id="rId23" Type="http://schemas.openxmlformats.org/officeDocument/2006/relationships/hyperlink" Target="https://1.next.westlaw.com/Link/Document/FullText?findType=Y&amp;serNum=1972127165&amp;pubNum=708&amp;originatingDoc=I869d7ad628ff11da9bcc85e7f8e2f4cd&amp;refType=RP&amp;fi=co_pp_sp_708_2192&amp;originationContext=document&amp;transitionType=DocumentItem&amp;contextData=(sc.Search)" TargetMode="External"/><Relationship Id="rId28" Type="http://schemas.openxmlformats.org/officeDocument/2006/relationships/hyperlink" Target="https://1.next.westlaw.com/Link/Document/FullText?findType=Y&amp;serNum=1972127165&amp;pubNum=708&amp;originatingDoc=I869d7ad628ff11da9bcc85e7f8e2f4cd&amp;refType=RP&amp;fi=co_pp_sp_708_2192&amp;originationContext=document&amp;transitionType=DocumentItem&amp;contextData=(sc.Search)" TargetMode="External"/><Relationship Id="rId10" Type="http://schemas.openxmlformats.org/officeDocument/2006/relationships/endnotes" Target="endnotes.xml"/><Relationship Id="rId19" Type="http://schemas.openxmlformats.org/officeDocument/2006/relationships/hyperlink" Target="https://1.next.westlaw.com/Link/Document/FullText?findType=Y&amp;serNum=1972127165&amp;pubNum=708&amp;originatingDoc=I869d7ad628ff11da9bcc85e7f8e2f4cd&amp;refType=RP&amp;fi=co_pp_sp_708_2192&amp;originationContext=document&amp;transitionType=DocumentItem&amp;contextData=(sc.Search)"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1.next.westlaw.com/Link/Document/FullText?findType=Y&amp;serNum=1972127165&amp;pubNum=708&amp;originatingDoc=I869d7ad628ff11da9bcc85e7f8e2f4cd&amp;refType=RP&amp;originationContext=document&amp;transitionType=DocumentItem&amp;contextData=(sc.Search)" TargetMode="External"/><Relationship Id="rId22" Type="http://schemas.openxmlformats.org/officeDocument/2006/relationships/hyperlink" Target="https://1.next.westlaw.com/Link/Document/FullText?findType=Y&amp;serNum=1996108487&amp;pubNum=713&amp;originatingDoc=I869d7ad628ff11da9bcc85e7f8e2f4cd&amp;refType=RP&amp;fi=co_pp_sp_713_346&amp;originationContext=document&amp;transitionType=DocumentItem&amp;contextData=(sc.Search)" TargetMode="External"/><Relationship Id="rId27" Type="http://schemas.openxmlformats.org/officeDocument/2006/relationships/hyperlink" Target="https://1.next.westlaw.com/Link/Document/FullText?findType=Y&amp;serNum=2001765454&amp;originatingDoc=I869d7ad628ff11da9bcc85e7f8e2f4cd&amp;refType=RP&amp;originationContext=document&amp;transitionType=DocumentItem&amp;contextData=(sc.Search)"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_rels/item5.xml.rels><?xml version="1.0" encoding="UTF-8"?><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6f293154-125e-49e3-9714-d81dac523384">MQQCFUXEXFCS-443030701-978284</_dlc_DocId>
    <_dlc_DocIdUrl xmlns="6f293154-125e-49e3-9714-d81dac523384">
      <Url>https://davishoss.sharepoint.com/sites/DHSharepoint2/_layouts/15/DocIdRedir.aspx?ID=MQQCFUXEXFCS-443030701-978284</Url>
      <Description>MQQCFUXEXFCS-443030701-978284</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3858F1A35A5844E978194575E677B21" ma:contentTypeVersion="2207" ma:contentTypeDescription="Create a new document." ma:contentTypeScope="" ma:versionID="f11b72e41ca1c65a47496aa0133ac13e">
  <xsd:schema xmlns:xsd="http://www.w3.org/2001/XMLSchema" xmlns:xs="http://www.w3.org/2001/XMLSchema" xmlns:p="http://schemas.microsoft.com/office/2006/metadata/properties" xmlns:ns2="6f293154-125e-49e3-9714-d81dac523384" xmlns:ns3="64e87d58-8289-4324-b36d-5e47f9604f7a" targetNamespace="http://schemas.microsoft.com/office/2006/metadata/properties" ma:root="true" ma:fieldsID="2a8085782638ff28f44b8fff44a6d9f9" ns2:_="" ns3:_="">
    <xsd:import namespace="6f293154-125e-49e3-9714-d81dac523384"/>
    <xsd:import namespace="64e87d58-8289-4324-b36d-5e47f9604f7a"/>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293154-125e-49e3-9714-d81dac52338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4e87d58-8289-4324-b36d-5e47f9604f7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FA7613C-2CCB-41FF-AE8B-2DF12374CF8B}">
  <ds:schemaRefs>
    <ds:schemaRef ds:uri="http://schemas.microsoft.com/sharepoint/v3/contenttype/forms"/>
  </ds:schemaRefs>
</ds:datastoreItem>
</file>

<file path=customXml/itemProps2.xml><?xml version="1.0" encoding="utf-8"?>
<ds:datastoreItem xmlns:ds="http://schemas.openxmlformats.org/officeDocument/2006/customXml" ds:itemID="{453D4C4D-8115-4614-B269-7E03217D184E}">
  <ds:schemaRefs>
    <ds:schemaRef ds:uri="http://schemas.microsoft.com/office/2006/metadata/properties"/>
    <ds:schemaRef ds:uri="http://schemas.microsoft.com/office/infopath/2007/PartnerControls"/>
    <ds:schemaRef ds:uri="6f293154-125e-49e3-9714-d81dac523384"/>
  </ds:schemaRefs>
</ds:datastoreItem>
</file>

<file path=customXml/itemProps3.xml><?xml version="1.0" encoding="utf-8"?>
<ds:datastoreItem xmlns:ds="http://schemas.openxmlformats.org/officeDocument/2006/customXml" ds:itemID="{C4458327-513E-441F-A609-252713AE69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293154-125e-49e3-9714-d81dac523384"/>
    <ds:schemaRef ds:uri="64e87d58-8289-4324-b36d-5e47f9604f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F7EB53E-8F12-4E28-92A5-65892A3205C0}">
  <ds:schemaRefs>
    <ds:schemaRef ds:uri="http://schemas.openxmlformats.org/officeDocument/2006/bibliography"/>
  </ds:schemaRefs>
</ds:datastoreItem>
</file>

<file path=customXml/itemProps5.xml><?xml version="1.0" encoding="utf-8"?>
<ds:datastoreItem xmlns:ds="http://schemas.openxmlformats.org/officeDocument/2006/customXml" ds:itemID="{D18B20CD-7EE5-4F80-B7D7-2C4DAC5B1B0A}">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1480</TotalTime>
  <Pages>20</Pages>
  <Words>5670</Words>
  <Characters>32325</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[DEFENSE ATTORNEY]</dc:creator>
  <cp:keywords/>
  <dc:description/>
  <cp:lastModifiedBy>[DEFENSE ATTORNEY]</cp:lastModifiedBy>
  <cp:revision>398</cp:revision>
  <dcterms:created xsi:type="dcterms:W3CDTF">2020-08-31T20:56:00Z</dcterms:created>
  <dcterms:modified xsi:type="dcterms:W3CDTF">2020-09-15T16:04:00Z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0x010100E3858F1A35A5844E978194575E677B21</vt:lpwstr>
  </property>
  <property fmtid="{D5CDD505-2E9C-101B-9397-08002B2CF9AE}" pid="3" name="_dlc_DocIdItemGuid">
    <vt:lpwstr>71b19de4-7484-4d5f-b8dd-c2a15415bd76</vt:lpwstr>
  </property>
</Properties>
</file>