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11927C" w14:textId="77777777" w:rsidR="00FE26C3" w:rsidRDefault="00FE26C3" w:rsidP="00FE26C3">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IN THE CRIMINAL COURT OF [COUNTY], TENNESSEE</w:t>
      </w:r>
    </w:p>
    <w:p w14:paraId="792DA251" w14:textId="77777777" w:rsidR="00FE26C3" w:rsidRDefault="00FE26C3" w:rsidP="00FE26C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STATE OF TENNESSEE</w:t>
        <w:tab/>
        <w:tab/>
        <w:tab/>
        <w:t>*</w:t>
      </w:r>
    </w:p>
    <w:p w14:paraId="66B9069E" w14:textId="77777777" w:rsidR="00FE26C3" w:rsidRDefault="00FE26C3" w:rsidP="00FE26C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633FCBB7" w14:textId="77777777" w:rsidR="00FE26C3" w:rsidRDefault="00FE26C3" w:rsidP="00FE26C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v.</w:t>
        <w:tab/>
        <w:tab/>
        <w:tab/>
        <w:tab/>
        <w:tab/>
        <w:tab/>
        <w:t>*</w:t>
        <w:tab/>
        <w:t>Docket No. [REDACTED]</w:t>
      </w:r>
    </w:p>
    <w:p w14:paraId="21771009" w14:textId="77777777" w:rsidR="00FE26C3" w:rsidRDefault="00FE26C3" w:rsidP="00FE26C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6FAEF9F7" w14:textId="77777777" w:rsidR="00FE26C3" w:rsidRDefault="00FE26C3" w:rsidP="00FE26C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[DEFENDANT NAME],</w:t>
        <w:tab/>
        <w:tab/>
        <w:tab/>
        <w:t>*</w:t>
        <w:tab/>
        <w:t>JUDGE [REDACTED]</w:t>
      </w:r>
    </w:p>
    <w:p w14:paraId="26B86AA0" w14:textId="77777777" w:rsidR="00FE26C3" w:rsidRDefault="00FE26C3" w:rsidP="00FE26C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0BDF3333" w14:textId="77777777" w:rsidR="00FE26C3" w:rsidRDefault="00FE26C3" w:rsidP="00FE26C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Defendant.</w:t>
        <w:tab/>
        <w:tab/>
        <w:tab/>
        <w:tab/>
        <w:t>*</w:t>
      </w:r>
    </w:p>
    <w:p w14:paraId="0CBBF26A" w14:textId="77777777" w:rsidR="00FE26C3" w:rsidRDefault="00FE26C3" w:rsidP="00FE26C3">
      <w:pPr>
        <w:spacing w:after="0" w:line="240" w:lineRule="auto"/>
        <w:jc w:val="both"/>
        <w:rPr>
          <w:rFonts w:ascii="Times New Roman" w:hAnsi="Times New Roman" w:cs="Times New Roman"/>
          <w:b/>
          <w:bCs/>
          <w:sz w:val="24"/>
          <w:szCs w:val="24"/>
        </w:rPr>
      </w:pPr>
    </w:p>
    <w:p w14:paraId="27F78428" w14:textId="77777777" w:rsidR="00232395" w:rsidRDefault="00FE26C3" w:rsidP="00FE26C3">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MOTION TO SUPPRESS ILLLEGAL SEARCH OF RESIDENCE </w:t>
      </w:r>
    </w:p>
    <w:p w14:paraId="214F798B" w14:textId="53A2CF4C" w:rsidR="00FE26C3" w:rsidRDefault="00FE26C3" w:rsidP="00FE26C3">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&amp; MEMORANDUM IN SUPPORT </w:t>
      </w:r>
    </w:p>
    <w:p w14:paraId="00F68358" w14:textId="77777777" w:rsidR="00FE26C3" w:rsidRDefault="00FE26C3" w:rsidP="00FE26C3">
      <w:pPr>
        <w:spacing w:after="0" w:line="240" w:lineRule="auto"/>
        <w:jc w:val="center"/>
        <w:rPr>
          <w:rFonts w:ascii="Times New Roman" w:hAnsi="Times New Roman" w:cs="Times New Roman"/>
          <w:b/>
          <w:bCs/>
          <w:sz w:val="24"/>
          <w:szCs w:val="24"/>
          <w:u w:val="single"/>
        </w:rPr>
      </w:pPr>
    </w:p>
    <w:p w14:paraId="0C198324" w14:textId="3FEBFB68" w:rsidR="00FE26C3" w:rsidRDefault="00FE26C3" w:rsidP="00FE26C3">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t xml:space="preserve">COMES NOW, </w:t>
      </w:r>
      <w:r>
        <w:rPr>
          <w:rFonts w:ascii="Times New Roman" w:hAnsi="Times New Roman" w:cs="Times New Roman"/>
          <w:sz w:val="24"/>
          <w:szCs w:val="24"/>
        </w:rPr>
        <w:t>the Defendant, [DEFENDANT NAME], by and through counsel, [DEFENSE ATTORNEY], pursuant to Article 1, § 7 of the Tennessee Constitution and the 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Amendment to the United States Constitution, and hereby files this Motion to Suppress the illegal search of his residence &amp; Memorandum in Support.  The Defendant would show as follows:</w:t>
      </w:r>
    </w:p>
    <w:p w14:paraId="28EEF40D" w14:textId="0D79FBEE" w:rsidR="00FE26C3" w:rsidRDefault="00FE26C3" w:rsidP="00FE26C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1.</w:t>
        <w:tab/>
        <w:t>On [DATE 2016], officers with the [City] Police Department responded to [DEFENDANT RESIDENCE ADDRESS] on a “disorder with a weapon.”</w:t>
      </w:r>
    </w:p>
    <w:p w14:paraId="1BC29A6E" w14:textId="19EF0198" w:rsidR="00FE26C3" w:rsidRDefault="00FE26C3" w:rsidP="00FE26C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w:t>
        <w:tab/>
        <w:t>Maternal grand-mother, Jeanette [WITNESS] had called 911 and reported to 911 officials that she was leaving the residence.</w:t>
      </w:r>
    </w:p>
    <w:p w14:paraId="011CF6F2" w14:textId="5D95BB6F" w:rsidR="00FE26C3" w:rsidRDefault="00FE26C3" w:rsidP="00FE26C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3.</w:t>
        <w:tab/>
        <w:t>When the police arrived, upon information and belief, the [WITNESS] had left the residence and were driving away from the scene, i.e. [DEFENDANT] home with his fiancé.  Counsel believes that law enforcement stopped the victims in their vehicle as they attempted to leave the scene.  At all material times, [DEFENDANT] was outside his residence, standing near the road when police arrived.  Police note in their affidavit, that upon their arrival, they found the [WITNESS] “separated” from [DEFENDANT].</w:t>
      </w:r>
    </w:p>
    <w:p w14:paraId="5D3C4000" w14:textId="708121C3" w:rsidR="00FE26C3" w:rsidRDefault="00FE26C3" w:rsidP="00FE26C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4.</w:t>
        <w:tab/>
        <w:t>As soon as police found [DEFENDANT] standing near the road, they “seized” him effectively placing him into custody.</w:t>
      </w:r>
    </w:p>
    <w:p w14:paraId="609D1406" w14:textId="3B794CEB" w:rsidR="00FE26C3" w:rsidRDefault="00FE26C3" w:rsidP="00FE26C3">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5.</w:t>
        <w:tab/>
        <w:t xml:space="preserve">Police asked [DEFENDANT] if they could search the residence and he replied no.  See </w:t>
      </w:r>
      <w:r>
        <w:rPr>
          <w:rFonts w:ascii="Times New Roman" w:hAnsi="Times New Roman" w:cs="Times New Roman"/>
          <w:i/>
          <w:iCs/>
          <w:sz w:val="24"/>
          <w:szCs w:val="24"/>
        </w:rPr>
        <w:t>Georgia v. Randolph</w:t>
      </w:r>
      <w:r>
        <w:rPr>
          <w:rFonts w:ascii="Times New Roman" w:hAnsi="Times New Roman" w:cs="Times New Roman"/>
          <w:sz w:val="24"/>
          <w:szCs w:val="24"/>
        </w:rPr>
        <w:t>, 547 U.S. 103, 126 S.Ct. 1515 (2006).  Upon information and belief, [DEFENDANT]’ fiancé also denied police permission to search the residence.</w:t>
      </w:r>
    </w:p>
    <w:p w14:paraId="1CA6B3DC" w14:textId="0B2B4A81" w:rsidR="00FE26C3" w:rsidRDefault="00FE26C3" w:rsidP="00FE26C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6.</w:t>
        <w:tab/>
        <w:t>Without a warrant and without consent, police entered the residence and conducted a search of the residence for approximately twenty (20) to twenty-five (25) minutes.  The Affidavit states that “police searched the residence but did not find the rifle inside.”</w:t>
      </w:r>
    </w:p>
    <w:p w14:paraId="7F15FE16" w14:textId="16D5F535" w:rsidR="00FE26C3" w:rsidRDefault="00FE26C3" w:rsidP="00FE26C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7.</w:t>
        <w:tab/>
        <w:t>Next, after searching the house, the police then searched the backyard of the residence.  Police searched the back-yard area for approximately twenty (20) to twenty-five (25) additional minutes.  The Affidavit of Complaint states, “during a search of the back yard, police found a bolt-action mauser rifle lying on the ground behind a tool shed.  The ground was damp from rain earlier in the day; the rifle was dry.”  Police then showed the rifle to Mr. Eiglesbach who identified the rifle as the one used by Jones.</w:t>
      </w:r>
    </w:p>
    <w:p w14:paraId="7CA8BBF5" w14:textId="77777777" w:rsidR="004F3DC5" w:rsidRPr="004F3DC5" w:rsidRDefault="004F3DC5" w:rsidP="004F3DC5">
      <w:pPr>
        <w:keepNext/>
        <w:spacing w:after="0" w:line="480" w:lineRule="auto"/>
        <w:jc w:val="center"/>
        <w:outlineLvl w:val="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STATEMENT OF THE LAW</w:t>
      </w:r>
    </w:p>
    <w:p w14:paraId="4853E518" w14:textId="77777777" w:rsidR="004F3DC5" w:rsidRDefault="004F3DC5" w:rsidP="004F3DC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Fourth Amendment to the United States Constitution made applicable to the states provides  “the right of the people to be secure in their persons, houses, papers, and effects, against unreasonable searches and seizures, shall not be violated, and no warrant shall issue, whereupon probable cause, supported by oath or affirmation, and particularly describing the place to be searched, and the person or things to be seized.”   </w:t>
      </w:r>
    </w:p>
    <w:p w14:paraId="703FA1DC" w14:textId="15430CEF" w:rsidR="004F3DC5" w:rsidRPr="004F3DC5" w:rsidRDefault="004F3DC5" w:rsidP="004F3DC5">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Tennessee Constitution has a similar provision under Article 1, Section 7 which states “people shall be secure in their persons, houses, papers and possessions from unreasonable searches and seizures; and that general warrants, whereby an officer may be commanded to search suspected places, without evidence of the fact committed, or to seize any person or persons not named, whose offenses are not particularly described and supported by evidence, are dangerous to </w:t>
        <w:lastRenderedPageBreak/>
        <w:t xml:space="preserve">liberty and ought not to be granted.”   Both these provisions are intended to “safeguard the privacy and security of individuals against arbitrary invasions of government officials.”   </w:t>
      </w:r>
      <w:r>
        <w:rPr>
          <w:rFonts w:ascii="Times New Roman" w:eastAsia="Times New Roman" w:hAnsi="Times New Roman" w:cs="Times New Roman"/>
          <w:i/>
          <w:iCs/>
          <w:sz w:val="24"/>
          <w:szCs w:val="24"/>
        </w:rPr>
        <w:t xml:space="preserve">State v. Keith, </w:t>
      </w:r>
      <w:r>
        <w:rPr>
          <w:rFonts w:ascii="Times New Roman" w:eastAsia="Times New Roman" w:hAnsi="Times New Roman" w:cs="Times New Roman"/>
          <w:sz w:val="24"/>
          <w:szCs w:val="24"/>
        </w:rPr>
        <w:t>978 S.W.2d 861, 865 (</w:t>
      </w:r>
      <w:smartTag w:uri="urn:schemas-microsoft-com:office:smarttags" w:element="State">
        <w:smartTag w:uri="urn:schemas-microsoft-com:office:smarttags" w:element="place">
          <w:r>
            <w:rPr>
              <w:rFonts w:ascii="Times New Roman" w:eastAsia="Times New Roman" w:hAnsi="Times New Roman" w:cs="Times New Roman"/>
              <w:sz w:val="24"/>
              <w:szCs w:val="24"/>
            </w:rPr>
            <w:t>Tenn.</w:t>
          </w:r>
        </w:smartTag>
      </w:smartTag>
      <w:r>
        <w:rPr>
          <w:rFonts w:ascii="Times New Roman" w:eastAsia="Times New Roman" w:hAnsi="Times New Roman" w:cs="Times New Roman"/>
          <w:sz w:val="24"/>
          <w:szCs w:val="24"/>
        </w:rPr>
        <w:t xml:space="preserve"> 1998).</w:t>
      </w:r>
    </w:p>
    <w:p w14:paraId="162EF5F0" w14:textId="77777777" w:rsidR="008417B3" w:rsidRDefault="004F3DC5" w:rsidP="004F3DC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Under both the Federal and State Constitutions, warrantless seizures are presumed unreasonable and the evidence obtained from such a seizure should be suppressed unless the State demonstrates by preponderance of the evidence that the search or seizure was conducted pursuant to an exception to the warrant requirement.   </w:t>
      </w:r>
      <w:r>
        <w:rPr>
          <w:rFonts w:ascii="Times New Roman" w:eastAsia="Times New Roman" w:hAnsi="Times New Roman" w:cs="Times New Roman"/>
          <w:i/>
          <w:iCs/>
          <w:sz w:val="24"/>
          <w:szCs w:val="24"/>
        </w:rPr>
        <w:t>State v. Watkins</w:t>
      </w:r>
      <w:r>
        <w:rPr>
          <w:rFonts w:ascii="Times New Roman" w:eastAsia="Times New Roman" w:hAnsi="Times New Roman" w:cs="Times New Roman"/>
          <w:sz w:val="24"/>
          <w:szCs w:val="24"/>
        </w:rPr>
        <w:t>, 827 S.W.2d 293, 295 (</w:t>
      </w:r>
      <w:smartTag w:uri="urn:schemas-microsoft-com:office:smarttags" w:element="State">
        <w:smartTag w:uri="urn:schemas-microsoft-com:office:smarttags" w:element="place">
          <w:r>
            <w:rPr>
              <w:rFonts w:ascii="Times New Roman" w:eastAsia="Times New Roman" w:hAnsi="Times New Roman" w:cs="Times New Roman"/>
              <w:sz w:val="24"/>
              <w:szCs w:val="24"/>
            </w:rPr>
            <w:t>Tenn.</w:t>
          </w:r>
        </w:smartTag>
      </w:smartTag>
      <w:r>
        <w:rPr>
          <w:rFonts w:ascii="Times New Roman" w:eastAsia="Times New Roman" w:hAnsi="Times New Roman" w:cs="Times New Roman"/>
          <w:sz w:val="24"/>
          <w:szCs w:val="24"/>
        </w:rPr>
        <w:t xml:space="preserve"> 1992).</w:t>
      </w:r>
    </w:p>
    <w:p w14:paraId="7C63402C" w14:textId="0E848808" w:rsidR="004F3DC5" w:rsidRDefault="008417B3" w:rsidP="004F3DC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Further, in </w:t>
      </w:r>
      <w:r>
        <w:rPr>
          <w:rFonts w:ascii="Times New Roman" w:eastAsia="Times New Roman" w:hAnsi="Times New Roman" w:cs="Times New Roman"/>
          <w:i/>
          <w:iCs/>
          <w:sz w:val="24"/>
          <w:szCs w:val="24"/>
        </w:rPr>
        <w:t>Georgia v. Randolph</w:t>
      </w:r>
      <w:r>
        <w:rPr>
          <w:rFonts w:ascii="Times New Roman" w:eastAsia="Times New Roman" w:hAnsi="Times New Roman" w:cs="Times New Roman"/>
          <w:sz w:val="24"/>
          <w:szCs w:val="24"/>
        </w:rPr>
        <w:t xml:space="preserve">, </w:t>
      </w:r>
      <w:r>
        <w:rPr>
          <w:rFonts w:ascii="Times New Roman" w:hAnsi="Times New Roman" w:cs="Times New Roman"/>
          <w:sz w:val="24"/>
          <w:szCs w:val="24"/>
        </w:rPr>
        <w:t>547 U.S. 103, 126 S.Ct. 1515 (2006), the United States Supreme Court found a warrantless search as unreasonable and unconstitutional when the Defendant who was physically present, expressly refused consent to search the home.</w:t>
      </w:r>
    </w:p>
    <w:p w14:paraId="54315880" w14:textId="0DB52528" w:rsidR="004F3DC5" w:rsidRDefault="004F3DC5" w:rsidP="004F3DC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the present case, none of the exceptions to the warrant requirement apply.  [DEFENDANT] was present and expressly refused consent.  This was not a </w:t>
      </w:r>
      <w:r>
        <w:rPr>
          <w:rFonts w:ascii="Times New Roman" w:eastAsia="Times New Roman" w:hAnsi="Times New Roman" w:cs="Times New Roman"/>
          <w:i/>
          <w:iCs/>
          <w:sz w:val="24"/>
          <w:szCs w:val="24"/>
        </w:rPr>
        <w:t>Terry</w:t>
      </w:r>
      <w:r>
        <w:rPr>
          <w:rFonts w:ascii="Times New Roman" w:eastAsia="Times New Roman" w:hAnsi="Times New Roman" w:cs="Times New Roman"/>
          <w:sz w:val="24"/>
          <w:szCs w:val="24"/>
        </w:rPr>
        <w:t xml:space="preserve"> search, nor did it involve plain view.  Further, officers found [DEFENDANT] standing outside near the roadway without a weapon and effectuated a seizure and arrest of his person.  A search incident to arrest does not allow a 20-25 minute search of one’s residence and a subsequent 20-25 minute search of [DEFENDANT]’ back yard.  Further, any exigent circumstances long expired well before the officers’ twenty (20) minute search ended in this case.</w:t>
      </w:r>
    </w:p>
    <w:p w14:paraId="0EB72021" w14:textId="33C626E1" w:rsidR="004F3DC5" w:rsidRDefault="004F3DC5" w:rsidP="004F3DC5">
      <w:pPr>
        <w:spacing w:after="0" w:line="240" w:lineRule="auto"/>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Regarding exigent circumstances, Tennessee Courts have held the following as “frequently-arising situations that have been found to be sufficiently exigent to render a warrantless search of a domicile reasonable: (1) hot-pursuit, (2) to thwart escape, (3) to prevent the imminent destruction of evidence, (4) in response to an immediate risk of serious harm to the police officers or others, and (5) to render emergency aid to an injured person or to protect a person from imminent injury. </w:t>
      </w:r>
      <w:hyperlink r:id="rId10" w:history="1">
        <w:r>
          <w:rPr>
            <w:rFonts w:ascii="Times New Roman" w:eastAsia="Times New Roman" w:hAnsi="Times New Roman" w:cs="Times New Roman"/>
            <w:i/>
            <w:iCs/>
            <w:sz w:val="24"/>
            <w:szCs w:val="24"/>
          </w:rPr>
          <w:t>Brigham City, Utah v. Stuart,</w:t>
        </w:r>
        <w:r>
          <w:rPr>
            <w:rFonts w:ascii="Times New Roman" w:eastAsia="Times New Roman" w:hAnsi="Times New Roman" w:cs="Times New Roman"/>
            <w:sz w:val="24"/>
            <w:szCs w:val="24"/>
          </w:rPr>
          <w:t> 547 U.S. at 403, 126 S.Ct. 1943;</w:t>
        </w:r>
      </w:hyperlink>
      <w:r>
        <w:rPr>
          <w:rFonts w:ascii="Times New Roman" w:eastAsia="Times New Roman" w:hAnsi="Times New Roman" w:cs="Times New Roman"/>
          <w:sz w:val="24"/>
          <w:szCs w:val="24"/>
        </w:rPr>
        <w:t> </w:t>
      </w:r>
      <w:hyperlink r:id="rId11" w:history="1">
        <w:r>
          <w:rPr>
            <w:rFonts w:ascii="Times New Roman" w:eastAsia="Times New Roman" w:hAnsi="Times New Roman" w:cs="Times New Roman"/>
            <w:i/>
            <w:iCs/>
            <w:sz w:val="24"/>
            <w:szCs w:val="24"/>
          </w:rPr>
          <w:t>Minnesota v. Olson,</w:t>
        </w:r>
        <w:r>
          <w:rPr>
            <w:rFonts w:ascii="Times New Roman" w:eastAsia="Times New Roman" w:hAnsi="Times New Roman" w:cs="Times New Roman"/>
            <w:sz w:val="24"/>
            <w:szCs w:val="24"/>
          </w:rPr>
          <w:t> 495 U.S. 91, 100, 110 S.Ct. 1684, 109 L.Ed.2d 85 (1990)</w:t>
        </w:r>
      </w:hyperlink>
      <w:r>
        <w:rPr>
          <w:rFonts w:ascii="Times New Roman" w:eastAsia="Times New Roman" w:hAnsi="Times New Roman" w:cs="Times New Roman"/>
          <w:sz w:val="24"/>
          <w:szCs w:val="24"/>
        </w:rPr>
        <w:t>; </w:t>
      </w:r>
      <w:hyperlink r:id="rId12" w:anchor="co_pp_sp_506_782" w:history="1">
        <w:r>
          <w:rPr>
            <w:rFonts w:ascii="Times New Roman" w:eastAsia="Times New Roman" w:hAnsi="Times New Roman" w:cs="Times New Roman"/>
            <w:i/>
            <w:iCs/>
            <w:sz w:val="24"/>
            <w:szCs w:val="24"/>
          </w:rPr>
          <w:t>United States v. Huffman,</w:t>
        </w:r>
        <w:r>
          <w:rPr>
            <w:rFonts w:ascii="Times New Roman" w:eastAsia="Times New Roman" w:hAnsi="Times New Roman" w:cs="Times New Roman"/>
            <w:sz w:val="24"/>
            <w:szCs w:val="24"/>
          </w:rPr>
          <w:t> 461 F.3d 777, 782 (6th Cir.2006)</w:t>
        </w:r>
      </w:hyperlink>
      <w:r>
        <w:rPr>
          <w:rFonts w:ascii="Times New Roman" w:eastAsia="Times New Roman" w:hAnsi="Times New Roman" w:cs="Times New Roman"/>
          <w:sz w:val="24"/>
          <w:szCs w:val="24"/>
        </w:rPr>
        <w:t>; </w:t>
      </w:r>
      <w:hyperlink r:id="rId13" w:anchor="co_pp_sp_4644_321" w:history="1">
        <w:r>
          <w:rPr>
            <w:rFonts w:ascii="Times New Roman" w:eastAsia="Times New Roman" w:hAnsi="Times New Roman" w:cs="Times New Roman"/>
            <w:i/>
            <w:iCs/>
            <w:sz w:val="24"/>
            <w:szCs w:val="24"/>
          </w:rPr>
          <w:t>State v. Adams,</w:t>
        </w:r>
        <w:r>
          <w:rPr>
            <w:rFonts w:ascii="Times New Roman" w:eastAsia="Times New Roman" w:hAnsi="Times New Roman" w:cs="Times New Roman"/>
            <w:sz w:val="24"/>
            <w:szCs w:val="24"/>
          </w:rPr>
          <w:t> 238 S.W.3d 313, 321 (Tenn.Crim.App.2005)</w:t>
        </w:r>
      </w:hyperlink>
      <w:r>
        <w:rPr>
          <w:rFonts w:ascii="Times New Roman" w:eastAsia="Times New Roman" w:hAnsi="Times New Roman" w:cs="Times New Roman"/>
          <w:sz w:val="24"/>
          <w:szCs w:val="24"/>
        </w:rPr>
        <w:t>.</w:t>
      </w:r>
    </w:p>
    <w:p w14:paraId="53CE5BAE" w14:textId="2EA0092A" w:rsidR="004F3DC5" w:rsidRDefault="004F3DC5" w:rsidP="007A4DF6">
      <w:pPr>
        <w:spacing w:after="0" w:line="240" w:lineRule="auto"/>
        <w:jc w:val="both"/>
        <w:rPr>
          <w:rFonts w:ascii="Times New Roman" w:eastAsia="Times New Roman" w:hAnsi="Times New Roman" w:cs="Times New Roman"/>
          <w:sz w:val="24"/>
          <w:szCs w:val="24"/>
        </w:rPr>
      </w:pPr>
    </w:p>
    <w:p w14:paraId="003B20AF" w14:textId="77777777" w:rsidR="004A0E38" w:rsidRDefault="004F3DC5" w:rsidP="007A4DF6">
      <w:pPr>
        <w:spacing w:after="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Further, Tennessee Courts have defined exigent circumstances as “those in which the urgent need for immediate action becomes too compelling to impose upon governmental actors the attendant delay that accompanies obtaining a warrant.”</w:t>
      </w:r>
      <w:r>
        <w:rPr>
          <w:rFonts w:ascii="Times New Roman" w:hAnsi="Times New Roman" w:cs="Times New Roman"/>
          <w:sz w:val="24"/>
          <w:szCs w:val="24"/>
        </w:rPr>
        <w:t xml:space="preserve"> </w:t>
      </w:r>
      <w:hyperlink r:id="rId14" w:history="1">
        <w:r>
          <w:rPr>
            <w:rStyle w:val="Emphasis"/>
            <w:rFonts w:ascii="Times New Roman" w:hAnsi="Times New Roman" w:cs="Times New Roman"/>
            <w:sz w:val="24"/>
            <w:szCs w:val="24"/>
          </w:rPr>
          <w:t>State v. Inghram,</w:t>
        </w:r>
        <w:r>
          <w:rPr>
            <w:rStyle w:val="Hyperlink"/>
            <w:rFonts w:ascii="Times New Roman" w:hAnsi="Times New Roman" w:cs="Times New Roman"/>
            <w:color w:val="auto"/>
            <w:sz w:val="24"/>
            <w:szCs w:val="24"/>
            <w:u w:val="none"/>
          </w:rPr>
          <w:t xml:space="preserve"> 2007 WL 2011132, at *4 (Tenn.Crim.App. July 11, 2007)</w:t>
        </w:r>
      </w:hyperlink>
      <w:r>
        <w:rPr>
          <w:rFonts w:ascii="Times New Roman" w:hAnsi="Times New Roman" w:cs="Times New Roman"/>
          <w:sz w:val="24"/>
          <w:szCs w:val="24"/>
        </w:rPr>
        <w:t xml:space="preserve">.  </w:t>
      </w:r>
    </w:p>
    <w:p w14:paraId="69F616BF" w14:textId="1EC82B8A" w:rsidR="004F3DC5" w:rsidRPr="007A4DF6" w:rsidRDefault="007A4DF6" w:rsidP="007A4DF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Courts have directed trial court to apply the following principals:</w:t>
      </w:r>
    </w:p>
    <w:p w14:paraId="5922CB9F" w14:textId="48A59972" w:rsidR="004F3DC5" w:rsidRDefault="007A4DF6" w:rsidP="001D172F">
      <w:pPr>
        <w:spacing w:after="0" w:line="240" w:lineRule="auto"/>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 assessing the constitutionality of a warrantless search, the inquiry is whether the circumstances give rise to an objectively reasonable belief that there was a compelling need to act and insufficient time to obtain a warrant. The exigency of the circumstances is evaluated based upon the totality of the circumstances</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known to the governmental actor at the time of the entry. Mere speculation is inadequate; rather, the State must rely upon specific and articulable facts and the reasonable inferences drawn from them. The circumstances are viewed from an objective perspective; the governmental actor's subjective intent is irrelevant. The manner and the scope of the search must be reasonably attuned to the exigent circumstances that justified the warrantless search, or the search will exceed the bounds authorized by exigency alone. Where the asserted ground of exigency is risk to the safety of the officers or others, the governmental actors must have an objectively reasonable basis for concluding that there is an immediate need to act to protect themselves and others from serious harm.  </w:t>
      </w:r>
      <w:r>
        <w:rPr>
          <w:rFonts w:ascii="Times New Roman" w:eastAsia="Times New Roman" w:hAnsi="Times New Roman" w:cs="Times New Roman"/>
          <w:i/>
          <w:iCs/>
          <w:sz w:val="24"/>
          <w:szCs w:val="24"/>
        </w:rPr>
        <w:t>State v. Meeks</w:t>
      </w:r>
      <w:r>
        <w:rPr>
          <w:rFonts w:ascii="Times New Roman" w:eastAsia="Times New Roman" w:hAnsi="Times New Roman" w:cs="Times New Roman"/>
          <w:sz w:val="24"/>
          <w:szCs w:val="24"/>
        </w:rPr>
        <w:t xml:space="preserve">, 262 S.W.3d 710, 723-724 (Tenn. 2008). </w:t>
      </w:r>
    </w:p>
    <w:p w14:paraId="13FC781E" w14:textId="77777777" w:rsidR="001D172F" w:rsidRDefault="001D172F" w:rsidP="001D172F">
      <w:pPr>
        <w:spacing w:after="0" w:line="240" w:lineRule="auto"/>
        <w:ind w:left="720" w:right="720"/>
        <w:jc w:val="both"/>
        <w:rPr>
          <w:rFonts w:ascii="Times New Roman" w:eastAsia="Times New Roman" w:hAnsi="Times New Roman" w:cs="Times New Roman"/>
          <w:sz w:val="24"/>
          <w:szCs w:val="24"/>
        </w:rPr>
      </w:pPr>
    </w:p>
    <w:p w14:paraId="0B3277AA" w14:textId="744C3032" w:rsidR="004F3DC5" w:rsidRDefault="007A4DF6" w:rsidP="004F3DC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w:t>
      </w:r>
      <w:r>
        <w:rPr>
          <w:rFonts w:ascii="Times New Roman" w:eastAsia="Times New Roman" w:hAnsi="Times New Roman" w:cs="Times New Roman"/>
          <w:i/>
          <w:iCs/>
          <w:sz w:val="24"/>
          <w:szCs w:val="24"/>
        </w:rPr>
        <w:t>State v. Tyler</w:t>
      </w:r>
      <w:r>
        <w:rPr>
          <w:rFonts w:ascii="Times New Roman" w:eastAsia="Times New Roman" w:hAnsi="Times New Roman" w:cs="Times New Roman"/>
          <w:sz w:val="24"/>
          <w:szCs w:val="24"/>
        </w:rPr>
        <w:t xml:space="preserve">, 598 S.W.2d 798 (Tenn.Crim.App. 1980), the Tennessee Court of Appeals found that there was no exigent circumstances to justify a warrantless search of a residence once the victim had been located and tended to, and the Defendant arrested.  The Court reasoned that there was nothing to prevent police officers from posting guard at the trailer where the shooting occurred until a warrant could be obtained.  Further, the child could have been removed and no one else would have been present at the trailer who might have destroyed or altered evidence.  </w:t>
      </w:r>
      <w:r>
        <w:rPr>
          <w:rFonts w:ascii="Times New Roman" w:eastAsia="Times New Roman" w:hAnsi="Times New Roman" w:cs="Times New Roman"/>
          <w:i/>
          <w:iCs/>
          <w:sz w:val="24"/>
          <w:szCs w:val="24"/>
        </w:rPr>
        <w:t>Id</w:t>
      </w:r>
      <w:r>
        <w:rPr>
          <w:rFonts w:ascii="Times New Roman" w:eastAsia="Times New Roman" w:hAnsi="Times New Roman" w:cs="Times New Roman"/>
          <w:sz w:val="24"/>
          <w:szCs w:val="24"/>
        </w:rPr>
        <w:t>.</w:t>
      </w:r>
    </w:p>
    <w:p w14:paraId="1DAC5EA0" w14:textId="0E4C9620" w:rsidR="001D172F" w:rsidRDefault="001D172F" w:rsidP="004F3DC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These officers in the present case conducted a full-scale search of both [DEFENDANT]’ home and backyard which lasted for an extended period of time, approximately 40-50 minutes.  All while [DEFENDANT] and the alleged victims were standing outside on the driveway and/or near the road.  Mr. </w:t>
        <w:lastRenderedPageBreak/>
        <w:t xml:space="preserve">Jones was in custody at all material times and any subsequent search does not meet the definition of exigent circumstances as defined by Tennessee jurisprudence. </w:t>
      </w:r>
    </w:p>
    <w:p w14:paraId="473501C5" w14:textId="413CA6BF" w:rsidR="001D172F" w:rsidRPr="003B0323" w:rsidRDefault="001D172F" w:rsidP="00FE26C3">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WHEREFORE PREMISES CONSIDERED</w:t>
      </w:r>
      <w:r>
        <w:rPr>
          <w:rFonts w:ascii="Times New Roman" w:eastAsia="Times New Roman" w:hAnsi="Times New Roman" w:cs="Times New Roman"/>
          <w:sz w:val="24"/>
          <w:szCs w:val="24"/>
        </w:rPr>
        <w:t xml:space="preserve">, the Defendant requests that this Court enter an Order suppressing (1) the rifle discovered by law enforcement; (2) any evidence, inferences, or arguments regarding said rifle; (3) the identification of said rifle by the alleged victim(s) in this case; and (4) any fruit of the poisonous tree that has been or may be derived from the illegal search and seizure involved in this case. </w:t>
      </w:r>
    </w:p>
    <w:p w14:paraId="0C0FBDCD" w14:textId="77777777" w:rsidR="001D172F" w:rsidRPr="00225972" w:rsidRDefault="001D172F" w:rsidP="00FE26C3">
      <w:pPr>
        <w:spacing w:after="0" w:line="480" w:lineRule="auto"/>
        <w:jc w:val="both"/>
        <w:rPr>
          <w:rFonts w:ascii="Times New Roman" w:hAnsi="Times New Roman" w:cs="Times New Roman"/>
          <w:sz w:val="24"/>
          <w:szCs w:val="24"/>
        </w:rPr>
      </w:pPr>
    </w:p>
    <w:p w14:paraId="3231E134" w14:textId="77777777" w:rsidR="00FE26C3" w:rsidRPr="00742BAB" w:rsidRDefault="00FE26C3" w:rsidP="00FE26C3">
      <w:pPr>
        <w:spacing w:after="0" w:line="480" w:lineRule="auto"/>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Respectfully Submitted:</w:t>
      </w:r>
    </w:p>
    <w:p w14:paraId="3E994389" w14:textId="77777777" w:rsidR="00FE26C3" w:rsidRDefault="00FE26C3" w:rsidP="00FE26C3">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b/>
          <w:sz w:val="24"/>
          <w:szCs w:val="24"/>
        </w:rPr>
        <w:t>[DEFENSE LAW FIRM]</w:t>
      </w:r>
    </w:p>
    <w:p w14:paraId="18C0A8BA" w14:textId="77777777" w:rsidR="00FE26C3" w:rsidRPr="00742BAB" w:rsidRDefault="00FE26C3" w:rsidP="00FE26C3">
      <w:pPr>
        <w:spacing w:after="0" w:line="240" w:lineRule="auto"/>
        <w:jc w:val="both"/>
        <w:rPr>
          <w:rFonts w:ascii="Times New Roman" w:eastAsia="Times New Roman" w:hAnsi="Times New Roman" w:cs="Times New Roman"/>
          <w:b/>
          <w:sz w:val="24"/>
          <w:szCs w:val="24"/>
        </w:rPr>
      </w:pPr>
    </w:p>
    <w:p w14:paraId="3215A5C3" w14:textId="77777777" w:rsidR="00FE26C3" w:rsidRPr="00742BAB" w:rsidRDefault="00FE26C3" w:rsidP="00FE26C3">
      <w:pPr>
        <w:spacing w:after="0" w:line="240" w:lineRule="auto"/>
        <w:jc w:val="both"/>
        <w:rPr>
          <w:rFonts w:ascii="Times New Roman" w:eastAsia="Times New Roman" w:hAnsi="Times New Roman" w:cs="Times New Roman"/>
          <w:b/>
          <w:sz w:val="24"/>
          <w:szCs w:val="24"/>
        </w:rPr>
      </w:pPr>
    </w:p>
    <w:p w14:paraId="0384FA8B" w14:textId="74836C46" w:rsidR="00FE26C3" w:rsidRPr="00742BAB" w:rsidRDefault="00FE26C3" w:rsidP="00FE26C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1F8C4BAA" w14:textId="77777777" w:rsidR="00FE26C3" w:rsidRPr="00742BAB" w:rsidRDefault="00FE26C3" w:rsidP="00FE26C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[BAR NUMBER]</w:t>
      </w:r>
    </w:p>
    <w:p w14:paraId="643F6FD4" w14:textId="77777777" w:rsidR="00FE26C3" w:rsidRPr="00742BAB" w:rsidRDefault="00FE26C3" w:rsidP="00FE26C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ADDRESS] </w:t>
      </w:r>
    </w:p>
    <w:p w14:paraId="70B20542" w14:textId="77777777" w:rsidR="00FE26C3" w:rsidRPr="00742BAB" w:rsidRDefault="00FE26C3" w:rsidP="00FE26C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CITY, STATE ZIP]</w:t>
      </w:r>
    </w:p>
    <w:p w14:paraId="7880AEBB" w14:textId="77777777" w:rsidR="00FE26C3" w:rsidRDefault="00FE26C3" w:rsidP="00FE26C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[PHONE]</w:t>
      </w:r>
    </w:p>
    <w:p w14:paraId="7BBC4294" w14:textId="77777777" w:rsidR="00FE26C3" w:rsidRDefault="00FE26C3" w:rsidP="00FE26C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[FAX] </w:t>
      </w:r>
    </w:p>
    <w:p w14:paraId="00531158" w14:textId="77777777" w:rsidR="00FE26C3" w:rsidRDefault="00FE26C3" w:rsidP="00FE26C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EMAIL]</w:t>
      </w:r>
    </w:p>
    <w:p w14:paraId="0DCD0DE6" w14:textId="77777777" w:rsidR="00FE26C3" w:rsidRDefault="00FE26C3" w:rsidP="00FE26C3">
      <w:pPr>
        <w:spacing w:after="0" w:line="240" w:lineRule="auto"/>
        <w:jc w:val="both"/>
        <w:rPr>
          <w:rFonts w:ascii="Times New Roman" w:eastAsia="Times New Roman" w:hAnsi="Times New Roman" w:cs="Times New Roman"/>
          <w:sz w:val="24"/>
          <w:szCs w:val="24"/>
        </w:rPr>
      </w:pPr>
    </w:p>
    <w:p w14:paraId="0E9AFB7D" w14:textId="77777777" w:rsidR="00FE26C3" w:rsidRPr="00742BAB" w:rsidRDefault="00FE26C3" w:rsidP="00FE26C3">
      <w:pPr>
        <w:spacing w:after="0" w:line="240" w:lineRule="auto"/>
        <w:jc w:val="both"/>
        <w:rPr>
          <w:rFonts w:ascii="Times New Roman" w:eastAsia="Times New Roman" w:hAnsi="Times New Roman" w:cs="Times New Roman"/>
          <w:sz w:val="24"/>
          <w:szCs w:val="24"/>
        </w:rPr>
      </w:pPr>
    </w:p>
    <w:p w14:paraId="6AAE9E77" w14:textId="77777777" w:rsidR="00FE26C3" w:rsidRPr="006C5675" w:rsidRDefault="00FE26C3" w:rsidP="00FE26C3">
      <w:pPr>
        <w:widowControl w:val="0"/>
        <w:autoSpaceDE w:val="0"/>
        <w:autoSpaceDN w:val="0"/>
        <w:adjustRightInd w:val="0"/>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CERTIFICATE OF SERVICE</w:t>
      </w:r>
    </w:p>
    <w:p w14:paraId="48022622" w14:textId="77777777" w:rsidR="00FE26C3" w:rsidRPr="00742BAB" w:rsidRDefault="00FE26C3" w:rsidP="00FE26C3">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157DCFC7" w14:textId="77777777" w:rsidR="00FE26C3" w:rsidRPr="00742BAB" w:rsidRDefault="00FE26C3" w:rsidP="00FE26C3">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is to certify that a true and exact copy of the foregoing document has been served on the following counsel of record by placing postage prepaid envelope in the United States Mail, by facsimile, and/or by email to the following:</w:t>
      </w:r>
    </w:p>
    <w:p w14:paraId="1698CE93" w14:textId="77777777" w:rsidR="00FE26C3" w:rsidRPr="00742BAB" w:rsidRDefault="00FE26C3" w:rsidP="00FE26C3">
      <w:pPr>
        <w:spacing w:after="0" w:line="240" w:lineRule="auto"/>
        <w:jc w:val="both"/>
        <w:rPr>
          <w:rFonts w:ascii="Times New Roman" w:eastAsia="Calibri" w:hAnsi="Times New Roman" w:cs="Times New Roman"/>
          <w:sz w:val="24"/>
          <w:szCs w:val="24"/>
        </w:rPr>
      </w:pPr>
    </w:p>
    <w:p w14:paraId="7F39A99A" w14:textId="77777777" w:rsidR="00FE26C3" w:rsidRDefault="00FE26C3" w:rsidP="00FE26C3">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Assistant District Attorney </w:t>
      </w:r>
    </w:p>
    <w:p w14:paraId="622C6EBB" w14:textId="77777777" w:rsidR="00FE26C3" w:rsidRPr="00742BAB" w:rsidRDefault="00FE26C3" w:rsidP="00FE26C3">
      <w:pPr>
        <w:spacing w:after="0" w:line="24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[County] District Attorney’s Office </w:t>
      </w:r>
    </w:p>
    <w:p w14:paraId="5DA0EA74" w14:textId="77777777" w:rsidR="00FE26C3" w:rsidRPr="00742BAB" w:rsidRDefault="00FE26C3" w:rsidP="00FE26C3">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ADDRESS] </w:t>
      </w:r>
    </w:p>
    <w:p w14:paraId="014F3AE9" w14:textId="77777777" w:rsidR="00FE26C3" w:rsidRPr="00742BAB" w:rsidRDefault="00FE26C3" w:rsidP="00FE26C3">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CITY, STATE ZIP] </w:t>
      </w:r>
    </w:p>
    <w:p w14:paraId="5793BD28" w14:textId="77777777" w:rsidR="00FE26C3" w:rsidRPr="00742BAB" w:rsidRDefault="00FE26C3" w:rsidP="00FE26C3">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59CC906E" w14:textId="480D0AB4" w:rsidR="00FE26C3" w:rsidRPr="00742BAB" w:rsidRDefault="00FE26C3" w:rsidP="00FE26C3">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This the __</w:t>
      </w:r>
      <w:r>
        <w:rPr>
          <w:rFonts w:ascii="Times New Roman" w:eastAsia="Times New Roman" w:hAnsi="Times New Roman" w:cs="Times New Roman"/>
          <w:sz w:val="24"/>
          <w:szCs w:val="24"/>
          <w:u w:val="single"/>
        </w:rPr>
        <w:t>15th</w:t>
      </w:r>
      <w:r>
        <w:rPr>
          <w:rFonts w:ascii="Times New Roman" w:eastAsia="Times New Roman" w:hAnsi="Times New Roman" w:cs="Times New Roman"/>
          <w:sz w:val="24"/>
          <w:szCs w:val="24"/>
        </w:rPr>
        <w:t xml:space="preserve">____ day of [DATE 2020]. </w:t>
      </w:r>
    </w:p>
    <w:p w14:paraId="17CDBCA8" w14:textId="77777777" w:rsidR="00FE26C3" w:rsidRPr="00742BAB" w:rsidRDefault="00FE26C3" w:rsidP="00FE26C3">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4ACB33B3" w14:textId="77777777" w:rsidR="00FE26C3" w:rsidRPr="00742BAB" w:rsidRDefault="00FE26C3" w:rsidP="00FE26C3">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708B3C7B" w14:textId="52C55FD4" w:rsidR="00FE26C3" w:rsidRPr="00742BAB" w:rsidRDefault="00FE26C3" w:rsidP="00FE26C3">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0E071355" w14:textId="74BE5E32" w:rsidR="002D01B0" w:rsidRDefault="00FE26C3" w:rsidP="00515EB3">
      <w:pPr>
        <w:widowControl w:val="0"/>
        <w:autoSpaceDE w:val="0"/>
        <w:autoSpaceDN w:val="0"/>
        <w:adjustRightInd w:val="0"/>
        <w:spacing w:after="0" w:line="240" w:lineRule="auto"/>
        <w:jc w:val="both"/>
      </w:pPr>
      <w:r>
        <w:rPr>
          <w:rFonts w:ascii="Times New Roman" w:eastAsia="Times New Roman" w:hAnsi="Times New Roman" w:cs="Times New Roman"/>
          <w:sz w:val="24"/>
          <w:szCs w:val="24"/>
        </w:rPr>
        <w:tab/>
        <w:tab/>
        <w:tab/>
        <w:tab/>
        <w:tab/>
        <w:tab/>
        <w:t xml:space="preserve">[DEFENSE ATTORNEY]  </w:t>
      </w:r>
    </w:p>
    <w:sectPr w:rsidR="002D01B0">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1622F7" w14:textId="77777777" w:rsidR="00FF1FC7" w:rsidRDefault="00FF1FC7" w:rsidP="001D172F">
      <w:pPr>
        <w:spacing w:after="0" w:line="240" w:lineRule="auto"/>
      </w:pPr>
      <w:r>
        <w:separator/>
      </w:r>
    </w:p>
  </w:endnote>
  <w:endnote w:type="continuationSeparator" w:id="0">
    <w:p w14:paraId="35A5EEF3" w14:textId="77777777" w:rsidR="00FF1FC7" w:rsidRDefault="00FF1FC7" w:rsidP="001D1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4"/>
        <w:szCs w:val="24"/>
      </w:rPr>
      <w:id w:val="-1372764376"/>
      <w:docPartObj>
        <w:docPartGallery w:val="Page Numbers (Bottom of Page)"/>
        <w:docPartUnique/>
      </w:docPartObj>
    </w:sdtPr>
    <w:sdtEndPr>
      <w:rPr>
        <w:noProof/>
      </w:rPr>
    </w:sdtEndPr>
    <w:sdtContent>
      <w:p w14:paraId="3EBCBC75" w14:textId="55B68B9D" w:rsidR="001D172F" w:rsidRPr="001D172F" w:rsidRDefault="001D172F">
        <w:pPr>
          <w:pStyle w:val="Footer"/>
          <w:jc w:val="center"/>
          <w:rPr>
            <w:rFonts w:ascii="Times New Roman" w:hAnsi="Times New Roman" w:cs="Times New Roman"/>
            <w:sz w:val="24"/>
            <w:szCs w:val="24"/>
          </w:rPr>
        </w:pPr>
        <w:r w:rsidRPr="001D172F">
          <w:rPr>
            <w:rFonts w:ascii="Times New Roman" w:hAnsi="Times New Roman" w:cs="Times New Roman"/>
            <w:sz w:val="24"/>
            <w:szCs w:val="24"/>
          </w:rPr>
          <w:fldChar w:fldCharType="begin"/>
        </w:r>
        <w:r w:rsidRPr="001D172F">
          <w:rPr>
            <w:rFonts w:ascii="Times New Roman" w:hAnsi="Times New Roman" w:cs="Times New Roman"/>
            <w:sz w:val="24"/>
            <w:szCs w:val="24"/>
          </w:rPr>
          <w:instrText xml:space="preserve"> PAGE   \* MERGEFORMAT </w:instrText>
        </w:r>
        <w:r w:rsidRPr="001D172F">
          <w:rPr>
            <w:rFonts w:ascii="Times New Roman" w:hAnsi="Times New Roman" w:cs="Times New Roman"/>
            <w:sz w:val="24"/>
            <w:szCs w:val="24"/>
          </w:rPr>
          <w:fldChar w:fldCharType="separate"/>
        </w:r>
        <w:r w:rsidRPr="001D172F">
          <w:rPr>
            <w:rFonts w:ascii="Times New Roman" w:hAnsi="Times New Roman" w:cs="Times New Roman"/>
            <w:noProof/>
            <w:sz w:val="24"/>
            <w:szCs w:val="24"/>
          </w:rPr>
          <w:t>2</w:t>
        </w:r>
        <w:r w:rsidRPr="001D172F">
          <w:rPr>
            <w:rFonts w:ascii="Times New Roman" w:hAnsi="Times New Roman" w:cs="Times New Roman"/>
            <w:noProof/>
            <w:sz w:val="24"/>
            <w:szCs w:val="24"/>
          </w:rPr>
          <w:fldChar w:fldCharType="end"/>
        </w:r>
      </w:p>
    </w:sdtContent>
  </w:sdt>
  <w:p w14:paraId="214051AE" w14:textId="77777777" w:rsidR="001D172F" w:rsidRDefault="001D1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0E6BD4" w14:textId="77777777" w:rsidR="00FF1FC7" w:rsidRDefault="00FF1FC7" w:rsidP="001D172F">
      <w:pPr>
        <w:spacing w:after="0" w:line="240" w:lineRule="auto"/>
      </w:pPr>
      <w:r>
        <w:separator/>
      </w:r>
    </w:p>
  </w:footnote>
  <w:footnote w:type="continuationSeparator" w:id="0">
    <w:p w14:paraId="6FB4E5E4" w14:textId="77777777" w:rsidR="00FF1FC7" w:rsidRDefault="00FF1FC7" w:rsidP="001D17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C3"/>
    <w:rsid w:val="00016EB3"/>
    <w:rsid w:val="000420EF"/>
    <w:rsid w:val="00071B96"/>
    <w:rsid w:val="001040DD"/>
    <w:rsid w:val="001642FD"/>
    <w:rsid w:val="001D172F"/>
    <w:rsid w:val="00232395"/>
    <w:rsid w:val="002A4270"/>
    <w:rsid w:val="002D01B0"/>
    <w:rsid w:val="002F7B3C"/>
    <w:rsid w:val="0038199D"/>
    <w:rsid w:val="003A4736"/>
    <w:rsid w:val="003B0323"/>
    <w:rsid w:val="003D5E82"/>
    <w:rsid w:val="004A0E38"/>
    <w:rsid w:val="004F3DC5"/>
    <w:rsid w:val="005112A2"/>
    <w:rsid w:val="00515EB3"/>
    <w:rsid w:val="005918BF"/>
    <w:rsid w:val="00717594"/>
    <w:rsid w:val="007A4DF6"/>
    <w:rsid w:val="008417B3"/>
    <w:rsid w:val="00843277"/>
    <w:rsid w:val="00BD665C"/>
    <w:rsid w:val="00D07512"/>
    <w:rsid w:val="00E5038B"/>
    <w:rsid w:val="00EF0F11"/>
    <w:rsid w:val="00F4413B"/>
    <w:rsid w:val="00FE26C3"/>
    <w:rsid w:val="00FE7EAD"/>
    <w:rsid w:val="00FF1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2405CA4D"/>
  <w15:chartTrackingRefBased/>
  <w15:docId w15:val="{EA658877-B08D-4F94-B85E-70E648AA8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6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F3DC5"/>
    <w:rPr>
      <w:color w:val="0000FF"/>
      <w:u w:val="single"/>
    </w:rPr>
  </w:style>
  <w:style w:type="character" w:styleId="Emphasis">
    <w:name w:val="Emphasis"/>
    <w:basedOn w:val="DefaultParagraphFont"/>
    <w:uiPriority w:val="20"/>
    <w:qFormat/>
    <w:rsid w:val="004F3DC5"/>
    <w:rPr>
      <w:i/>
      <w:iCs/>
    </w:rPr>
  </w:style>
  <w:style w:type="paragraph" w:styleId="Header">
    <w:name w:val="header"/>
    <w:basedOn w:val="Normal"/>
    <w:link w:val="HeaderChar"/>
    <w:uiPriority w:val="99"/>
    <w:unhideWhenUsed/>
    <w:rsid w:val="001D1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72F"/>
  </w:style>
  <w:style w:type="paragraph" w:styleId="Footer">
    <w:name w:val="footer"/>
    <w:basedOn w:val="Normal"/>
    <w:link w:val="FooterChar"/>
    <w:uiPriority w:val="99"/>
    <w:unhideWhenUsed/>
    <w:rsid w:val="001D1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7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82553">
      <w:bodyDiv w:val="1"/>
      <w:marLeft w:val="0"/>
      <w:marRight w:val="0"/>
      <w:marTop w:val="0"/>
      <w:marBottom w:val="0"/>
      <w:divBdr>
        <w:top w:val="none" w:sz="0" w:space="0" w:color="auto"/>
        <w:left w:val="none" w:sz="0" w:space="0" w:color="auto"/>
        <w:bottom w:val="none" w:sz="0" w:space="0" w:color="auto"/>
        <w:right w:val="none" w:sz="0" w:space="0" w:color="auto"/>
      </w:divBdr>
      <w:divsChild>
        <w:div w:id="1290357938">
          <w:marLeft w:val="0"/>
          <w:marRight w:val="0"/>
          <w:marTop w:val="240"/>
          <w:marBottom w:val="0"/>
          <w:divBdr>
            <w:top w:val="none" w:sz="0" w:space="0" w:color="auto"/>
            <w:left w:val="none" w:sz="0" w:space="0" w:color="auto"/>
            <w:bottom w:val="none" w:sz="0" w:space="0" w:color="auto"/>
            <w:right w:val="none" w:sz="0" w:space="0" w:color="auto"/>
          </w:divBdr>
          <w:divsChild>
            <w:div w:id="162595475">
              <w:marLeft w:val="0"/>
              <w:marRight w:val="0"/>
              <w:marTop w:val="0"/>
              <w:marBottom w:val="0"/>
              <w:divBdr>
                <w:top w:val="none" w:sz="0" w:space="0" w:color="auto"/>
                <w:left w:val="none" w:sz="0" w:space="0" w:color="auto"/>
                <w:bottom w:val="none" w:sz="0" w:space="0" w:color="auto"/>
                <w:right w:val="none" w:sz="0" w:space="0" w:color="auto"/>
              </w:divBdr>
            </w:div>
          </w:divsChild>
        </w:div>
        <w:div w:id="1487746816">
          <w:marLeft w:val="0"/>
          <w:marRight w:val="0"/>
          <w:marTop w:val="240"/>
          <w:marBottom w:val="0"/>
          <w:divBdr>
            <w:top w:val="none" w:sz="0" w:space="0" w:color="auto"/>
            <w:left w:val="none" w:sz="0" w:space="0" w:color="auto"/>
            <w:bottom w:val="none" w:sz="0" w:space="0" w:color="auto"/>
            <w:right w:val="none" w:sz="0" w:space="0" w:color="auto"/>
          </w:divBdr>
          <w:divsChild>
            <w:div w:id="145641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1.next.westlaw.com/Link/Document/FullText?findType=Y&amp;serNum=2006764803&amp;pubNum=4644&amp;originatingDoc=I54ea9eb078ec11ddb7e583ba170699a5&amp;refType=RP&amp;fi=co_pp_sp_4644_321&amp;originationContext=document&amp;transitionType=DocumentItem&amp;contextData=(sc.Search)"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1.next.westlaw.com/Link/Document/FullText?findType=Y&amp;serNum=2010193894&amp;pubNum=506&amp;originatingDoc=I54ea9eb078ec11ddb7e583ba170699a5&amp;refType=RP&amp;fi=co_pp_sp_506_782&amp;originationContext=document&amp;transitionType=DocumentItem&amp;contextData=(sc.Search)"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1.next.westlaw.com/Link/Document/FullText?findType=Y&amp;serNum=1990064839&amp;pubNum=708&amp;originatingDoc=I54ea9eb078ec11ddb7e583ba170699a5&amp;refType=RP&amp;originationContext=document&amp;transitionType=DocumentItem&amp;contextData=(sc.Search)"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1.next.westlaw.com/Link/Document/FullText?findType=Y&amp;serNum=2009200577&amp;pubNum=708&amp;originatingDoc=I54ea9eb078ec11ddb7e583ba170699a5&amp;refType=RP&amp;originationContext=document&amp;transitionType=DocumentItem&amp;contextData=(sc.Search)"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1.next.westlaw.com/Link/Document/FullText?findType=Y&amp;serNum=2012697221&amp;pubNum=0000999&amp;originatingDoc=I54ea9eb078ec11ddb7e583ba170699a5&amp;refType=RP&amp;originationContext=document&amp;transitionType=DocumentItem&amp;contextData=(sc.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E3858F1A35A5844E978194575E677B21" ma:contentTypeVersion="2207" ma:contentTypeDescription="Create a new document." ma:contentTypeScope="" ma:versionID="f11b72e41ca1c65a47496aa0133ac13e">
  <xsd:schema xmlns:xsd="http://www.w3.org/2001/XMLSchema" xmlns:xs="http://www.w3.org/2001/XMLSchema" xmlns:p="http://schemas.microsoft.com/office/2006/metadata/properties" xmlns:ns2="6f293154-125e-49e3-9714-d81dac523384" xmlns:ns3="64e87d58-8289-4324-b36d-5e47f9604f7a" targetNamespace="http://schemas.microsoft.com/office/2006/metadata/properties" ma:root="true" ma:fieldsID="2a8085782638ff28f44b8fff44a6d9f9" ns2:_="" ns3:_="">
    <xsd:import namespace="6f293154-125e-49e3-9714-d81dac523384"/>
    <xsd:import namespace="64e87d58-8289-4324-b36d-5e47f9604f7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93154-125e-49e3-9714-d81dac52338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e87d58-8289-4324-b36d-5e47f9604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6f293154-125e-49e3-9714-d81dac523384">MQQCFUXEXFCS-443030701-978231</_dlc_DocId>
    <_dlc_DocIdUrl xmlns="6f293154-125e-49e3-9714-d81dac523384">
      <Url>https://davishoss.sharepoint.com/sites/DHSharepoint2/_layouts/15/DocIdRedir.aspx?ID=MQQCFUXEXFCS-443030701-978231</Url>
      <Description>MQQCFUXEXFCS-443030701-978231</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ADA5F5-6B44-4A3F-8B0B-ADCC1FDA19AA}">
  <ds:schemaRefs>
    <ds:schemaRef ds:uri="http://schemas.microsoft.com/sharepoint/events"/>
  </ds:schemaRefs>
</ds:datastoreItem>
</file>

<file path=customXml/itemProps2.xml><?xml version="1.0" encoding="utf-8"?>
<ds:datastoreItem xmlns:ds="http://schemas.openxmlformats.org/officeDocument/2006/customXml" ds:itemID="{A79452D8-9BC5-450E-A68B-704ECCF7F8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93154-125e-49e3-9714-d81dac523384"/>
    <ds:schemaRef ds:uri="64e87d58-8289-4324-b36d-5e47f9604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19DE78-66A4-4FF9-B8C0-979C7F8DA87B}">
  <ds:schemaRefs>
    <ds:schemaRef ds:uri="http://schemas.microsoft.com/office/2006/metadata/properties"/>
    <ds:schemaRef ds:uri="http://schemas.microsoft.com/office/infopath/2007/PartnerControls"/>
    <ds:schemaRef ds:uri="6f293154-125e-49e3-9714-d81dac523384"/>
  </ds:schemaRefs>
</ds:datastoreItem>
</file>

<file path=customXml/itemProps4.xml><?xml version="1.0" encoding="utf-8"?>
<ds:datastoreItem xmlns:ds="http://schemas.openxmlformats.org/officeDocument/2006/customXml" ds:itemID="{5F4F8723-1E98-4129-ABED-3BF1C7B2AF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1603</Words>
  <Characters>9141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[DEFENSE ATTORNEY]</dc:creator>
  <cp:keywords/>
  <dc:description/>
  <cp:lastModifiedBy>[DEFENSE ATTORNEY]</cp:lastModifiedBy>
  <cp:revision>27</cp:revision>
  <dcterms:created xsi:type="dcterms:W3CDTF">2020-08-31T19:57:00Z</dcterms:created>
  <dcterms:modified xsi:type="dcterms:W3CDTF">2020-09-15T16:07:00Z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0x010100E3858F1A35A5844E978194575E677B21</vt:lpwstr>
  </property>
  <property fmtid="{D5CDD505-2E9C-101B-9397-08002B2CF9AE}" pid="3" name="_dlc_DocIdItemGuid">
    <vt:lpwstr>7fd9a5a9-5167-4396-ad12-5760f1046c30</vt:lpwstr>
  </property>
</Properties>
</file>