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Lead Conversion Intelligence System</w:t>
      </w:r>
    </w:p>
    <w:p>
      <w:pPr>
        <w:jc w:val="center"/>
      </w:pPr>
      <w:r>
        <w:rPr>
          <w:b/>
          <w:sz w:val="34"/>
        </w:rPr>
        <w:t>Data Analytics Capstone Project Report</w:t>
      </w:r>
    </w:p>
    <w:p>
      <w:pPr>
        <w:jc w:val="center"/>
      </w:pPr>
      <w:r>
        <w:rPr>
          <w:i/>
          <w:sz w:val="24"/>
        </w:rPr>
        <w:t>A Streamlit Dashboard for Lead Analysis, Conversion Prediction, and Sales Prioritisation</w:t>
      </w:r>
    </w:p>
    <w:p/>
    <w:tbl>
      <w:tblPr>
        <w:tblStyle w:val="TableGrid"/>
        <w:tblW w:type="auto" w:w="0"/>
        <w:jc w:val="center"/>
        <w:tblLook w:firstColumn="1" w:firstRow="1" w:lastColumn="0" w:lastRow="0" w:noHBand="0" w:noVBand="1" w:val="04A0"/>
      </w:tblPr>
      <w:tblGrid>
        <w:gridCol w:w="4997"/>
        <w:gridCol w:w="4997"/>
      </w:tblGrid>
      <w:tr>
        <w:tc>
          <w:tcPr>
            <w:tcW w:type="dxa" w:w="2592"/>
            <w:shd w:fill="17365D"/>
            <w:tcBorders>
              <w:top w:val="single" w:sz="4" w:color="D9D9D9"/>
              <w:left w:val="single" w:sz="4" w:color="D9D9D9"/>
              <w:bottom w:val="single" w:sz="4" w:color="D9D9D9"/>
              <w:right w:val="single" w:sz="4" w:color="D9D9D9"/>
            </w:tcBorders>
            <w:vAlign w:val="center"/>
          </w:tcPr>
          <w:p>
            <w:r>
              <w:rPr>
                <w:b/>
                <w:color w:val="FFFFFF"/>
                <w:sz w:val="18"/>
              </w:rPr>
              <w:t>Project detail</w:t>
            </w:r>
          </w:p>
        </w:tc>
        <w:tc>
          <w:tcPr>
            <w:tcW w:type="dxa" w:w="6768"/>
            <w:shd w:fill="17365D"/>
            <w:tcBorders>
              <w:top w:val="single" w:sz="4" w:color="D9D9D9"/>
              <w:left w:val="single" w:sz="4" w:color="D9D9D9"/>
              <w:bottom w:val="single" w:sz="4" w:color="D9D9D9"/>
              <w:right w:val="single" w:sz="4" w:color="D9D9D9"/>
            </w:tcBorders>
            <w:vAlign w:val="center"/>
          </w:tcPr>
          <w:p>
            <w:r>
              <w:rPr>
                <w:b/>
                <w:color w:val="FFFFFF"/>
                <w:sz w:val="18"/>
              </w:rPr>
              <w:t>Information</w:t>
            </w:r>
          </w:p>
        </w:tc>
      </w:tr>
      <w:tr>
        <w:tc>
          <w:tcPr>
            <w:tcW w:type="dxa" w:w="2592"/>
            <w:tcBorders>
              <w:top w:val="single" w:sz="4" w:color="D9D9D9"/>
              <w:left w:val="single" w:sz="4" w:color="D9D9D9"/>
              <w:bottom w:val="single" w:sz="4" w:color="D9D9D9"/>
              <w:right w:val="single" w:sz="4" w:color="D9D9D9"/>
            </w:tcBorders>
            <w:vAlign w:val="center"/>
          </w:tcPr>
          <w:p>
            <w:pPr>
              <w:spacing w:after="60" w:before="60"/>
            </w:pPr>
            <w:r>
              <w:rPr>
                <w:sz w:val="18"/>
              </w:rPr>
              <w:t>Submitted by</w:t>
            </w:r>
          </w:p>
        </w:tc>
        <w:tc>
          <w:tcPr>
            <w:tcW w:type="dxa" w:w="6768"/>
            <w:tcBorders>
              <w:top w:val="single" w:sz="4" w:color="D9D9D9"/>
              <w:left w:val="single" w:sz="4" w:color="D9D9D9"/>
              <w:bottom w:val="single" w:sz="4" w:color="D9D9D9"/>
              <w:right w:val="single" w:sz="4" w:color="D9D9D9"/>
            </w:tcBorders>
            <w:vAlign w:val="center"/>
          </w:tcPr>
          <w:p>
            <w:pPr>
              <w:spacing w:after="60" w:before="60"/>
            </w:pPr>
            <w:r>
              <w:rPr>
                <w:sz w:val="18"/>
              </w:rPr>
              <w:t>Sudarshan Kajmani</w:t>
            </w:r>
          </w:p>
        </w:tc>
      </w:tr>
      <w:tr>
        <w:tc>
          <w:tcPr>
            <w:tcW w:type="dxa" w:w="2592"/>
            <w:tcBorders>
              <w:top w:val="single" w:sz="4" w:color="D9D9D9"/>
              <w:left w:val="single" w:sz="4" w:color="D9D9D9"/>
              <w:bottom w:val="single" w:sz="4" w:color="D9D9D9"/>
              <w:right w:val="single" w:sz="4" w:color="D9D9D9"/>
            </w:tcBorders>
            <w:shd w:fill="F3F7FB"/>
            <w:vAlign w:val="center"/>
          </w:tcPr>
          <w:p>
            <w:pPr>
              <w:spacing w:after="60" w:before="60"/>
            </w:pPr>
            <w:r>
              <w:rPr>
                <w:sz w:val="18"/>
              </w:rPr>
              <w:t>Internship</w:t>
            </w:r>
          </w:p>
        </w:tc>
        <w:tc>
          <w:tcPr>
            <w:tcW w:type="dxa" w:w="6768"/>
            <w:tcBorders>
              <w:top w:val="single" w:sz="4" w:color="D9D9D9"/>
              <w:left w:val="single" w:sz="4" w:color="D9D9D9"/>
              <w:bottom w:val="single" w:sz="4" w:color="D9D9D9"/>
              <w:right w:val="single" w:sz="4" w:color="D9D9D9"/>
            </w:tcBorders>
            <w:shd w:fill="F3F7FB"/>
            <w:vAlign w:val="center"/>
          </w:tcPr>
          <w:p>
            <w:pPr>
              <w:spacing w:after="60" w:before="60"/>
            </w:pPr>
            <w:r>
              <w:rPr>
                <w:sz w:val="18"/>
              </w:rPr>
              <w:t>Bharat CA Data Analytics Internship</w:t>
            </w:r>
          </w:p>
        </w:tc>
      </w:tr>
      <w:tr>
        <w:tc>
          <w:tcPr>
            <w:tcW w:type="dxa" w:w="2592"/>
            <w:tcBorders>
              <w:top w:val="single" w:sz="4" w:color="D9D9D9"/>
              <w:left w:val="single" w:sz="4" w:color="D9D9D9"/>
              <w:bottom w:val="single" w:sz="4" w:color="D9D9D9"/>
              <w:right w:val="single" w:sz="4" w:color="D9D9D9"/>
            </w:tcBorders>
            <w:vAlign w:val="center"/>
          </w:tcPr>
          <w:p>
            <w:pPr>
              <w:spacing w:after="60" w:before="60"/>
            </w:pPr>
            <w:r>
              <w:rPr>
                <w:sz w:val="18"/>
              </w:rPr>
              <w:t>Dataset</w:t>
            </w:r>
          </w:p>
        </w:tc>
        <w:tc>
          <w:tcPr>
            <w:tcW w:type="dxa" w:w="6768"/>
            <w:tcBorders>
              <w:top w:val="single" w:sz="4" w:color="D9D9D9"/>
              <w:left w:val="single" w:sz="4" w:color="D9D9D9"/>
              <w:bottom w:val="single" w:sz="4" w:color="D9D9D9"/>
              <w:right w:val="single" w:sz="4" w:color="D9D9D9"/>
            </w:tcBorders>
            <w:vAlign w:val="center"/>
          </w:tcPr>
          <w:p>
            <w:pPr>
              <w:spacing w:after="60" w:before="60"/>
            </w:pPr>
            <w:r>
              <w:rPr>
                <w:sz w:val="18"/>
              </w:rPr>
              <w:t>X Education Lead Scoring Dataset</w:t>
            </w:r>
          </w:p>
        </w:tc>
      </w:tr>
      <w:tr>
        <w:tc>
          <w:tcPr>
            <w:tcW w:type="dxa" w:w="2592"/>
            <w:tcBorders>
              <w:top w:val="single" w:sz="4" w:color="D9D9D9"/>
              <w:left w:val="single" w:sz="4" w:color="D9D9D9"/>
              <w:bottom w:val="single" w:sz="4" w:color="D9D9D9"/>
              <w:right w:val="single" w:sz="4" w:color="D9D9D9"/>
            </w:tcBorders>
            <w:shd w:fill="F3F7FB"/>
            <w:vAlign w:val="center"/>
          </w:tcPr>
          <w:p>
            <w:pPr>
              <w:spacing w:after="60" w:before="60"/>
            </w:pPr>
            <w:r>
              <w:rPr>
                <w:sz w:val="18"/>
              </w:rPr>
              <w:t>Technology</w:t>
            </w:r>
          </w:p>
        </w:tc>
        <w:tc>
          <w:tcPr>
            <w:tcW w:type="dxa" w:w="6768"/>
            <w:tcBorders>
              <w:top w:val="single" w:sz="4" w:color="D9D9D9"/>
              <w:left w:val="single" w:sz="4" w:color="D9D9D9"/>
              <w:bottom w:val="single" w:sz="4" w:color="D9D9D9"/>
              <w:right w:val="single" w:sz="4" w:color="D9D9D9"/>
            </w:tcBorders>
            <w:shd w:fill="F3F7FB"/>
            <w:vAlign w:val="center"/>
          </w:tcPr>
          <w:p>
            <w:pPr>
              <w:spacing w:after="60" w:before="60"/>
            </w:pPr>
            <w:r>
              <w:rPr>
                <w:sz w:val="18"/>
              </w:rPr>
              <w:t>Python, Streamlit, Pandas, Plotly, scikit-learn</w:t>
            </w:r>
          </w:p>
        </w:tc>
      </w:tr>
      <w:tr>
        <w:tc>
          <w:tcPr>
            <w:tcW w:type="dxa" w:w="2592"/>
            <w:tcBorders>
              <w:top w:val="single" w:sz="4" w:color="D9D9D9"/>
              <w:left w:val="single" w:sz="4" w:color="D9D9D9"/>
              <w:bottom w:val="single" w:sz="4" w:color="D9D9D9"/>
              <w:right w:val="single" w:sz="4" w:color="D9D9D9"/>
            </w:tcBorders>
            <w:vAlign w:val="center"/>
          </w:tcPr>
          <w:p>
            <w:pPr>
              <w:spacing w:after="60" w:before="60"/>
            </w:pPr>
            <w:r>
              <w:rPr>
                <w:sz w:val="18"/>
              </w:rPr>
              <w:t>Repository</w:t>
            </w:r>
          </w:p>
        </w:tc>
        <w:tc>
          <w:tcPr>
            <w:tcW w:type="dxa" w:w="6768"/>
            <w:tcBorders>
              <w:top w:val="single" w:sz="4" w:color="D9D9D9"/>
              <w:left w:val="single" w:sz="4" w:color="D9D9D9"/>
              <w:bottom w:val="single" w:sz="4" w:color="D9D9D9"/>
              <w:right w:val="single" w:sz="4" w:color="D9D9D9"/>
            </w:tcBorders>
            <w:vAlign w:val="center"/>
          </w:tcPr>
          <w:p>
            <w:pPr>
              <w:spacing w:after="60" w:before="60"/>
            </w:pPr>
            <w:r>
              <w:rPr>
                <w:sz w:val="18"/>
              </w:rPr>
              <w:t>https://github.com/SuduOps/lead-conversion-intelligence-system</w:t>
            </w:r>
          </w:p>
        </w:tc>
      </w:tr>
      <w:tr>
        <w:tc>
          <w:tcPr>
            <w:tcW w:type="dxa" w:w="2592"/>
            <w:tcBorders>
              <w:top w:val="single" w:sz="4" w:color="D9D9D9"/>
              <w:left w:val="single" w:sz="4" w:color="D9D9D9"/>
              <w:bottom w:val="single" w:sz="4" w:color="D9D9D9"/>
              <w:right w:val="single" w:sz="4" w:color="D9D9D9"/>
            </w:tcBorders>
            <w:shd w:fill="F3F7FB"/>
            <w:vAlign w:val="center"/>
          </w:tcPr>
          <w:p>
            <w:pPr>
              <w:spacing w:after="60" w:before="60"/>
            </w:pPr>
            <w:r>
              <w:rPr>
                <w:sz w:val="18"/>
              </w:rPr>
              <w:t>Submission date</w:t>
            </w:r>
          </w:p>
        </w:tc>
        <w:tc>
          <w:tcPr>
            <w:tcW w:type="dxa" w:w="6768"/>
            <w:tcBorders>
              <w:top w:val="single" w:sz="4" w:color="D9D9D9"/>
              <w:left w:val="single" w:sz="4" w:color="D9D9D9"/>
              <w:bottom w:val="single" w:sz="4" w:color="D9D9D9"/>
              <w:right w:val="single" w:sz="4" w:color="D9D9D9"/>
            </w:tcBorders>
            <w:shd w:fill="F3F7FB"/>
            <w:vAlign w:val="center"/>
          </w:tcPr>
          <w:p>
            <w:pPr>
              <w:spacing w:after="60" w:before="60"/>
            </w:pPr>
            <w:r>
              <w:rPr>
                <w:sz w:val="18"/>
              </w:rPr>
              <w:t>23 September 2026</w:t>
            </w:r>
          </w:p>
        </w:tc>
      </w:tr>
    </w:tbl>
    <w:p>
      <w:pPr>
        <w:spacing w:after="40"/>
      </w:pPr>
    </w:p>
    <w:p/>
    <w:p>
      <w:pPr>
        <w:spacing w:line="269" w:lineRule="auto"/>
      </w:pPr>
      <w:r>
        <w:t>Project purpose: The system helps sales and marketing teams identify high-potential leads, understand the drivers of conversion, and assign practical follow-up actions based on predicted conversion probability.</w:t>
      </w:r>
    </w:p>
    <w:p>
      <w:r>
        <w:br w:type="page"/>
      </w:r>
    </w:p>
    <w:p>
      <w:pPr>
        <w:pStyle w:val="Heading1"/>
      </w:pPr>
      <w:r>
        <w:t>Abstract</w:t>
      </w:r>
    </w:p>
    <w:p>
      <w:pPr>
        <w:spacing w:line="269" w:lineRule="auto"/>
      </w:pPr>
      <w:r>
        <w:t>This project develops a Lead Conversion Intelligence System for analysing historical marketing leads from X Education. The application combines data-quality assessment, exploratory analysis, diagnostic comparisons, predictive machine learning, and prescriptive sales recommendations in a single Streamlit dashboard. The dataset contains 9,240 leads and 37 attributes, including lead source, website activity, occupation, last activity, and a binary Converted outcome.</w:t>
      </w:r>
    </w:p>
    <w:p>
      <w:pPr>
        <w:spacing w:line="269" w:lineRule="auto"/>
      </w:pPr>
      <w:r>
        <w:t>The dashboard reports an overall conversion rate of 38.5 percent, compares Logistic Regression and Random Forest classifiers, and selects Random Forest as the best model using ROC-AUC. The selected model achieved a ROC-AUC of 0.9793 on the held-out test split. Each lead is then categorised as Hot, Warm, or Cold, enabling sales teams to prioritise actions and use lower-cost nurture tactics where appropriate.</w:t>
      </w:r>
    </w:p>
    <w:p>
      <w:pPr>
        <w:pStyle w:val="Heading2"/>
      </w:pPr>
      <w:r>
        <w:t>Keywords</w:t>
      </w:r>
    </w:p>
    <w:p>
      <w:pPr>
        <w:spacing w:line="269" w:lineRule="auto"/>
      </w:pPr>
      <w:r>
        <w:t>Lead generation, lead scoring, conversion prediction, Streamlit, Random Forest, marketing analytics, prescriptive analytics.</w:t>
      </w:r>
    </w:p>
    <w:p>
      <w:pPr>
        <w:pStyle w:val="Heading1"/>
      </w:pPr>
      <w:r>
        <w:t>Contents</w:t>
      </w:r>
    </w:p>
    <w:p>
      <w:pPr>
        <w:spacing w:line="269" w:lineRule="auto"/>
      </w:pPr>
      <w:r>
        <w:t>1. Introduction</w:t>
      </w:r>
    </w:p>
    <w:p>
      <w:pPr>
        <w:spacing w:line="269" w:lineRule="auto"/>
      </w:pPr>
      <w:r>
        <w:t>2. Problem Statement and Objectives</w:t>
      </w:r>
    </w:p>
    <w:p>
      <w:pPr>
        <w:spacing w:line="269" w:lineRule="auto"/>
      </w:pPr>
      <w:r>
        <w:t>3. Dataset and Technology Stack</w:t>
      </w:r>
    </w:p>
    <w:p>
      <w:pPr>
        <w:spacing w:line="269" w:lineRule="auto"/>
      </w:pPr>
      <w:r>
        <w:t>4. System Design and Methodology</w:t>
      </w:r>
    </w:p>
    <w:p>
      <w:pPr>
        <w:spacing w:line="269" w:lineRule="auto"/>
      </w:pPr>
      <w:r>
        <w:t>5. Analytics Findings</w:t>
      </w:r>
    </w:p>
    <w:p>
      <w:pPr>
        <w:spacing w:line="269" w:lineRule="auto"/>
      </w:pPr>
      <w:r>
        <w:t>6. Predictive Model Results</w:t>
      </w:r>
    </w:p>
    <w:p>
      <w:pPr>
        <w:spacing w:line="269" w:lineRule="auto"/>
      </w:pPr>
      <w:r>
        <w:t>7. Prescriptive Recommendations</w:t>
      </w:r>
    </w:p>
    <w:p>
      <w:pPr>
        <w:spacing w:line="269" w:lineRule="auto"/>
      </w:pPr>
      <w:r>
        <w:t>8. Conclusion and Future Scope</w:t>
      </w:r>
    </w:p>
    <w:p>
      <w:pPr>
        <w:spacing w:line="269" w:lineRule="auto"/>
      </w:pPr>
      <w:r>
        <w:t>References</w:t>
      </w:r>
    </w:p>
    <w:p>
      <w:r>
        <w:br w:type="page"/>
      </w:r>
    </w:p>
    <w:p>
      <w:pPr>
        <w:pStyle w:val="Heading1"/>
      </w:pPr>
      <w:r>
        <w:t>1. Introduction</w:t>
      </w:r>
    </w:p>
    <w:p>
      <w:pPr>
        <w:spacing w:line="269" w:lineRule="auto"/>
      </w:pPr>
      <w:r>
        <w:t>Marketing teams often receive more leads than sales teams can contact effectively. Treating every lead in the same way wastes time, delays follow-up, and can reduce the chance of conversion. This project addresses that challenge by transforming historical lead data into a prioritised worklist for sales teams.</w:t>
      </w:r>
    </w:p>
    <w:p>
      <w:pPr>
        <w:pStyle w:val="Heading2"/>
      </w:pPr>
      <w:r>
        <w:t>1.1 Problem Statement</w:t>
      </w:r>
    </w:p>
    <w:p>
      <w:pPr>
        <w:spacing w:line="269" w:lineRule="auto"/>
      </w:pPr>
      <w:r>
        <w:t>The aim is to identify which leads are most likely to convert into customers and to recommend an appropriate sales or nurture action. The system must explain the data, identify conversion drivers, evaluate predictive models, and present the results in a usable dashboard.</w:t>
      </w:r>
    </w:p>
    <w:p>
      <w:pPr>
        <w:pStyle w:val="Heading2"/>
      </w:pPr>
      <w:r>
        <w:t>1.2 Objectives</w:t>
      </w:r>
    </w:p>
    <w:p>
      <w:pPr>
        <w:pStyle w:val="ListBullet"/>
      </w:pPr>
      <w:r>
        <w:t>Assess the quality and completeness of the lead dataset.</w:t>
      </w:r>
    </w:p>
    <w:p>
      <w:pPr>
        <w:pStyle w:val="ListBullet"/>
      </w:pPr>
      <w:r>
        <w:t>Describe overall conversion performance and lead behaviour patterns.</w:t>
      </w:r>
    </w:p>
    <w:p>
      <w:pPr>
        <w:pStyle w:val="ListBullet"/>
      </w:pPr>
      <w:r>
        <w:t>Diagnose differences between converted and non-converted leads.</w:t>
      </w:r>
    </w:p>
    <w:p>
      <w:pPr>
        <w:pStyle w:val="ListBullet"/>
      </w:pPr>
      <w:r>
        <w:t>Predict conversion probability using supervised classification models.</w:t>
      </w:r>
    </w:p>
    <w:p>
      <w:pPr>
        <w:pStyle w:val="ListBullet"/>
      </w:pPr>
      <w:r>
        <w:t>Categorise leads into Hot, Warm, and Cold groups and recommend actions.</w:t>
      </w:r>
    </w:p>
    <w:p>
      <w:pPr>
        <w:jc w:val="center"/>
      </w:pPr>
      <w:r>
        <w:drawing>
          <wp:inline xmlns:a="http://schemas.openxmlformats.org/drawingml/2006/main" xmlns:pic="http://schemas.openxmlformats.org/drawingml/2006/picture">
            <wp:extent cx="5852160" cy="2671174"/>
            <wp:docPr id="1" name="Picture 1"/>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852160" cy="2671174"/>
                    </a:xfrm>
                    <a:prstGeom prst="rect"/>
                  </pic:spPr>
                </pic:pic>
              </a:graphicData>
            </a:graphic>
          </wp:inline>
        </w:drawing>
      </w:r>
    </w:p>
    <w:p>
      <w:pPr>
        <w:spacing w:after="200"/>
        <w:jc w:val="center"/>
      </w:pPr>
      <w:r>
        <w:rPr>
          <w:i/>
          <w:sz w:val="18"/>
        </w:rPr>
        <w:t>Figure 1. Dashboard landing view with headline KPIs and navigation.</w:t>
      </w:r>
    </w:p>
    <w:p>
      <w:pPr>
        <w:pStyle w:val="Heading1"/>
      </w:pPr>
      <w:r>
        <w:t>2. Dataset and Technology Stack</w:t>
      </w:r>
    </w:p>
    <w:p>
      <w:pPr>
        <w:spacing w:line="269" w:lineRule="auto"/>
      </w:pPr>
      <w:r>
        <w:t>The project uses the X Education Lead Scoring dataset. The original dataset contains 9,240 rows and 37 columns. The target variable is Converted, where 1 indicates a converted lead and 0 indicates a non-converted lead.</w:t>
      </w:r>
    </w:p>
    <w:tbl>
      <w:tblPr>
        <w:tblStyle w:val="TableGrid"/>
        <w:tblW w:type="auto" w:w="0"/>
        <w:jc w:val="center"/>
        <w:tblLook w:firstColumn="1" w:firstRow="1" w:lastColumn="0" w:lastRow="0" w:noHBand="0" w:noVBand="1" w:val="04A0"/>
      </w:tblPr>
      <w:tblGrid>
        <w:gridCol w:w="4997"/>
        <w:gridCol w:w="4997"/>
      </w:tblGrid>
      <w:tr>
        <w:tc>
          <w:tcPr>
            <w:tcW w:type="dxa" w:w="4608"/>
            <w:shd w:fill="17365D"/>
            <w:tcBorders>
              <w:top w:val="single" w:sz="4" w:color="D9D9D9"/>
              <w:left w:val="single" w:sz="4" w:color="D9D9D9"/>
              <w:bottom w:val="single" w:sz="4" w:color="D9D9D9"/>
              <w:right w:val="single" w:sz="4" w:color="D9D9D9"/>
            </w:tcBorders>
            <w:vAlign w:val="center"/>
          </w:tcPr>
          <w:p>
            <w:r>
              <w:rPr>
                <w:b/>
                <w:color w:val="FFFFFF"/>
                <w:sz w:val="18"/>
              </w:rPr>
              <w:t>Measure</w:t>
            </w:r>
          </w:p>
        </w:tc>
        <w:tc>
          <w:tcPr>
            <w:tcW w:type="dxa" w:w="4752"/>
            <w:shd w:fill="17365D"/>
            <w:tcBorders>
              <w:top w:val="single" w:sz="4" w:color="D9D9D9"/>
              <w:left w:val="single" w:sz="4" w:color="D9D9D9"/>
              <w:bottom w:val="single" w:sz="4" w:color="D9D9D9"/>
              <w:right w:val="single" w:sz="4" w:color="D9D9D9"/>
            </w:tcBorders>
            <w:vAlign w:val="center"/>
          </w:tcPr>
          <w:p>
            <w:r>
              <w:rPr>
                <w:b/>
                <w:color w:val="FFFFFF"/>
                <w:sz w:val="18"/>
              </w:rPr>
              <w:t>Value</w:t>
            </w:r>
          </w:p>
        </w:tc>
      </w:tr>
      <w:tr>
        <w:tc>
          <w:tcPr>
            <w:tcW w:type="dxa" w:w="4608"/>
            <w:tcBorders>
              <w:top w:val="single" w:sz="4" w:color="D9D9D9"/>
              <w:left w:val="single" w:sz="4" w:color="D9D9D9"/>
              <w:bottom w:val="single" w:sz="4" w:color="D9D9D9"/>
              <w:right w:val="single" w:sz="4" w:color="D9D9D9"/>
            </w:tcBorders>
            <w:vAlign w:val="center"/>
          </w:tcPr>
          <w:p>
            <w:pPr>
              <w:spacing w:after="60" w:before="60"/>
            </w:pPr>
            <w:r>
              <w:rPr>
                <w:sz w:val="18"/>
              </w:rPr>
              <w:t>Total leads</w:t>
            </w:r>
          </w:p>
        </w:tc>
        <w:tc>
          <w:tcPr>
            <w:tcW w:type="dxa" w:w="4752"/>
            <w:tcBorders>
              <w:top w:val="single" w:sz="4" w:color="D9D9D9"/>
              <w:left w:val="single" w:sz="4" w:color="D9D9D9"/>
              <w:bottom w:val="single" w:sz="4" w:color="D9D9D9"/>
              <w:right w:val="single" w:sz="4" w:color="D9D9D9"/>
            </w:tcBorders>
            <w:vAlign w:val="center"/>
          </w:tcPr>
          <w:p>
            <w:pPr>
              <w:spacing w:after="60" w:before="60"/>
            </w:pPr>
            <w:r>
              <w:rPr>
                <w:sz w:val="18"/>
              </w:rPr>
              <w:t>9,240</w:t>
            </w:r>
          </w:p>
        </w:tc>
      </w:tr>
      <w:tr>
        <w:tc>
          <w:tcPr>
            <w:tcW w:type="dxa" w:w="4608"/>
            <w:tcBorders>
              <w:top w:val="single" w:sz="4" w:color="D9D9D9"/>
              <w:left w:val="single" w:sz="4" w:color="D9D9D9"/>
              <w:bottom w:val="single" w:sz="4" w:color="D9D9D9"/>
              <w:right w:val="single" w:sz="4" w:color="D9D9D9"/>
            </w:tcBorders>
            <w:shd w:fill="F3F7FB"/>
            <w:vAlign w:val="center"/>
          </w:tcPr>
          <w:p>
            <w:pPr>
              <w:spacing w:after="60" w:before="60"/>
            </w:pPr>
            <w:r>
              <w:rPr>
                <w:sz w:val="18"/>
              </w:rPr>
              <w:t>Converted leads</w:t>
            </w:r>
          </w:p>
        </w:tc>
        <w:tc>
          <w:tcPr>
            <w:tcW w:type="dxa" w:w="4752"/>
            <w:tcBorders>
              <w:top w:val="single" w:sz="4" w:color="D9D9D9"/>
              <w:left w:val="single" w:sz="4" w:color="D9D9D9"/>
              <w:bottom w:val="single" w:sz="4" w:color="D9D9D9"/>
              <w:right w:val="single" w:sz="4" w:color="D9D9D9"/>
            </w:tcBorders>
            <w:shd w:fill="F3F7FB"/>
            <w:vAlign w:val="center"/>
          </w:tcPr>
          <w:p>
            <w:pPr>
              <w:spacing w:after="60" w:before="60"/>
            </w:pPr>
            <w:r>
              <w:rPr>
                <w:sz w:val="18"/>
              </w:rPr>
              <w:t>3,561</w:t>
            </w:r>
          </w:p>
        </w:tc>
      </w:tr>
      <w:tr>
        <w:tc>
          <w:tcPr>
            <w:tcW w:type="dxa" w:w="4608"/>
            <w:tcBorders>
              <w:top w:val="single" w:sz="4" w:color="D9D9D9"/>
              <w:left w:val="single" w:sz="4" w:color="D9D9D9"/>
              <w:bottom w:val="single" w:sz="4" w:color="D9D9D9"/>
              <w:right w:val="single" w:sz="4" w:color="D9D9D9"/>
            </w:tcBorders>
            <w:vAlign w:val="center"/>
          </w:tcPr>
          <w:p>
            <w:pPr>
              <w:spacing w:after="60" w:before="60"/>
            </w:pPr>
            <w:r>
              <w:rPr>
                <w:sz w:val="18"/>
              </w:rPr>
              <w:t>Non-converted leads</w:t>
            </w:r>
          </w:p>
        </w:tc>
        <w:tc>
          <w:tcPr>
            <w:tcW w:type="dxa" w:w="4752"/>
            <w:tcBorders>
              <w:top w:val="single" w:sz="4" w:color="D9D9D9"/>
              <w:left w:val="single" w:sz="4" w:color="D9D9D9"/>
              <w:bottom w:val="single" w:sz="4" w:color="D9D9D9"/>
              <w:right w:val="single" w:sz="4" w:color="D9D9D9"/>
            </w:tcBorders>
            <w:vAlign w:val="center"/>
          </w:tcPr>
          <w:p>
            <w:pPr>
              <w:spacing w:after="60" w:before="60"/>
            </w:pPr>
            <w:r>
              <w:rPr>
                <w:sz w:val="18"/>
              </w:rPr>
              <w:t>5,679</w:t>
            </w:r>
          </w:p>
        </w:tc>
      </w:tr>
      <w:tr>
        <w:tc>
          <w:tcPr>
            <w:tcW w:type="dxa" w:w="4608"/>
            <w:tcBorders>
              <w:top w:val="single" w:sz="4" w:color="D9D9D9"/>
              <w:left w:val="single" w:sz="4" w:color="D9D9D9"/>
              <w:bottom w:val="single" w:sz="4" w:color="D9D9D9"/>
              <w:right w:val="single" w:sz="4" w:color="D9D9D9"/>
            </w:tcBorders>
            <w:shd w:fill="F3F7FB"/>
            <w:vAlign w:val="center"/>
          </w:tcPr>
          <w:p>
            <w:pPr>
              <w:spacing w:after="60" w:before="60"/>
            </w:pPr>
            <w:r>
              <w:rPr>
                <w:sz w:val="18"/>
              </w:rPr>
              <w:t>Overall conversion rate</w:t>
            </w:r>
          </w:p>
        </w:tc>
        <w:tc>
          <w:tcPr>
            <w:tcW w:type="dxa" w:w="4752"/>
            <w:tcBorders>
              <w:top w:val="single" w:sz="4" w:color="D9D9D9"/>
              <w:left w:val="single" w:sz="4" w:color="D9D9D9"/>
              <w:bottom w:val="single" w:sz="4" w:color="D9D9D9"/>
              <w:right w:val="single" w:sz="4" w:color="D9D9D9"/>
            </w:tcBorders>
            <w:shd w:fill="F3F7FB"/>
            <w:vAlign w:val="center"/>
          </w:tcPr>
          <w:p>
            <w:pPr>
              <w:spacing w:after="60" w:before="60"/>
            </w:pPr>
            <w:r>
              <w:rPr>
                <w:sz w:val="18"/>
              </w:rPr>
              <w:t>38.5%</w:t>
            </w:r>
          </w:p>
        </w:tc>
      </w:tr>
      <w:tr>
        <w:tc>
          <w:tcPr>
            <w:tcW w:type="dxa" w:w="4608"/>
            <w:tcBorders>
              <w:top w:val="single" w:sz="4" w:color="D9D9D9"/>
              <w:left w:val="single" w:sz="4" w:color="D9D9D9"/>
              <w:bottom w:val="single" w:sz="4" w:color="D9D9D9"/>
              <w:right w:val="single" w:sz="4" w:color="D9D9D9"/>
            </w:tcBorders>
            <w:vAlign w:val="center"/>
          </w:tcPr>
          <w:p>
            <w:pPr>
              <w:spacing w:after="60" w:before="60"/>
            </w:pPr>
            <w:r>
              <w:rPr>
                <w:sz w:val="18"/>
              </w:rPr>
              <w:t>Number of columns</w:t>
            </w:r>
          </w:p>
        </w:tc>
        <w:tc>
          <w:tcPr>
            <w:tcW w:type="dxa" w:w="4752"/>
            <w:tcBorders>
              <w:top w:val="single" w:sz="4" w:color="D9D9D9"/>
              <w:left w:val="single" w:sz="4" w:color="D9D9D9"/>
              <w:bottom w:val="single" w:sz="4" w:color="D9D9D9"/>
              <w:right w:val="single" w:sz="4" w:color="D9D9D9"/>
            </w:tcBorders>
            <w:vAlign w:val="center"/>
          </w:tcPr>
          <w:p>
            <w:pPr>
              <w:spacing w:after="60" w:before="60"/>
            </w:pPr>
            <w:r>
              <w:rPr>
                <w:sz w:val="18"/>
              </w:rPr>
              <w:t>37</w:t>
            </w:r>
          </w:p>
        </w:tc>
      </w:tr>
    </w:tbl>
    <w:p>
      <w:pPr>
        <w:spacing w:after="40"/>
      </w:pPr>
    </w:p>
    <w:tbl>
      <w:tblPr>
        <w:tblStyle w:val="TableGrid"/>
        <w:tblW w:type="auto" w:w="0"/>
        <w:jc w:val="center"/>
        <w:tblLook w:firstColumn="1" w:firstRow="1" w:lastColumn="0" w:lastRow="0" w:noHBand="0" w:noVBand="1" w:val="04A0"/>
      </w:tblPr>
      <w:tblGrid>
        <w:gridCol w:w="4997"/>
        <w:gridCol w:w="4997"/>
      </w:tblGrid>
      <w:tr>
        <w:tc>
          <w:tcPr>
            <w:tcW w:type="dxa" w:w="3024"/>
            <w:shd w:fill="17365D"/>
            <w:tcBorders>
              <w:top w:val="single" w:sz="4" w:color="D9D9D9"/>
              <w:left w:val="single" w:sz="4" w:color="D9D9D9"/>
              <w:bottom w:val="single" w:sz="4" w:color="D9D9D9"/>
              <w:right w:val="single" w:sz="4" w:color="D9D9D9"/>
            </w:tcBorders>
            <w:vAlign w:val="center"/>
          </w:tcPr>
          <w:p>
            <w:r>
              <w:rPr>
                <w:b/>
                <w:color w:val="FFFFFF"/>
                <w:sz w:val="18"/>
              </w:rPr>
              <w:t>Component</w:t>
            </w:r>
          </w:p>
        </w:tc>
        <w:tc>
          <w:tcPr>
            <w:tcW w:type="dxa" w:w="6336"/>
            <w:shd w:fill="17365D"/>
            <w:tcBorders>
              <w:top w:val="single" w:sz="4" w:color="D9D9D9"/>
              <w:left w:val="single" w:sz="4" w:color="D9D9D9"/>
              <w:bottom w:val="single" w:sz="4" w:color="D9D9D9"/>
              <w:right w:val="single" w:sz="4" w:color="D9D9D9"/>
            </w:tcBorders>
            <w:vAlign w:val="center"/>
          </w:tcPr>
          <w:p>
            <w:r>
              <w:rPr>
                <w:b/>
                <w:color w:val="FFFFFF"/>
                <w:sz w:val="18"/>
              </w:rPr>
              <w:t>Use in the project</w:t>
            </w:r>
          </w:p>
        </w:tc>
      </w:tr>
      <w:tr>
        <w:tc>
          <w:tcPr>
            <w:tcW w:type="dxa" w:w="3024"/>
            <w:tcBorders>
              <w:top w:val="single" w:sz="4" w:color="D9D9D9"/>
              <w:left w:val="single" w:sz="4" w:color="D9D9D9"/>
              <w:bottom w:val="single" w:sz="4" w:color="D9D9D9"/>
              <w:right w:val="single" w:sz="4" w:color="D9D9D9"/>
            </w:tcBorders>
            <w:vAlign w:val="center"/>
          </w:tcPr>
          <w:p>
            <w:pPr>
              <w:spacing w:after="60" w:before="60"/>
            </w:pPr>
            <w:r>
              <w:rPr>
                <w:sz w:val="18"/>
              </w:rPr>
              <w:t>Python</w:t>
            </w:r>
          </w:p>
        </w:tc>
        <w:tc>
          <w:tcPr>
            <w:tcW w:type="dxa" w:w="6336"/>
            <w:tcBorders>
              <w:top w:val="single" w:sz="4" w:color="D9D9D9"/>
              <w:left w:val="single" w:sz="4" w:color="D9D9D9"/>
              <w:bottom w:val="single" w:sz="4" w:color="D9D9D9"/>
              <w:right w:val="single" w:sz="4" w:color="D9D9D9"/>
            </w:tcBorders>
            <w:vAlign w:val="center"/>
          </w:tcPr>
          <w:p>
            <w:pPr>
              <w:spacing w:after="60" w:before="60"/>
            </w:pPr>
            <w:r>
              <w:rPr>
                <w:sz w:val="18"/>
              </w:rPr>
              <w:t>Core programming language</w:t>
            </w:r>
          </w:p>
        </w:tc>
      </w:tr>
      <w:tr>
        <w:tc>
          <w:tcPr>
            <w:tcW w:type="dxa" w:w="3024"/>
            <w:tcBorders>
              <w:top w:val="single" w:sz="4" w:color="D9D9D9"/>
              <w:left w:val="single" w:sz="4" w:color="D9D9D9"/>
              <w:bottom w:val="single" w:sz="4" w:color="D9D9D9"/>
              <w:right w:val="single" w:sz="4" w:color="D9D9D9"/>
            </w:tcBorders>
            <w:shd w:fill="F3F7FB"/>
            <w:vAlign w:val="center"/>
          </w:tcPr>
          <w:p>
            <w:pPr>
              <w:spacing w:after="60" w:before="60"/>
            </w:pPr>
            <w:r>
              <w:rPr>
                <w:sz w:val="18"/>
              </w:rPr>
              <w:t>Pandas and NumPy</w:t>
            </w:r>
          </w:p>
        </w:tc>
        <w:tc>
          <w:tcPr>
            <w:tcW w:type="dxa" w:w="6336"/>
            <w:tcBorders>
              <w:top w:val="single" w:sz="4" w:color="D9D9D9"/>
              <w:left w:val="single" w:sz="4" w:color="D9D9D9"/>
              <w:bottom w:val="single" w:sz="4" w:color="D9D9D9"/>
              <w:right w:val="single" w:sz="4" w:color="D9D9D9"/>
            </w:tcBorders>
            <w:shd w:fill="F3F7FB"/>
            <w:vAlign w:val="center"/>
          </w:tcPr>
          <w:p>
            <w:pPr>
              <w:spacing w:after="60" w:before="60"/>
            </w:pPr>
            <w:r>
              <w:rPr>
                <w:sz w:val="18"/>
              </w:rPr>
              <w:t>Data loading, cleaning, and transformation</w:t>
            </w:r>
          </w:p>
        </w:tc>
      </w:tr>
      <w:tr>
        <w:tc>
          <w:tcPr>
            <w:tcW w:type="dxa" w:w="3024"/>
            <w:tcBorders>
              <w:top w:val="single" w:sz="4" w:color="D9D9D9"/>
              <w:left w:val="single" w:sz="4" w:color="D9D9D9"/>
              <w:bottom w:val="single" w:sz="4" w:color="D9D9D9"/>
              <w:right w:val="single" w:sz="4" w:color="D9D9D9"/>
            </w:tcBorders>
            <w:vAlign w:val="center"/>
          </w:tcPr>
          <w:p>
            <w:pPr>
              <w:spacing w:after="60" w:before="60"/>
            </w:pPr>
            <w:r>
              <w:rPr>
                <w:sz w:val="18"/>
              </w:rPr>
              <w:t>Streamlit</w:t>
            </w:r>
          </w:p>
        </w:tc>
        <w:tc>
          <w:tcPr>
            <w:tcW w:type="dxa" w:w="6336"/>
            <w:tcBorders>
              <w:top w:val="single" w:sz="4" w:color="D9D9D9"/>
              <w:left w:val="single" w:sz="4" w:color="D9D9D9"/>
              <w:bottom w:val="single" w:sz="4" w:color="D9D9D9"/>
              <w:right w:val="single" w:sz="4" w:color="D9D9D9"/>
            </w:tcBorders>
            <w:vAlign w:val="center"/>
          </w:tcPr>
          <w:p>
            <w:pPr>
              <w:spacing w:after="60" w:before="60"/>
            </w:pPr>
            <w:r>
              <w:rPr>
                <w:sz w:val="18"/>
              </w:rPr>
              <w:t>Interactive web dashboard</w:t>
            </w:r>
          </w:p>
        </w:tc>
      </w:tr>
      <w:tr>
        <w:tc>
          <w:tcPr>
            <w:tcW w:type="dxa" w:w="3024"/>
            <w:tcBorders>
              <w:top w:val="single" w:sz="4" w:color="D9D9D9"/>
              <w:left w:val="single" w:sz="4" w:color="D9D9D9"/>
              <w:bottom w:val="single" w:sz="4" w:color="D9D9D9"/>
              <w:right w:val="single" w:sz="4" w:color="D9D9D9"/>
            </w:tcBorders>
            <w:shd w:fill="F3F7FB"/>
            <w:vAlign w:val="center"/>
          </w:tcPr>
          <w:p>
            <w:pPr>
              <w:spacing w:after="60" w:before="60"/>
            </w:pPr>
            <w:r>
              <w:rPr>
                <w:sz w:val="18"/>
              </w:rPr>
              <w:t>Plotly</w:t>
            </w:r>
          </w:p>
        </w:tc>
        <w:tc>
          <w:tcPr>
            <w:tcW w:type="dxa" w:w="6336"/>
            <w:tcBorders>
              <w:top w:val="single" w:sz="4" w:color="D9D9D9"/>
              <w:left w:val="single" w:sz="4" w:color="D9D9D9"/>
              <w:bottom w:val="single" w:sz="4" w:color="D9D9D9"/>
              <w:right w:val="single" w:sz="4" w:color="D9D9D9"/>
            </w:tcBorders>
            <w:shd w:fill="F3F7FB"/>
            <w:vAlign w:val="center"/>
          </w:tcPr>
          <w:p>
            <w:pPr>
              <w:spacing w:after="60" w:before="60"/>
            </w:pPr>
            <w:r>
              <w:rPr>
                <w:sz w:val="18"/>
              </w:rPr>
              <w:t>Interactive charts and visualisations</w:t>
            </w:r>
          </w:p>
        </w:tc>
      </w:tr>
      <w:tr>
        <w:tc>
          <w:tcPr>
            <w:tcW w:type="dxa" w:w="3024"/>
            <w:tcBorders>
              <w:top w:val="single" w:sz="4" w:color="D9D9D9"/>
              <w:left w:val="single" w:sz="4" w:color="D9D9D9"/>
              <w:bottom w:val="single" w:sz="4" w:color="D9D9D9"/>
              <w:right w:val="single" w:sz="4" w:color="D9D9D9"/>
            </w:tcBorders>
            <w:vAlign w:val="center"/>
          </w:tcPr>
          <w:p>
            <w:pPr>
              <w:spacing w:after="60" w:before="60"/>
            </w:pPr>
            <w:r>
              <w:rPr>
                <w:sz w:val="18"/>
              </w:rPr>
              <w:t>scikit-learn</w:t>
            </w:r>
          </w:p>
        </w:tc>
        <w:tc>
          <w:tcPr>
            <w:tcW w:type="dxa" w:w="6336"/>
            <w:tcBorders>
              <w:top w:val="single" w:sz="4" w:color="D9D9D9"/>
              <w:left w:val="single" w:sz="4" w:color="D9D9D9"/>
              <w:bottom w:val="single" w:sz="4" w:color="D9D9D9"/>
              <w:right w:val="single" w:sz="4" w:color="D9D9D9"/>
            </w:tcBorders>
            <w:vAlign w:val="center"/>
          </w:tcPr>
          <w:p>
            <w:pPr>
              <w:spacing w:after="60" w:before="60"/>
            </w:pPr>
            <w:r>
              <w:rPr>
                <w:sz w:val="18"/>
              </w:rPr>
              <w:t>Preprocessing pipeline, classification models, and evaluation</w:t>
            </w:r>
          </w:p>
        </w:tc>
      </w:tr>
    </w:tbl>
    <w:p>
      <w:pPr>
        <w:spacing w:after="40"/>
      </w:pPr>
    </w:p>
    <w:p>
      <w:pPr>
        <w:jc w:val="center"/>
      </w:pPr>
      <w:r>
        <w:drawing>
          <wp:inline xmlns:a="http://schemas.openxmlformats.org/drawingml/2006/main" xmlns:pic="http://schemas.openxmlformats.org/drawingml/2006/picture">
            <wp:extent cx="5897880" cy="2655123"/>
            <wp:docPr id="2" name="Picture 2"/>
            <wp:cNvGraphicFramePr>
              <a:graphicFrameLocks noChangeAspect="1"/>
            </wp:cNvGraphicFramePr>
            <a:graphic>
              <a:graphicData uri="http://schemas.openxmlformats.org/drawingml/2006/picture">
                <pic:pic>
                  <pic:nvPicPr>
                    <pic:cNvPr id="0" name="raw.png"/>
                    <pic:cNvPicPr/>
                  </pic:nvPicPr>
                  <pic:blipFill>
                    <a:blip r:embed="rId11"/>
                    <a:stretch>
                      <a:fillRect/>
                    </a:stretch>
                  </pic:blipFill>
                  <pic:spPr>
                    <a:xfrm>
                      <a:off x="0" y="0"/>
                      <a:ext cx="5897880" cy="2655123"/>
                    </a:xfrm>
                    <a:prstGeom prst="rect"/>
                  </pic:spPr>
                </pic:pic>
              </a:graphicData>
            </a:graphic>
          </wp:inline>
        </w:drawing>
      </w:r>
    </w:p>
    <w:p>
      <w:pPr>
        <w:spacing w:after="200"/>
        <w:jc w:val="center"/>
      </w:pPr>
      <w:r>
        <w:rPr>
          <w:i/>
          <w:sz w:val="18"/>
        </w:rPr>
        <w:t>Figure 2. Raw dataset information and missing-value profile.</w:t>
      </w:r>
    </w:p>
    <w:p>
      <w:r>
        <w:br w:type="page"/>
      </w:r>
    </w:p>
    <w:p>
      <w:pPr>
        <w:pStyle w:val="Heading1"/>
      </w:pPr>
      <w:r>
        <w:t>3. System Design and Methodology</w:t>
      </w:r>
    </w:p>
    <w:p>
      <w:pPr>
        <w:pStyle w:val="Heading2"/>
      </w:pPr>
      <w:r>
        <w:t>3.1 Data Preparation</w:t>
      </w:r>
    </w:p>
    <w:p>
      <w:pPr>
        <w:spacing w:line="269" w:lineRule="auto"/>
      </w:pPr>
      <w:r>
        <w:t>The original CSV is retained unchanged. Cleaning is performed on an in-memory copy so that the source data remains available for audit and comparison. The workflow removes duplicate records, interprets Select as a missing value, imputes numeric missing values with the median, imputes categorical fields with Unknown or the mode, removes surrounding whitespace, and standardises Lead Source formatting.</w:t>
      </w:r>
    </w:p>
    <w:p>
      <w:pPr>
        <w:jc w:val="center"/>
      </w:pPr>
      <w:r>
        <w:drawing>
          <wp:inline xmlns:a="http://schemas.openxmlformats.org/drawingml/2006/main" xmlns:pic="http://schemas.openxmlformats.org/drawingml/2006/picture">
            <wp:extent cx="5897880" cy="2627433"/>
            <wp:docPr id="3" name="Picture 3"/>
            <wp:cNvGraphicFramePr>
              <a:graphicFrameLocks noChangeAspect="1"/>
            </wp:cNvGraphicFramePr>
            <a:graphic>
              <a:graphicData uri="http://schemas.openxmlformats.org/drawingml/2006/picture">
                <pic:pic>
                  <pic:nvPicPr>
                    <pic:cNvPr id="0" name="clean.png"/>
                    <pic:cNvPicPr/>
                  </pic:nvPicPr>
                  <pic:blipFill>
                    <a:blip r:embed="rId12"/>
                    <a:stretch>
                      <a:fillRect/>
                    </a:stretch>
                  </pic:blipFill>
                  <pic:spPr>
                    <a:xfrm>
                      <a:off x="0" y="0"/>
                      <a:ext cx="5897880" cy="2627433"/>
                    </a:xfrm>
                    <a:prstGeom prst="rect"/>
                  </pic:spPr>
                </pic:pic>
              </a:graphicData>
            </a:graphic>
          </wp:inline>
        </w:drawing>
      </w:r>
    </w:p>
    <w:p>
      <w:pPr>
        <w:spacing w:after="200"/>
        <w:jc w:val="center"/>
      </w:pPr>
      <w:r>
        <w:rPr>
          <w:i/>
          <w:sz w:val="18"/>
        </w:rPr>
        <w:t>Figure 3. Cleaning steps implemented in the dashboard.</w:t>
      </w:r>
    </w:p>
    <w:p>
      <w:pPr>
        <w:pStyle w:val="Heading2"/>
      </w:pPr>
      <w:r>
        <w:t>3.2 Four Tier Analytics Framework</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17365D"/>
            <w:tcBorders>
              <w:top w:val="single" w:sz="4" w:color="D9D9D9"/>
              <w:left w:val="single" w:sz="4" w:color="D9D9D9"/>
              <w:bottom w:val="single" w:sz="4" w:color="D9D9D9"/>
              <w:right w:val="single" w:sz="4" w:color="D9D9D9"/>
            </w:tcBorders>
            <w:vAlign w:val="center"/>
          </w:tcPr>
          <w:p>
            <w:r>
              <w:rPr>
                <w:b/>
                <w:color w:val="FFFFFF"/>
                <w:sz w:val="18"/>
              </w:rPr>
              <w:t>Tier</w:t>
            </w:r>
          </w:p>
        </w:tc>
        <w:tc>
          <w:tcPr>
            <w:tcW w:type="dxa" w:w="2160"/>
            <w:shd w:fill="17365D"/>
            <w:tcBorders>
              <w:top w:val="single" w:sz="4" w:color="D9D9D9"/>
              <w:left w:val="single" w:sz="4" w:color="D9D9D9"/>
              <w:bottom w:val="single" w:sz="4" w:color="D9D9D9"/>
              <w:right w:val="single" w:sz="4" w:color="D9D9D9"/>
            </w:tcBorders>
            <w:vAlign w:val="center"/>
          </w:tcPr>
          <w:p>
            <w:r>
              <w:rPr>
                <w:b/>
                <w:color w:val="FFFFFF"/>
                <w:sz w:val="18"/>
              </w:rPr>
              <w:t>Question</w:t>
            </w:r>
          </w:p>
        </w:tc>
        <w:tc>
          <w:tcPr>
            <w:tcW w:type="dxa" w:w="5616"/>
            <w:shd w:fill="17365D"/>
            <w:tcBorders>
              <w:top w:val="single" w:sz="4" w:color="D9D9D9"/>
              <w:left w:val="single" w:sz="4" w:color="D9D9D9"/>
              <w:bottom w:val="single" w:sz="4" w:color="D9D9D9"/>
              <w:right w:val="single" w:sz="4" w:color="D9D9D9"/>
            </w:tcBorders>
            <w:vAlign w:val="center"/>
          </w:tcPr>
          <w:p>
            <w:r>
              <w:rPr>
                <w:b/>
                <w:color w:val="FFFFFF"/>
                <w:sz w:val="18"/>
              </w:rPr>
              <w:t>Implementation</w:t>
            </w:r>
          </w:p>
        </w:tc>
      </w:tr>
      <w:tr>
        <w:tc>
          <w:tcPr>
            <w:tcW w:type="dxa" w:w="1584"/>
            <w:tcBorders>
              <w:top w:val="single" w:sz="4" w:color="D9D9D9"/>
              <w:left w:val="single" w:sz="4" w:color="D9D9D9"/>
              <w:bottom w:val="single" w:sz="4" w:color="D9D9D9"/>
              <w:right w:val="single" w:sz="4" w:color="D9D9D9"/>
            </w:tcBorders>
            <w:vAlign w:val="center"/>
          </w:tcPr>
          <w:p>
            <w:pPr>
              <w:spacing w:after="60" w:before="60"/>
            </w:pPr>
            <w:r>
              <w:rPr>
                <w:sz w:val="18"/>
              </w:rPr>
              <w:t>Descriptive</w:t>
            </w:r>
          </w:p>
        </w:tc>
        <w:tc>
          <w:tcPr>
            <w:tcW w:type="dxa" w:w="2160"/>
            <w:tcBorders>
              <w:top w:val="single" w:sz="4" w:color="D9D9D9"/>
              <w:left w:val="single" w:sz="4" w:color="D9D9D9"/>
              <w:bottom w:val="single" w:sz="4" w:color="D9D9D9"/>
              <w:right w:val="single" w:sz="4" w:color="D9D9D9"/>
            </w:tcBorders>
            <w:vAlign w:val="center"/>
          </w:tcPr>
          <w:p>
            <w:pPr>
              <w:spacing w:after="60" w:before="60"/>
            </w:pPr>
            <w:r>
              <w:rPr>
                <w:sz w:val="18"/>
              </w:rPr>
              <w:t>What happened?</w:t>
            </w:r>
          </w:p>
        </w:tc>
        <w:tc>
          <w:tcPr>
            <w:tcW w:type="dxa" w:w="5616"/>
            <w:tcBorders>
              <w:top w:val="single" w:sz="4" w:color="D9D9D9"/>
              <w:left w:val="single" w:sz="4" w:color="D9D9D9"/>
              <w:bottom w:val="single" w:sz="4" w:color="D9D9D9"/>
              <w:right w:val="single" w:sz="4" w:color="D9D9D9"/>
            </w:tcBorders>
            <w:vAlign w:val="center"/>
          </w:tcPr>
          <w:p>
            <w:pPr>
              <w:spacing w:after="60" w:before="60"/>
            </w:pPr>
            <w:r>
              <w:rPr>
                <w:sz w:val="18"/>
              </w:rPr>
              <w:t>KPIs, conversion split, source and behaviour distributions</w:t>
            </w:r>
          </w:p>
        </w:tc>
      </w:tr>
      <w:tr>
        <w:tc>
          <w:tcPr>
            <w:tcW w:type="dxa" w:w="1584"/>
            <w:tcBorders>
              <w:top w:val="single" w:sz="4" w:color="D9D9D9"/>
              <w:left w:val="single" w:sz="4" w:color="D9D9D9"/>
              <w:bottom w:val="single" w:sz="4" w:color="D9D9D9"/>
              <w:right w:val="single" w:sz="4" w:color="D9D9D9"/>
            </w:tcBorders>
            <w:shd w:fill="F3F7FB"/>
            <w:vAlign w:val="center"/>
          </w:tcPr>
          <w:p>
            <w:pPr>
              <w:spacing w:after="60" w:before="60"/>
            </w:pPr>
            <w:r>
              <w:rPr>
                <w:sz w:val="18"/>
              </w:rPr>
              <w:t>Diagnostic</w:t>
            </w:r>
          </w:p>
        </w:tc>
        <w:tc>
          <w:tcPr>
            <w:tcW w:type="dxa" w:w="2160"/>
            <w:tcBorders>
              <w:top w:val="single" w:sz="4" w:color="D9D9D9"/>
              <w:left w:val="single" w:sz="4" w:color="D9D9D9"/>
              <w:bottom w:val="single" w:sz="4" w:color="D9D9D9"/>
              <w:right w:val="single" w:sz="4" w:color="D9D9D9"/>
            </w:tcBorders>
            <w:shd w:fill="F3F7FB"/>
            <w:vAlign w:val="center"/>
          </w:tcPr>
          <w:p>
            <w:pPr>
              <w:spacing w:after="60" w:before="60"/>
            </w:pPr>
            <w:r>
              <w:rPr>
                <w:sz w:val="18"/>
              </w:rPr>
              <w:t>Why did it happen?</w:t>
            </w:r>
          </w:p>
        </w:tc>
        <w:tc>
          <w:tcPr>
            <w:tcW w:type="dxa" w:w="5616"/>
            <w:tcBorders>
              <w:top w:val="single" w:sz="4" w:color="D9D9D9"/>
              <w:left w:val="single" w:sz="4" w:color="D9D9D9"/>
              <w:bottom w:val="single" w:sz="4" w:color="D9D9D9"/>
              <w:right w:val="single" w:sz="4" w:color="D9D9D9"/>
            </w:tcBorders>
            <w:shd w:fill="F3F7FB"/>
            <w:vAlign w:val="center"/>
          </w:tcPr>
          <w:p>
            <w:pPr>
              <w:spacing w:after="60" w:before="60"/>
            </w:pPr>
            <w:r>
              <w:rPr>
                <w:sz w:val="18"/>
              </w:rPr>
              <w:t>Numeric and categorical comparisons plus written insights</w:t>
            </w:r>
          </w:p>
        </w:tc>
      </w:tr>
      <w:tr>
        <w:tc>
          <w:tcPr>
            <w:tcW w:type="dxa" w:w="1584"/>
            <w:tcBorders>
              <w:top w:val="single" w:sz="4" w:color="D9D9D9"/>
              <w:left w:val="single" w:sz="4" w:color="D9D9D9"/>
              <w:bottom w:val="single" w:sz="4" w:color="D9D9D9"/>
              <w:right w:val="single" w:sz="4" w:color="D9D9D9"/>
            </w:tcBorders>
            <w:vAlign w:val="center"/>
          </w:tcPr>
          <w:p>
            <w:pPr>
              <w:spacing w:after="60" w:before="60"/>
            </w:pPr>
            <w:r>
              <w:rPr>
                <w:sz w:val="18"/>
              </w:rPr>
              <w:t>Predictive</w:t>
            </w:r>
          </w:p>
        </w:tc>
        <w:tc>
          <w:tcPr>
            <w:tcW w:type="dxa" w:w="2160"/>
            <w:tcBorders>
              <w:top w:val="single" w:sz="4" w:color="D9D9D9"/>
              <w:left w:val="single" w:sz="4" w:color="D9D9D9"/>
              <w:bottom w:val="single" w:sz="4" w:color="D9D9D9"/>
              <w:right w:val="single" w:sz="4" w:color="D9D9D9"/>
            </w:tcBorders>
            <w:vAlign w:val="center"/>
          </w:tcPr>
          <w:p>
            <w:pPr>
              <w:spacing w:after="60" w:before="60"/>
            </w:pPr>
            <w:r>
              <w:rPr>
                <w:sz w:val="18"/>
              </w:rPr>
              <w:t>What is likely to happen?</w:t>
            </w:r>
          </w:p>
        </w:tc>
        <w:tc>
          <w:tcPr>
            <w:tcW w:type="dxa" w:w="5616"/>
            <w:tcBorders>
              <w:top w:val="single" w:sz="4" w:color="D9D9D9"/>
              <w:left w:val="single" w:sz="4" w:color="D9D9D9"/>
              <w:bottom w:val="single" w:sz="4" w:color="D9D9D9"/>
              <w:right w:val="single" w:sz="4" w:color="D9D9D9"/>
            </w:tcBorders>
            <w:vAlign w:val="center"/>
          </w:tcPr>
          <w:p>
            <w:pPr>
              <w:spacing w:after="60" w:before="60"/>
            </w:pPr>
            <w:r>
              <w:rPr>
                <w:sz w:val="18"/>
              </w:rPr>
              <w:t>Logistic Regression and Random Forest classification</w:t>
            </w:r>
          </w:p>
        </w:tc>
      </w:tr>
      <w:tr>
        <w:tc>
          <w:tcPr>
            <w:tcW w:type="dxa" w:w="1584"/>
            <w:tcBorders>
              <w:top w:val="single" w:sz="4" w:color="D9D9D9"/>
              <w:left w:val="single" w:sz="4" w:color="D9D9D9"/>
              <w:bottom w:val="single" w:sz="4" w:color="D9D9D9"/>
              <w:right w:val="single" w:sz="4" w:color="D9D9D9"/>
            </w:tcBorders>
            <w:shd w:fill="F3F7FB"/>
            <w:vAlign w:val="center"/>
          </w:tcPr>
          <w:p>
            <w:pPr>
              <w:spacing w:after="60" w:before="60"/>
            </w:pPr>
            <w:r>
              <w:rPr>
                <w:sz w:val="18"/>
              </w:rPr>
              <w:t>Prescriptive</w:t>
            </w:r>
          </w:p>
        </w:tc>
        <w:tc>
          <w:tcPr>
            <w:tcW w:type="dxa" w:w="2160"/>
            <w:tcBorders>
              <w:top w:val="single" w:sz="4" w:color="D9D9D9"/>
              <w:left w:val="single" w:sz="4" w:color="D9D9D9"/>
              <w:bottom w:val="single" w:sz="4" w:color="D9D9D9"/>
              <w:right w:val="single" w:sz="4" w:color="D9D9D9"/>
            </w:tcBorders>
            <w:shd w:fill="F3F7FB"/>
            <w:vAlign w:val="center"/>
          </w:tcPr>
          <w:p>
            <w:pPr>
              <w:spacing w:after="60" w:before="60"/>
            </w:pPr>
            <w:r>
              <w:rPr>
                <w:sz w:val="18"/>
              </w:rPr>
              <w:t>What should we do?</w:t>
            </w:r>
          </w:p>
        </w:tc>
        <w:tc>
          <w:tcPr>
            <w:tcW w:type="dxa" w:w="5616"/>
            <w:tcBorders>
              <w:top w:val="single" w:sz="4" w:color="D9D9D9"/>
              <w:left w:val="single" w:sz="4" w:color="D9D9D9"/>
              <w:bottom w:val="single" w:sz="4" w:color="D9D9D9"/>
              <w:right w:val="single" w:sz="4" w:color="D9D9D9"/>
            </w:tcBorders>
            <w:shd w:fill="F3F7FB"/>
            <w:vAlign w:val="center"/>
          </w:tcPr>
          <w:p>
            <w:pPr>
              <w:spacing w:after="60" w:before="60"/>
            </w:pPr>
            <w:r>
              <w:rPr>
                <w:sz w:val="18"/>
              </w:rPr>
              <w:t>Probability-based lead categories and follow-up actions</w:t>
            </w:r>
          </w:p>
        </w:tc>
      </w:tr>
    </w:tbl>
    <w:p>
      <w:pPr>
        <w:spacing w:after="40"/>
      </w:pPr>
    </w:p>
    <w:p>
      <w:pPr>
        <w:pStyle w:val="Heading2"/>
      </w:pPr>
      <w:r>
        <w:t>3.3 Predictive Modelling Workflow</w:t>
      </w:r>
    </w:p>
    <w:p>
      <w:pPr>
        <w:spacing w:line="269" w:lineRule="auto"/>
      </w:pPr>
      <w:r>
        <w:t>Prospect ID and Lead Number are excluded from modelling because they are identifiers rather than meaningful predictors. Numeric fields are median-imputed and standardised. Categorical fields are imputed and one-hot encoded with unknown-category handling. The data is split into training and test sets using an 80:20 stratified split with random state 42. Logistic Regression and Random Forest are trained in scikit-learn pipelines and compared using accuracy, precision, recall, F1-score, and ROC-AUC.</w:t>
      </w:r>
    </w:p>
    <w:p>
      <w:r>
        <w:br w:type="page"/>
      </w:r>
    </w:p>
    <w:p>
      <w:pPr>
        <w:pStyle w:val="Heading1"/>
      </w:pPr>
      <w:r>
        <w:t>4. Analytics Findings</w:t>
      </w:r>
    </w:p>
    <w:p>
      <w:pPr>
        <w:pStyle w:val="Heading2"/>
      </w:pPr>
      <w:r>
        <w:t>4.1 Descriptive Analytics</w:t>
      </w:r>
    </w:p>
    <w:p>
      <w:pPr>
        <w:spacing w:line="269" w:lineRule="auto"/>
      </w:pPr>
      <w:r>
        <w:t>The dashboard shows that 38.5 percent of the available leads converted. The majority, 61.5 percent, did not convert, which establishes the opportunity for prioritised outreach and more targeted nurture campaigns.</w:t>
      </w:r>
    </w:p>
    <w:p>
      <w:pPr>
        <w:jc w:val="center"/>
      </w:pPr>
      <w:r>
        <w:drawing>
          <wp:inline xmlns:a="http://schemas.openxmlformats.org/drawingml/2006/main" xmlns:pic="http://schemas.openxmlformats.org/drawingml/2006/picture">
            <wp:extent cx="5897880" cy="2642816"/>
            <wp:docPr id="4" name="Picture 4"/>
            <wp:cNvGraphicFramePr>
              <a:graphicFrameLocks noChangeAspect="1"/>
            </wp:cNvGraphicFramePr>
            <a:graphic>
              <a:graphicData uri="http://schemas.openxmlformats.org/drawingml/2006/picture">
                <pic:pic>
                  <pic:nvPicPr>
                    <pic:cNvPr id="0" name="conversion.png"/>
                    <pic:cNvPicPr/>
                  </pic:nvPicPr>
                  <pic:blipFill>
                    <a:blip r:embed="rId13"/>
                    <a:stretch>
                      <a:fillRect/>
                    </a:stretch>
                  </pic:blipFill>
                  <pic:spPr>
                    <a:xfrm>
                      <a:off x="0" y="0"/>
                      <a:ext cx="5897880" cy="2642816"/>
                    </a:xfrm>
                    <a:prstGeom prst="rect"/>
                  </pic:spPr>
                </pic:pic>
              </a:graphicData>
            </a:graphic>
          </wp:inline>
        </w:drawing>
      </w:r>
    </w:p>
    <w:p>
      <w:pPr>
        <w:spacing w:after="200"/>
        <w:jc w:val="center"/>
      </w:pPr>
      <w:r>
        <w:rPr>
          <w:i/>
          <w:sz w:val="18"/>
        </w:rPr>
        <w:t>Figure 4. Overall lead conversion split.</w:t>
      </w:r>
    </w:p>
    <w:p>
      <w:pPr>
        <w:spacing w:line="269" w:lineRule="auto"/>
      </w:pPr>
      <w:r>
        <w:t>Channel analysis highlights the importance of lead source and recent engagement. Welingak Website and Reference are among the strongest visible sources, while the highest conversion rates in the activity view appear for leads approached upfront, leads with a phone conversation, and leads receiving an SMS.</w:t>
      </w:r>
    </w:p>
    <w:p>
      <w:pPr>
        <w:jc w:val="center"/>
      </w:pPr>
      <w:r>
        <w:drawing>
          <wp:inline xmlns:a="http://schemas.openxmlformats.org/drawingml/2006/main" xmlns:pic="http://schemas.openxmlformats.org/drawingml/2006/picture">
            <wp:extent cx="5897880" cy="2652046"/>
            <wp:docPr id="5" name="Picture 5"/>
            <wp:cNvGraphicFramePr>
              <a:graphicFrameLocks noChangeAspect="1"/>
            </wp:cNvGraphicFramePr>
            <a:graphic>
              <a:graphicData uri="http://schemas.openxmlformats.org/drawingml/2006/picture">
                <pic:pic>
                  <pic:nvPicPr>
                    <pic:cNvPr id="0" name="channel.png"/>
                    <pic:cNvPicPr/>
                  </pic:nvPicPr>
                  <pic:blipFill>
                    <a:blip r:embed="rId14"/>
                    <a:stretch>
                      <a:fillRect/>
                    </a:stretch>
                  </pic:blipFill>
                  <pic:spPr>
                    <a:xfrm>
                      <a:off x="0" y="0"/>
                      <a:ext cx="5897880" cy="2652046"/>
                    </a:xfrm>
                    <a:prstGeom prst="rect"/>
                  </pic:spPr>
                </pic:pic>
              </a:graphicData>
            </a:graphic>
          </wp:inline>
        </w:drawing>
      </w:r>
    </w:p>
    <w:p>
      <w:pPr>
        <w:spacing w:after="200"/>
        <w:jc w:val="center"/>
      </w:pPr>
      <w:r>
        <w:rPr>
          <w:i/>
          <w:sz w:val="18"/>
        </w:rPr>
        <w:t>Figure 5. Conversion-rate comparison by lead source and last activity.</w:t>
      </w:r>
    </w:p>
    <w:p>
      <w:r>
        <w:br w:type="page"/>
      </w:r>
    </w:p>
    <w:p>
      <w:pPr>
        <w:pStyle w:val="Heading2"/>
      </w:pPr>
      <w:r>
        <w:t>4.2 Behavioural Patterns</w:t>
      </w:r>
    </w:p>
    <w:p>
      <w:pPr>
        <w:spacing w:line="269" w:lineRule="auto"/>
      </w:pPr>
      <w:r>
        <w:t>The TotalVisits distribution is right-skewed: most leads make relatively few visits while a small number of leads account for high visit counts. This makes median-based summaries more appropriate than relying only on means. Engagement variables should be considered together with source and last activity rather than in isolation.</w:t>
      </w:r>
    </w:p>
    <w:p>
      <w:pPr>
        <w:jc w:val="center"/>
      </w:pPr>
      <w:r>
        <w:drawing>
          <wp:inline xmlns:a="http://schemas.openxmlformats.org/drawingml/2006/main" xmlns:pic="http://schemas.openxmlformats.org/drawingml/2006/picture">
            <wp:extent cx="5897880" cy="2642816"/>
            <wp:docPr id="6" name="Picture 6"/>
            <wp:cNvGraphicFramePr>
              <a:graphicFrameLocks noChangeAspect="1"/>
            </wp:cNvGraphicFramePr>
            <a:graphic>
              <a:graphicData uri="http://schemas.openxmlformats.org/drawingml/2006/picture">
                <pic:pic>
                  <pic:nvPicPr>
                    <pic:cNvPr id="0" name="behaviour.png"/>
                    <pic:cNvPicPr/>
                  </pic:nvPicPr>
                  <pic:blipFill>
                    <a:blip r:embed="rId15"/>
                    <a:stretch>
                      <a:fillRect/>
                    </a:stretch>
                  </pic:blipFill>
                  <pic:spPr>
                    <a:xfrm>
                      <a:off x="0" y="0"/>
                      <a:ext cx="5897880" cy="2642816"/>
                    </a:xfrm>
                    <a:prstGeom prst="rect"/>
                  </pic:spPr>
                </pic:pic>
              </a:graphicData>
            </a:graphic>
          </wp:inline>
        </w:drawing>
      </w:r>
    </w:p>
    <w:p>
      <w:pPr>
        <w:spacing w:after="200"/>
        <w:jc w:val="center"/>
      </w:pPr>
      <w:r>
        <w:rPr>
          <w:i/>
          <w:sz w:val="18"/>
        </w:rPr>
        <w:t>Figure 6. Distribution of total website visits per lead.</w:t>
      </w:r>
    </w:p>
    <w:p>
      <w:pPr>
        <w:pStyle w:val="Heading2"/>
      </w:pPr>
      <w:r>
        <w:t>4.3 Diagnostic Analytics</w:t>
      </w:r>
    </w:p>
    <w:p>
      <w:pPr>
        <w:spacing w:line="269" w:lineRule="auto"/>
      </w:pPr>
      <w:r>
        <w:t>Converted leads spent a median of 832 minutes on the website, compared with 179 minutes for non-converted leads. This is a strong engagement signal in the data. In contrast, both groups show a median of three website visits, suggesting that time spent exploring content is more discriminating than the median visit count alone.</w:t>
      </w:r>
    </w:p>
    <w:p>
      <w:pPr>
        <w:jc w:val="center"/>
      </w:pPr>
      <w:r>
        <w:drawing>
          <wp:inline xmlns:a="http://schemas.openxmlformats.org/drawingml/2006/main" xmlns:pic="http://schemas.openxmlformats.org/drawingml/2006/picture">
            <wp:extent cx="5897880" cy="2676323"/>
            <wp:docPr id="7" name="Picture 7"/>
            <wp:cNvGraphicFramePr>
              <a:graphicFrameLocks noChangeAspect="1"/>
            </wp:cNvGraphicFramePr>
            <a:graphic>
              <a:graphicData uri="http://schemas.openxmlformats.org/drawingml/2006/picture">
                <pic:pic>
                  <pic:nvPicPr>
                    <pic:cNvPr id="0" name="numeric.png"/>
                    <pic:cNvPicPr/>
                  </pic:nvPicPr>
                  <pic:blipFill>
                    <a:blip r:embed="rId16"/>
                    <a:stretch>
                      <a:fillRect/>
                    </a:stretch>
                  </pic:blipFill>
                  <pic:spPr>
                    <a:xfrm>
                      <a:off x="0" y="0"/>
                      <a:ext cx="5897880" cy="2676323"/>
                    </a:xfrm>
                    <a:prstGeom prst="rect"/>
                  </pic:spPr>
                </pic:pic>
              </a:graphicData>
            </a:graphic>
          </wp:inline>
        </w:drawing>
      </w:r>
    </w:p>
    <w:p>
      <w:pPr>
        <w:spacing w:after="200"/>
        <w:jc w:val="center"/>
      </w:pPr>
      <w:r>
        <w:rPr>
          <w:i/>
          <w:sz w:val="18"/>
        </w:rPr>
        <w:t>Figure 7. TotalVisits distribution by conversion status.</w:t>
      </w:r>
    </w:p>
    <w:p>
      <w:pPr>
        <w:jc w:val="center"/>
      </w:pPr>
      <w:r>
        <w:drawing>
          <wp:inline xmlns:a="http://schemas.openxmlformats.org/drawingml/2006/main" xmlns:pic="http://schemas.openxmlformats.org/drawingml/2006/picture">
            <wp:extent cx="5897880" cy="2642497"/>
            <wp:docPr id="8" name="Picture 8"/>
            <wp:cNvGraphicFramePr>
              <a:graphicFrameLocks noChangeAspect="1"/>
            </wp:cNvGraphicFramePr>
            <a:graphic>
              <a:graphicData uri="http://schemas.openxmlformats.org/drawingml/2006/picture">
                <pic:pic>
                  <pic:nvPicPr>
                    <pic:cNvPr id="0" name="insights.png"/>
                    <pic:cNvPicPr/>
                  </pic:nvPicPr>
                  <pic:blipFill>
                    <a:blip r:embed="rId17"/>
                    <a:stretch>
                      <a:fillRect/>
                    </a:stretch>
                  </pic:blipFill>
                  <pic:spPr>
                    <a:xfrm>
                      <a:off x="0" y="0"/>
                      <a:ext cx="5897880" cy="2642497"/>
                    </a:xfrm>
                    <a:prstGeom prst="rect"/>
                  </pic:spPr>
                </pic:pic>
              </a:graphicData>
            </a:graphic>
          </wp:inline>
        </w:drawing>
      </w:r>
    </w:p>
    <w:p>
      <w:pPr>
        <w:spacing w:after="200"/>
        <w:jc w:val="center"/>
      </w:pPr>
      <w:r>
        <w:rPr>
          <w:i/>
          <w:sz w:val="18"/>
        </w:rPr>
        <w:t>Figure 8. Dashboard-generated diagnostic business insights.</w:t>
      </w:r>
    </w:p>
    <w:p>
      <w:r>
        <w:br w:type="page"/>
      </w:r>
    </w:p>
    <w:p>
      <w:pPr>
        <w:pStyle w:val="Heading1"/>
      </w:pPr>
      <w:r>
        <w:t>5. Predictive Model Results</w:t>
      </w:r>
    </w:p>
    <w:p>
      <w:pPr>
        <w:spacing w:line="269" w:lineRule="auto"/>
      </w:pPr>
      <w:r>
        <w:t>Two supervised classifiers were evaluated. Random Forest was selected because it achieved the highest ROC-AUC on the test set. Its performance indicates strong separation between converted and non-converted leads in this dataset. These results should be validated on new, future leads before a production deployment.</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944"/>
            <w:shd w:fill="17365D"/>
            <w:tcBorders>
              <w:top w:val="single" w:sz="4" w:color="D9D9D9"/>
              <w:left w:val="single" w:sz="4" w:color="D9D9D9"/>
              <w:bottom w:val="single" w:sz="4" w:color="D9D9D9"/>
              <w:right w:val="single" w:sz="4" w:color="D9D9D9"/>
            </w:tcBorders>
            <w:vAlign w:val="center"/>
          </w:tcPr>
          <w:p>
            <w:r>
              <w:rPr>
                <w:b/>
                <w:color w:val="FFFFFF"/>
                <w:sz w:val="18"/>
              </w:rPr>
              <w:t>Model</w:t>
            </w:r>
          </w:p>
        </w:tc>
        <w:tc>
          <w:tcPr>
            <w:tcW w:type="dxa" w:w="1152"/>
            <w:shd w:fill="17365D"/>
            <w:tcBorders>
              <w:top w:val="single" w:sz="4" w:color="D9D9D9"/>
              <w:left w:val="single" w:sz="4" w:color="D9D9D9"/>
              <w:bottom w:val="single" w:sz="4" w:color="D9D9D9"/>
              <w:right w:val="single" w:sz="4" w:color="D9D9D9"/>
            </w:tcBorders>
            <w:vAlign w:val="center"/>
          </w:tcPr>
          <w:p>
            <w:r>
              <w:rPr>
                <w:b/>
                <w:color w:val="FFFFFF"/>
                <w:sz w:val="18"/>
              </w:rPr>
              <w:t>Accuracy</w:t>
            </w:r>
          </w:p>
        </w:tc>
        <w:tc>
          <w:tcPr>
            <w:tcW w:type="dxa" w:w="1152"/>
            <w:shd w:fill="17365D"/>
            <w:tcBorders>
              <w:top w:val="single" w:sz="4" w:color="D9D9D9"/>
              <w:left w:val="single" w:sz="4" w:color="D9D9D9"/>
              <w:bottom w:val="single" w:sz="4" w:color="D9D9D9"/>
              <w:right w:val="single" w:sz="4" w:color="D9D9D9"/>
            </w:tcBorders>
            <w:vAlign w:val="center"/>
          </w:tcPr>
          <w:p>
            <w:r>
              <w:rPr>
                <w:b/>
                <w:color w:val="FFFFFF"/>
                <w:sz w:val="18"/>
              </w:rPr>
              <w:t>Precision</w:t>
            </w:r>
          </w:p>
        </w:tc>
        <w:tc>
          <w:tcPr>
            <w:tcW w:type="dxa" w:w="1080"/>
            <w:shd w:fill="17365D"/>
            <w:tcBorders>
              <w:top w:val="single" w:sz="4" w:color="D9D9D9"/>
              <w:left w:val="single" w:sz="4" w:color="D9D9D9"/>
              <w:bottom w:val="single" w:sz="4" w:color="D9D9D9"/>
              <w:right w:val="single" w:sz="4" w:color="D9D9D9"/>
            </w:tcBorders>
            <w:vAlign w:val="center"/>
          </w:tcPr>
          <w:p>
            <w:r>
              <w:rPr>
                <w:b/>
                <w:color w:val="FFFFFF"/>
                <w:sz w:val="18"/>
              </w:rPr>
              <w:t>Recall</w:t>
            </w:r>
          </w:p>
        </w:tc>
        <w:tc>
          <w:tcPr>
            <w:tcW w:type="dxa" w:w="1152"/>
            <w:shd w:fill="17365D"/>
            <w:tcBorders>
              <w:top w:val="single" w:sz="4" w:color="D9D9D9"/>
              <w:left w:val="single" w:sz="4" w:color="D9D9D9"/>
              <w:bottom w:val="single" w:sz="4" w:color="D9D9D9"/>
              <w:right w:val="single" w:sz="4" w:color="D9D9D9"/>
            </w:tcBorders>
            <w:vAlign w:val="center"/>
          </w:tcPr>
          <w:p>
            <w:r>
              <w:rPr>
                <w:b/>
                <w:color w:val="FFFFFF"/>
                <w:sz w:val="18"/>
              </w:rPr>
              <w:t>F1-score</w:t>
            </w:r>
          </w:p>
        </w:tc>
        <w:tc>
          <w:tcPr>
            <w:tcW w:type="dxa" w:w="1080"/>
            <w:shd w:fill="17365D"/>
            <w:tcBorders>
              <w:top w:val="single" w:sz="4" w:color="D9D9D9"/>
              <w:left w:val="single" w:sz="4" w:color="D9D9D9"/>
              <w:bottom w:val="single" w:sz="4" w:color="D9D9D9"/>
              <w:right w:val="single" w:sz="4" w:color="D9D9D9"/>
            </w:tcBorders>
            <w:vAlign w:val="center"/>
          </w:tcPr>
          <w:p>
            <w:r>
              <w:rPr>
                <w:b/>
                <w:color w:val="FFFFFF"/>
                <w:sz w:val="18"/>
              </w:rPr>
              <w:t>ROC-AUC</w:t>
            </w:r>
          </w:p>
        </w:tc>
        <w:tc>
          <w:tcPr>
            <w:tcW w:type="dxa" w:w="1440"/>
            <w:shd w:fill="17365D"/>
            <w:tcBorders>
              <w:top w:val="single" w:sz="4" w:color="D9D9D9"/>
              <w:left w:val="single" w:sz="4" w:color="D9D9D9"/>
              <w:bottom w:val="single" w:sz="4" w:color="D9D9D9"/>
              <w:right w:val="single" w:sz="4" w:color="D9D9D9"/>
            </w:tcBorders>
            <w:vAlign w:val="center"/>
          </w:tcPr>
          <w:p>
            <w:r>
              <w:rPr>
                <w:b/>
                <w:color w:val="FFFFFF"/>
                <w:sz w:val="18"/>
              </w:rPr>
              <w:t>Selection</w:t>
            </w:r>
          </w:p>
        </w:tc>
      </w:tr>
      <w:tr>
        <w:tc>
          <w:tcPr>
            <w:tcW w:type="dxa" w:w="1944"/>
            <w:tcBorders>
              <w:top w:val="single" w:sz="4" w:color="D9D9D9"/>
              <w:left w:val="single" w:sz="4" w:color="D9D9D9"/>
              <w:bottom w:val="single" w:sz="4" w:color="D9D9D9"/>
              <w:right w:val="single" w:sz="4" w:color="D9D9D9"/>
            </w:tcBorders>
            <w:vAlign w:val="center"/>
          </w:tcPr>
          <w:p>
            <w:pPr>
              <w:spacing w:after="60" w:before="60"/>
            </w:pPr>
            <w:r>
              <w:rPr>
                <w:sz w:val="18"/>
              </w:rPr>
              <w:t>Logistic Regression</w:t>
            </w:r>
          </w:p>
        </w:tc>
        <w:tc>
          <w:tcPr>
            <w:tcW w:type="dxa" w:w="1152"/>
            <w:tcBorders>
              <w:top w:val="single" w:sz="4" w:color="D9D9D9"/>
              <w:left w:val="single" w:sz="4" w:color="D9D9D9"/>
              <w:bottom w:val="single" w:sz="4" w:color="D9D9D9"/>
              <w:right w:val="single" w:sz="4" w:color="D9D9D9"/>
            </w:tcBorders>
            <w:vAlign w:val="center"/>
          </w:tcPr>
          <w:p>
            <w:pPr>
              <w:spacing w:after="60" w:before="60"/>
            </w:pPr>
            <w:r>
              <w:rPr>
                <w:sz w:val="18"/>
              </w:rPr>
              <w:t>0.9351</w:t>
            </w:r>
          </w:p>
        </w:tc>
        <w:tc>
          <w:tcPr>
            <w:tcW w:type="dxa" w:w="1152"/>
            <w:tcBorders>
              <w:top w:val="single" w:sz="4" w:color="D9D9D9"/>
              <w:left w:val="single" w:sz="4" w:color="D9D9D9"/>
              <w:bottom w:val="single" w:sz="4" w:color="D9D9D9"/>
              <w:right w:val="single" w:sz="4" w:color="D9D9D9"/>
            </w:tcBorders>
            <w:vAlign w:val="center"/>
          </w:tcPr>
          <w:p>
            <w:pPr>
              <w:spacing w:after="60" w:before="60"/>
            </w:pPr>
            <w:r>
              <w:rPr>
                <w:sz w:val="18"/>
              </w:rPr>
              <w:t>0.9302</w:t>
            </w:r>
          </w:p>
        </w:tc>
        <w:tc>
          <w:tcPr>
            <w:tcW w:type="dxa" w:w="1080"/>
            <w:tcBorders>
              <w:top w:val="single" w:sz="4" w:color="D9D9D9"/>
              <w:left w:val="single" w:sz="4" w:color="D9D9D9"/>
              <w:bottom w:val="single" w:sz="4" w:color="D9D9D9"/>
              <w:right w:val="single" w:sz="4" w:color="D9D9D9"/>
            </w:tcBorders>
            <w:vAlign w:val="center"/>
          </w:tcPr>
          <w:p>
            <w:pPr>
              <w:spacing w:after="60" w:before="60"/>
            </w:pPr>
            <w:r>
              <w:rPr>
                <w:sz w:val="18"/>
              </w:rPr>
              <w:t>0.8989</w:t>
            </w:r>
          </w:p>
        </w:tc>
        <w:tc>
          <w:tcPr>
            <w:tcW w:type="dxa" w:w="1152"/>
            <w:tcBorders>
              <w:top w:val="single" w:sz="4" w:color="D9D9D9"/>
              <w:left w:val="single" w:sz="4" w:color="D9D9D9"/>
              <w:bottom w:val="single" w:sz="4" w:color="D9D9D9"/>
              <w:right w:val="single" w:sz="4" w:color="D9D9D9"/>
            </w:tcBorders>
            <w:vAlign w:val="center"/>
          </w:tcPr>
          <w:p>
            <w:pPr>
              <w:spacing w:after="60" w:before="60"/>
            </w:pPr>
            <w:r>
              <w:rPr>
                <w:sz w:val="18"/>
              </w:rPr>
              <w:t>0.9143</w:t>
            </w:r>
          </w:p>
        </w:tc>
        <w:tc>
          <w:tcPr>
            <w:tcW w:type="dxa" w:w="1080"/>
            <w:tcBorders>
              <w:top w:val="single" w:sz="4" w:color="D9D9D9"/>
              <w:left w:val="single" w:sz="4" w:color="D9D9D9"/>
              <w:bottom w:val="single" w:sz="4" w:color="D9D9D9"/>
              <w:right w:val="single" w:sz="4" w:color="D9D9D9"/>
            </w:tcBorders>
            <w:vAlign w:val="center"/>
          </w:tcPr>
          <w:p>
            <w:pPr>
              <w:spacing w:after="60" w:before="60"/>
            </w:pPr>
            <w:r>
              <w:rPr>
                <w:sz w:val="18"/>
              </w:rPr>
              <w:t>0.9788</w:t>
            </w:r>
          </w:p>
        </w:tc>
        <w:tc>
          <w:tcPr>
            <w:tcW w:type="dxa" w:w="1440"/>
            <w:tcBorders>
              <w:top w:val="single" w:sz="4" w:color="D9D9D9"/>
              <w:left w:val="single" w:sz="4" w:color="D9D9D9"/>
              <w:bottom w:val="single" w:sz="4" w:color="D9D9D9"/>
              <w:right w:val="single" w:sz="4" w:color="D9D9D9"/>
            </w:tcBorders>
            <w:vAlign w:val="center"/>
          </w:tcPr>
          <w:p>
            <w:pPr>
              <w:spacing w:after="60" w:before="60"/>
            </w:pPr>
            <w:r>
              <w:rPr>
                <w:sz w:val="18"/>
              </w:rPr>
              <w:t>Not selected</w:t>
            </w:r>
          </w:p>
        </w:tc>
      </w:tr>
      <w:tr>
        <w:tc>
          <w:tcPr>
            <w:tcW w:type="dxa" w:w="1944"/>
            <w:tcBorders>
              <w:top w:val="single" w:sz="4" w:color="D9D9D9"/>
              <w:left w:val="single" w:sz="4" w:color="D9D9D9"/>
              <w:bottom w:val="single" w:sz="4" w:color="D9D9D9"/>
              <w:right w:val="single" w:sz="4" w:color="D9D9D9"/>
            </w:tcBorders>
            <w:shd w:fill="F3F7FB"/>
            <w:vAlign w:val="center"/>
          </w:tcPr>
          <w:p>
            <w:pPr>
              <w:spacing w:after="60" w:before="60"/>
            </w:pPr>
            <w:r>
              <w:rPr>
                <w:sz w:val="18"/>
              </w:rPr>
              <w:t>Random Forest</w:t>
            </w:r>
          </w:p>
        </w:tc>
        <w:tc>
          <w:tcPr>
            <w:tcW w:type="dxa" w:w="1152"/>
            <w:tcBorders>
              <w:top w:val="single" w:sz="4" w:color="D9D9D9"/>
              <w:left w:val="single" w:sz="4" w:color="D9D9D9"/>
              <w:bottom w:val="single" w:sz="4" w:color="D9D9D9"/>
              <w:right w:val="single" w:sz="4" w:color="D9D9D9"/>
            </w:tcBorders>
            <w:shd w:fill="F3F7FB"/>
            <w:vAlign w:val="center"/>
          </w:tcPr>
          <w:p>
            <w:pPr>
              <w:spacing w:after="60" w:before="60"/>
            </w:pPr>
            <w:r>
              <w:rPr>
                <w:sz w:val="18"/>
              </w:rPr>
              <w:t>0.9383</w:t>
            </w:r>
          </w:p>
        </w:tc>
        <w:tc>
          <w:tcPr>
            <w:tcW w:type="dxa" w:w="1152"/>
            <w:tcBorders>
              <w:top w:val="single" w:sz="4" w:color="D9D9D9"/>
              <w:left w:val="single" w:sz="4" w:color="D9D9D9"/>
              <w:bottom w:val="single" w:sz="4" w:color="D9D9D9"/>
              <w:right w:val="single" w:sz="4" w:color="D9D9D9"/>
            </w:tcBorders>
            <w:shd w:fill="F3F7FB"/>
            <w:vAlign w:val="center"/>
          </w:tcPr>
          <w:p>
            <w:pPr>
              <w:spacing w:after="60" w:before="60"/>
            </w:pPr>
            <w:r>
              <w:rPr>
                <w:sz w:val="18"/>
              </w:rPr>
              <w:t>0.9296</w:t>
            </w:r>
          </w:p>
        </w:tc>
        <w:tc>
          <w:tcPr>
            <w:tcW w:type="dxa" w:w="1080"/>
            <w:tcBorders>
              <w:top w:val="single" w:sz="4" w:color="D9D9D9"/>
              <w:left w:val="single" w:sz="4" w:color="D9D9D9"/>
              <w:bottom w:val="single" w:sz="4" w:color="D9D9D9"/>
              <w:right w:val="single" w:sz="4" w:color="D9D9D9"/>
            </w:tcBorders>
            <w:shd w:fill="F3F7FB"/>
            <w:vAlign w:val="center"/>
          </w:tcPr>
          <w:p>
            <w:pPr>
              <w:spacing w:after="60" w:before="60"/>
            </w:pPr>
            <w:r>
              <w:rPr>
                <w:sz w:val="18"/>
              </w:rPr>
              <w:t>0.9087</w:t>
            </w:r>
          </w:p>
        </w:tc>
        <w:tc>
          <w:tcPr>
            <w:tcW w:type="dxa" w:w="1152"/>
            <w:tcBorders>
              <w:top w:val="single" w:sz="4" w:color="D9D9D9"/>
              <w:left w:val="single" w:sz="4" w:color="D9D9D9"/>
              <w:bottom w:val="single" w:sz="4" w:color="D9D9D9"/>
              <w:right w:val="single" w:sz="4" w:color="D9D9D9"/>
            </w:tcBorders>
            <w:shd w:fill="F3F7FB"/>
            <w:vAlign w:val="center"/>
          </w:tcPr>
          <w:p>
            <w:pPr>
              <w:spacing w:after="60" w:before="60"/>
            </w:pPr>
            <w:r>
              <w:rPr>
                <w:sz w:val="18"/>
              </w:rPr>
              <w:t>0.9190</w:t>
            </w:r>
          </w:p>
        </w:tc>
        <w:tc>
          <w:tcPr>
            <w:tcW w:type="dxa" w:w="1080"/>
            <w:tcBorders>
              <w:top w:val="single" w:sz="4" w:color="D9D9D9"/>
              <w:left w:val="single" w:sz="4" w:color="D9D9D9"/>
              <w:bottom w:val="single" w:sz="4" w:color="D9D9D9"/>
              <w:right w:val="single" w:sz="4" w:color="D9D9D9"/>
            </w:tcBorders>
            <w:shd w:fill="F3F7FB"/>
            <w:vAlign w:val="center"/>
          </w:tcPr>
          <w:p>
            <w:pPr>
              <w:spacing w:after="60" w:before="60"/>
            </w:pPr>
            <w:r>
              <w:rPr>
                <w:sz w:val="18"/>
              </w:rPr>
              <w:t>0.9793</w:t>
            </w:r>
          </w:p>
        </w:tc>
        <w:tc>
          <w:tcPr>
            <w:tcW w:type="dxa" w:w="1440"/>
            <w:tcBorders>
              <w:top w:val="single" w:sz="4" w:color="D9D9D9"/>
              <w:left w:val="single" w:sz="4" w:color="D9D9D9"/>
              <w:bottom w:val="single" w:sz="4" w:color="D9D9D9"/>
              <w:right w:val="single" w:sz="4" w:color="D9D9D9"/>
            </w:tcBorders>
            <w:shd w:fill="F3F7FB"/>
            <w:vAlign w:val="center"/>
          </w:tcPr>
          <w:p>
            <w:pPr>
              <w:spacing w:after="60" w:before="60"/>
            </w:pPr>
            <w:r>
              <w:rPr>
                <w:sz w:val="18"/>
              </w:rPr>
              <w:t>Selected</w:t>
            </w:r>
          </w:p>
        </w:tc>
      </w:tr>
    </w:tbl>
    <w:p>
      <w:pPr>
        <w:spacing w:after="40"/>
      </w:pPr>
    </w:p>
    <w:p>
      <w:pPr>
        <w:jc w:val="center"/>
      </w:pPr>
      <w:r>
        <w:drawing>
          <wp:inline xmlns:a="http://schemas.openxmlformats.org/drawingml/2006/main" xmlns:pic="http://schemas.openxmlformats.org/drawingml/2006/picture">
            <wp:extent cx="5897880" cy="2630510"/>
            <wp:docPr id="9" name="Picture 9"/>
            <wp:cNvGraphicFramePr>
              <a:graphicFrameLocks noChangeAspect="1"/>
            </wp:cNvGraphicFramePr>
            <a:graphic>
              <a:graphicData uri="http://schemas.openxmlformats.org/drawingml/2006/picture">
                <pic:pic>
                  <pic:nvPicPr>
                    <pic:cNvPr id="0" name="model.png"/>
                    <pic:cNvPicPr/>
                  </pic:nvPicPr>
                  <pic:blipFill>
                    <a:blip r:embed="rId18"/>
                    <a:stretch>
                      <a:fillRect/>
                    </a:stretch>
                  </pic:blipFill>
                  <pic:spPr>
                    <a:xfrm>
                      <a:off x="0" y="0"/>
                      <a:ext cx="5897880" cy="2630510"/>
                    </a:xfrm>
                    <a:prstGeom prst="rect"/>
                  </pic:spPr>
                </pic:pic>
              </a:graphicData>
            </a:graphic>
          </wp:inline>
        </w:drawing>
      </w:r>
    </w:p>
    <w:p>
      <w:pPr>
        <w:spacing w:after="200"/>
        <w:jc w:val="center"/>
      </w:pPr>
      <w:r>
        <w:rPr>
          <w:i/>
          <w:sz w:val="18"/>
        </w:rPr>
        <w:t>Figure 9. Model comparison with Random Forest selected by ROC-AUC.</w:t>
      </w:r>
    </w:p>
    <w:p>
      <w:pPr>
        <w:spacing w:line="269" w:lineRule="auto"/>
      </w:pPr>
      <w:r>
        <w:t>The feature-coefficient view supports interpretation of the fitted model. Some tags and activity signals have strong positive or negative relationships with the model score. These variables should be reviewed with business stakeholders to ensure that they are available at scoring time and do not reflect information obtained only after a conversion decision.</w:t>
      </w:r>
    </w:p>
    <w:p>
      <w:pPr>
        <w:jc w:val="center"/>
      </w:pPr>
      <w:r>
        <w:drawing>
          <wp:inline xmlns:a="http://schemas.openxmlformats.org/drawingml/2006/main" xmlns:pic="http://schemas.openxmlformats.org/drawingml/2006/picture">
            <wp:extent cx="5897880" cy="2473602"/>
            <wp:docPr id="10" name="Picture 10"/>
            <wp:cNvGraphicFramePr>
              <a:graphicFrameLocks noChangeAspect="1"/>
            </wp:cNvGraphicFramePr>
            <a:graphic>
              <a:graphicData uri="http://schemas.openxmlformats.org/drawingml/2006/picture">
                <pic:pic>
                  <pic:nvPicPr>
                    <pic:cNvPr id="0" name="coeff.png"/>
                    <pic:cNvPicPr/>
                  </pic:nvPicPr>
                  <pic:blipFill>
                    <a:blip r:embed="rId19"/>
                    <a:stretch>
                      <a:fillRect/>
                    </a:stretch>
                  </pic:blipFill>
                  <pic:spPr>
                    <a:xfrm>
                      <a:off x="0" y="0"/>
                      <a:ext cx="5897880" cy="2473602"/>
                    </a:xfrm>
                    <a:prstGeom prst="rect"/>
                  </pic:spPr>
                </pic:pic>
              </a:graphicData>
            </a:graphic>
          </wp:inline>
        </w:drawing>
      </w:r>
    </w:p>
    <w:p>
      <w:pPr>
        <w:spacing w:after="200"/>
        <w:jc w:val="center"/>
      </w:pPr>
      <w:r>
        <w:rPr>
          <w:i/>
          <w:sz w:val="18"/>
        </w:rPr>
        <w:t>Figure 10. Logistic Regression coefficients for prominent model features.</w:t>
      </w:r>
    </w:p>
    <w:p>
      <w:r>
        <w:br w:type="page"/>
      </w:r>
    </w:p>
    <w:p>
      <w:pPr>
        <w:pStyle w:val="Heading1"/>
      </w:pPr>
      <w:r>
        <w:t>6. Prescriptive Recommendations</w:t>
      </w:r>
    </w:p>
    <w:p>
      <w:pPr>
        <w:spacing w:line="269" w:lineRule="auto"/>
      </w:pPr>
      <w:r>
        <w:t>The selected Random Forest model scores every lead and assigns it to a practical priority group. A Hot Lead has a predicted conversion probability of at least 70 percent; a Warm Lead is from 40 to 69 percent; and a Cold Lead is below 40 percent. The system produces 3,388 Hot Leads, 203 Warm Leads, and 5,649 Cold Leads.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12"/>
            <w:shd w:fill="17365D"/>
            <w:tcBorders>
              <w:top w:val="single" w:sz="4" w:color="D9D9D9"/>
              <w:left w:val="single" w:sz="4" w:color="D9D9D9"/>
              <w:bottom w:val="single" w:sz="4" w:color="D9D9D9"/>
              <w:right w:val="single" w:sz="4" w:color="D9D9D9"/>
            </w:tcBorders>
            <w:vAlign w:val="center"/>
          </w:tcPr>
          <w:p>
            <w:r>
              <w:rPr>
                <w:b/>
                <w:color w:val="FFFFFF"/>
                <w:sz w:val="18"/>
              </w:rPr>
              <w:t>Category</w:t>
            </w:r>
          </w:p>
        </w:tc>
        <w:tc>
          <w:tcPr>
            <w:tcW w:type="dxa" w:w="1008"/>
            <w:shd w:fill="17365D"/>
            <w:tcBorders>
              <w:top w:val="single" w:sz="4" w:color="D9D9D9"/>
              <w:left w:val="single" w:sz="4" w:color="D9D9D9"/>
              <w:bottom w:val="single" w:sz="4" w:color="D9D9D9"/>
              <w:right w:val="single" w:sz="4" w:color="D9D9D9"/>
            </w:tcBorders>
            <w:vAlign w:val="center"/>
          </w:tcPr>
          <w:p>
            <w:r>
              <w:rPr>
                <w:b/>
                <w:color w:val="FFFFFF"/>
                <w:sz w:val="18"/>
              </w:rPr>
              <w:t>Count</w:t>
            </w:r>
          </w:p>
        </w:tc>
        <w:tc>
          <w:tcPr>
            <w:tcW w:type="dxa" w:w="936"/>
            <w:shd w:fill="17365D"/>
            <w:tcBorders>
              <w:top w:val="single" w:sz="4" w:color="D9D9D9"/>
              <w:left w:val="single" w:sz="4" w:color="D9D9D9"/>
              <w:bottom w:val="single" w:sz="4" w:color="D9D9D9"/>
              <w:right w:val="single" w:sz="4" w:color="D9D9D9"/>
            </w:tcBorders>
            <w:vAlign w:val="center"/>
          </w:tcPr>
          <w:p>
            <w:r>
              <w:rPr>
                <w:b/>
                <w:color w:val="FFFFFF"/>
                <w:sz w:val="18"/>
              </w:rPr>
              <w:t>Share</w:t>
            </w:r>
          </w:p>
        </w:tc>
        <w:tc>
          <w:tcPr>
            <w:tcW w:type="dxa" w:w="5616"/>
            <w:shd w:fill="17365D"/>
            <w:tcBorders>
              <w:top w:val="single" w:sz="4" w:color="D9D9D9"/>
              <w:left w:val="single" w:sz="4" w:color="D9D9D9"/>
              <w:bottom w:val="single" w:sz="4" w:color="D9D9D9"/>
              <w:right w:val="single" w:sz="4" w:color="D9D9D9"/>
            </w:tcBorders>
            <w:vAlign w:val="center"/>
          </w:tcPr>
          <w:p>
            <w:r>
              <w:rPr>
                <w:b/>
                <w:color w:val="FFFFFF"/>
                <w:sz w:val="18"/>
              </w:rPr>
              <w:t>Recommended action</w:t>
            </w:r>
          </w:p>
        </w:tc>
      </w:tr>
      <w:tr>
        <w:tc>
          <w:tcPr>
            <w:tcW w:type="dxa" w:w="1512"/>
            <w:tcBorders>
              <w:top w:val="single" w:sz="4" w:color="D9D9D9"/>
              <w:left w:val="single" w:sz="4" w:color="D9D9D9"/>
              <w:bottom w:val="single" w:sz="4" w:color="D9D9D9"/>
              <w:right w:val="single" w:sz="4" w:color="D9D9D9"/>
            </w:tcBorders>
            <w:vAlign w:val="center"/>
          </w:tcPr>
          <w:p>
            <w:pPr>
              <w:spacing w:after="60" w:before="60"/>
            </w:pPr>
            <w:r>
              <w:rPr>
                <w:sz w:val="18"/>
              </w:rPr>
              <w:t>Hot Lead</w:t>
            </w:r>
          </w:p>
        </w:tc>
        <w:tc>
          <w:tcPr>
            <w:tcW w:type="dxa" w:w="1008"/>
            <w:tcBorders>
              <w:top w:val="single" w:sz="4" w:color="D9D9D9"/>
              <w:left w:val="single" w:sz="4" w:color="D9D9D9"/>
              <w:bottom w:val="single" w:sz="4" w:color="D9D9D9"/>
              <w:right w:val="single" w:sz="4" w:color="D9D9D9"/>
            </w:tcBorders>
            <w:vAlign w:val="center"/>
          </w:tcPr>
          <w:p>
            <w:pPr>
              <w:spacing w:after="60" w:before="60"/>
            </w:pPr>
            <w:r>
              <w:rPr>
                <w:sz w:val="18"/>
              </w:rPr>
              <w:t>3,388</w:t>
            </w:r>
          </w:p>
        </w:tc>
        <w:tc>
          <w:tcPr>
            <w:tcW w:type="dxa" w:w="936"/>
            <w:tcBorders>
              <w:top w:val="single" w:sz="4" w:color="D9D9D9"/>
              <w:left w:val="single" w:sz="4" w:color="D9D9D9"/>
              <w:bottom w:val="single" w:sz="4" w:color="D9D9D9"/>
              <w:right w:val="single" w:sz="4" w:color="D9D9D9"/>
            </w:tcBorders>
            <w:vAlign w:val="center"/>
          </w:tcPr>
          <w:p>
            <w:pPr>
              <w:spacing w:after="60" w:before="60"/>
            </w:pPr>
            <w:r>
              <w:rPr>
                <w:sz w:val="18"/>
              </w:rPr>
              <w:t>36.7%</w:t>
            </w:r>
          </w:p>
        </w:tc>
        <w:tc>
          <w:tcPr>
            <w:tcW w:type="dxa" w:w="5616"/>
            <w:tcBorders>
              <w:top w:val="single" w:sz="4" w:color="D9D9D9"/>
              <w:left w:val="single" w:sz="4" w:color="D9D9D9"/>
              <w:bottom w:val="single" w:sz="4" w:color="D9D9D9"/>
              <w:right w:val="single" w:sz="4" w:color="D9D9D9"/>
            </w:tcBorders>
            <w:vAlign w:val="center"/>
          </w:tcPr>
          <w:p>
            <w:pPr>
              <w:spacing w:after="60" w:before="60"/>
            </w:pPr>
            <w:r>
              <w:rPr>
                <w:sz w:val="18"/>
              </w:rPr>
              <w:t>Assign to a senior sales representative within 24 hours; offer a consultation or demo.</w:t>
            </w:r>
          </w:p>
        </w:tc>
      </w:tr>
      <w:tr>
        <w:tc>
          <w:tcPr>
            <w:tcW w:type="dxa" w:w="1512"/>
            <w:tcBorders>
              <w:top w:val="single" w:sz="4" w:color="D9D9D9"/>
              <w:left w:val="single" w:sz="4" w:color="D9D9D9"/>
              <w:bottom w:val="single" w:sz="4" w:color="D9D9D9"/>
              <w:right w:val="single" w:sz="4" w:color="D9D9D9"/>
            </w:tcBorders>
            <w:shd w:fill="F3F7FB"/>
            <w:vAlign w:val="center"/>
          </w:tcPr>
          <w:p>
            <w:pPr>
              <w:spacing w:after="60" w:before="60"/>
            </w:pPr>
            <w:r>
              <w:rPr>
                <w:sz w:val="18"/>
              </w:rPr>
              <w:t>Warm Lead</w:t>
            </w:r>
          </w:p>
        </w:tc>
        <w:tc>
          <w:tcPr>
            <w:tcW w:type="dxa" w:w="1008"/>
            <w:tcBorders>
              <w:top w:val="single" w:sz="4" w:color="D9D9D9"/>
              <w:left w:val="single" w:sz="4" w:color="D9D9D9"/>
              <w:bottom w:val="single" w:sz="4" w:color="D9D9D9"/>
              <w:right w:val="single" w:sz="4" w:color="D9D9D9"/>
            </w:tcBorders>
            <w:shd w:fill="F3F7FB"/>
            <w:vAlign w:val="center"/>
          </w:tcPr>
          <w:p>
            <w:pPr>
              <w:spacing w:after="60" w:before="60"/>
            </w:pPr>
            <w:r>
              <w:rPr>
                <w:sz w:val="18"/>
              </w:rPr>
              <w:t>203</w:t>
            </w:r>
          </w:p>
        </w:tc>
        <w:tc>
          <w:tcPr>
            <w:tcW w:type="dxa" w:w="936"/>
            <w:tcBorders>
              <w:top w:val="single" w:sz="4" w:color="D9D9D9"/>
              <w:left w:val="single" w:sz="4" w:color="D9D9D9"/>
              <w:bottom w:val="single" w:sz="4" w:color="D9D9D9"/>
              <w:right w:val="single" w:sz="4" w:color="D9D9D9"/>
            </w:tcBorders>
            <w:shd w:fill="F3F7FB"/>
            <w:vAlign w:val="center"/>
          </w:tcPr>
          <w:p>
            <w:pPr>
              <w:spacing w:after="60" w:before="60"/>
            </w:pPr>
            <w:r>
              <w:rPr>
                <w:sz w:val="18"/>
              </w:rPr>
              <w:t>2.2%</w:t>
            </w:r>
          </w:p>
        </w:tc>
        <w:tc>
          <w:tcPr>
            <w:tcW w:type="dxa" w:w="5616"/>
            <w:tcBorders>
              <w:top w:val="single" w:sz="4" w:color="D9D9D9"/>
              <w:left w:val="single" w:sz="4" w:color="D9D9D9"/>
              <w:bottom w:val="single" w:sz="4" w:color="D9D9D9"/>
              <w:right w:val="single" w:sz="4" w:color="D9D9D9"/>
            </w:tcBorders>
            <w:shd w:fill="F3F7FB"/>
            <w:vAlign w:val="center"/>
          </w:tcPr>
          <w:p>
            <w:pPr>
              <w:spacing w:after="60" w:before="60"/>
            </w:pPr>
            <w:r>
              <w:rPr>
                <w:sz w:val="18"/>
              </w:rPr>
              <w:t>Use a 3-5 email nurture sequence, webinar invitations, and a follow-up call after seven days.</w:t>
            </w:r>
          </w:p>
        </w:tc>
      </w:tr>
      <w:tr>
        <w:tc>
          <w:tcPr>
            <w:tcW w:type="dxa" w:w="1512"/>
            <w:tcBorders>
              <w:top w:val="single" w:sz="4" w:color="D9D9D9"/>
              <w:left w:val="single" w:sz="4" w:color="D9D9D9"/>
              <w:bottom w:val="single" w:sz="4" w:color="D9D9D9"/>
              <w:right w:val="single" w:sz="4" w:color="D9D9D9"/>
            </w:tcBorders>
            <w:vAlign w:val="center"/>
          </w:tcPr>
          <w:p>
            <w:pPr>
              <w:spacing w:after="60" w:before="60"/>
            </w:pPr>
            <w:r>
              <w:rPr>
                <w:sz w:val="18"/>
              </w:rPr>
              <w:t>Cold Lead</w:t>
            </w:r>
          </w:p>
        </w:tc>
        <w:tc>
          <w:tcPr>
            <w:tcW w:type="dxa" w:w="1008"/>
            <w:tcBorders>
              <w:top w:val="single" w:sz="4" w:color="D9D9D9"/>
              <w:left w:val="single" w:sz="4" w:color="D9D9D9"/>
              <w:bottom w:val="single" w:sz="4" w:color="D9D9D9"/>
              <w:right w:val="single" w:sz="4" w:color="D9D9D9"/>
            </w:tcBorders>
            <w:vAlign w:val="center"/>
          </w:tcPr>
          <w:p>
            <w:pPr>
              <w:spacing w:after="60" w:before="60"/>
            </w:pPr>
            <w:r>
              <w:rPr>
                <w:sz w:val="18"/>
              </w:rPr>
              <w:t>5,649</w:t>
            </w:r>
          </w:p>
        </w:tc>
        <w:tc>
          <w:tcPr>
            <w:tcW w:type="dxa" w:w="936"/>
            <w:tcBorders>
              <w:top w:val="single" w:sz="4" w:color="D9D9D9"/>
              <w:left w:val="single" w:sz="4" w:color="D9D9D9"/>
              <w:bottom w:val="single" w:sz="4" w:color="D9D9D9"/>
              <w:right w:val="single" w:sz="4" w:color="D9D9D9"/>
            </w:tcBorders>
            <w:vAlign w:val="center"/>
          </w:tcPr>
          <w:p>
            <w:pPr>
              <w:spacing w:after="60" w:before="60"/>
            </w:pPr>
            <w:r>
              <w:rPr>
                <w:sz w:val="18"/>
              </w:rPr>
              <w:t>61.1%</w:t>
            </w:r>
          </w:p>
        </w:tc>
        <w:tc>
          <w:tcPr>
            <w:tcW w:type="dxa" w:w="5616"/>
            <w:tcBorders>
              <w:top w:val="single" w:sz="4" w:color="D9D9D9"/>
              <w:left w:val="single" w:sz="4" w:color="D9D9D9"/>
              <w:bottom w:val="single" w:sz="4" w:color="D9D9D9"/>
              <w:right w:val="single" w:sz="4" w:color="D9D9D9"/>
            </w:tcBorders>
            <w:vAlign w:val="center"/>
          </w:tcPr>
          <w:p>
            <w:pPr>
              <w:spacing w:after="60" w:before="60"/>
            </w:pPr>
            <w:r>
              <w:rPr>
                <w:sz w:val="18"/>
              </w:rPr>
              <w:t>Use low-cost email re-engagement and newsletters; avoid expensive outbound calling unless engagement changes.</w:t>
            </w:r>
          </w:p>
        </w:tc>
      </w:tr>
    </w:tbl>
    <w:p>
      <w:pPr>
        <w:spacing w:after="40"/>
      </w:pPr>
    </w:p>
    <w:p>
      <w:pPr>
        <w:jc w:val="center"/>
      </w:pPr>
      <w:r>
        <w:drawing>
          <wp:inline xmlns:a="http://schemas.openxmlformats.org/drawingml/2006/main" xmlns:pic="http://schemas.openxmlformats.org/drawingml/2006/picture">
            <wp:extent cx="5897880" cy="2648342"/>
            <wp:docPr id="11" name="Picture 11"/>
            <wp:cNvGraphicFramePr>
              <a:graphicFrameLocks noChangeAspect="1"/>
            </wp:cNvGraphicFramePr>
            <a:graphic>
              <a:graphicData uri="http://schemas.openxmlformats.org/drawingml/2006/picture">
                <pic:pic>
                  <pic:nvPicPr>
                    <pic:cNvPr id="0" name="priority.png"/>
                    <pic:cNvPicPr/>
                  </pic:nvPicPr>
                  <pic:blipFill>
                    <a:blip r:embed="rId20"/>
                    <a:stretch>
                      <a:fillRect/>
                    </a:stretch>
                  </pic:blipFill>
                  <pic:spPr>
                    <a:xfrm>
                      <a:off x="0" y="0"/>
                      <a:ext cx="5897880" cy="2648342"/>
                    </a:xfrm>
                    <a:prstGeom prst="rect"/>
                  </pic:spPr>
                </pic:pic>
              </a:graphicData>
            </a:graphic>
          </wp:inline>
        </w:drawing>
      </w:r>
    </w:p>
    <w:p>
      <w:pPr>
        <w:spacing w:after="200"/>
        <w:jc w:val="center"/>
      </w:pPr>
      <w:r>
        <w:rPr>
          <w:i/>
          <w:sz w:val="18"/>
        </w:rPr>
        <w:t>Figure 11. Predicted lead-priority distribution.</w:t>
      </w:r>
    </w:p>
    <w:p>
      <w:pPr>
        <w:jc w:val="center"/>
      </w:pPr>
      <w:r>
        <w:drawing>
          <wp:inline xmlns:a="http://schemas.openxmlformats.org/drawingml/2006/main" xmlns:pic="http://schemas.openxmlformats.org/drawingml/2006/picture">
            <wp:extent cx="5897880" cy="2670506"/>
            <wp:docPr id="12" name="Picture 12"/>
            <wp:cNvGraphicFramePr>
              <a:graphicFrameLocks noChangeAspect="1"/>
            </wp:cNvGraphicFramePr>
            <a:graphic>
              <a:graphicData uri="http://schemas.openxmlformats.org/drawingml/2006/picture">
                <pic:pic>
                  <pic:nvPicPr>
                    <pic:cNvPr id="0" name="probability.png"/>
                    <pic:cNvPicPr/>
                  </pic:nvPicPr>
                  <pic:blipFill>
                    <a:blip r:embed="rId21"/>
                    <a:stretch>
                      <a:fillRect/>
                    </a:stretch>
                  </pic:blipFill>
                  <pic:spPr>
                    <a:xfrm>
                      <a:off x="0" y="0"/>
                      <a:ext cx="5897880" cy="2670506"/>
                    </a:xfrm>
                    <a:prstGeom prst="rect"/>
                  </pic:spPr>
                </pic:pic>
              </a:graphicData>
            </a:graphic>
          </wp:inline>
        </w:drawing>
      </w:r>
    </w:p>
    <w:p>
      <w:pPr>
        <w:spacing w:after="200"/>
        <w:jc w:val="center"/>
      </w:pPr>
      <w:r>
        <w:rPr>
          <w:i/>
          <w:sz w:val="18"/>
        </w:rPr>
        <w:t>Figure 12. Distribution of predicted conversion probabilities and scoring thresholds.</w:t>
      </w:r>
    </w:p>
    <w:p>
      <w:r>
        <w:br w:type="page"/>
      </w:r>
    </w:p>
    <w:p>
      <w:pPr>
        <w:pStyle w:val="Heading2"/>
      </w:pPr>
      <w:r>
        <w:t>6.1 Lead Priority Table and Operational Actions</w:t>
      </w:r>
    </w:p>
    <w:p>
      <w:pPr>
        <w:spacing w:line="269" w:lineRule="auto"/>
      </w:pPr>
      <w:r>
        <w:t>The lead-priority table provides a practical handoff from analytics to sales operations. It includes lead identifiers, source, origin, city, occupation, last activity, predicted conversion probability, and category. The table is designed to be filtered so that sales teams can focus on the most valuable leads first.</w:t>
      </w:r>
    </w:p>
    <w:p>
      <w:pPr>
        <w:jc w:val="center"/>
      </w:pPr>
      <w:r>
        <w:drawing>
          <wp:inline xmlns:a="http://schemas.openxmlformats.org/drawingml/2006/main" xmlns:pic="http://schemas.openxmlformats.org/drawingml/2006/picture">
            <wp:extent cx="5897880" cy="2627433"/>
            <wp:docPr id="13" name="Picture 13"/>
            <wp:cNvGraphicFramePr>
              <a:graphicFrameLocks noChangeAspect="1"/>
            </wp:cNvGraphicFramePr>
            <a:graphic>
              <a:graphicData uri="http://schemas.openxmlformats.org/drawingml/2006/picture">
                <pic:pic>
                  <pic:nvPicPr>
                    <pic:cNvPr id="0" name="table.png"/>
                    <pic:cNvPicPr/>
                  </pic:nvPicPr>
                  <pic:blipFill>
                    <a:blip r:embed="rId22"/>
                    <a:stretch>
                      <a:fillRect/>
                    </a:stretch>
                  </pic:blipFill>
                  <pic:spPr>
                    <a:xfrm>
                      <a:off x="0" y="0"/>
                      <a:ext cx="5897880" cy="2627433"/>
                    </a:xfrm>
                    <a:prstGeom prst="rect"/>
                  </pic:spPr>
                </pic:pic>
              </a:graphicData>
            </a:graphic>
          </wp:inline>
        </w:drawing>
      </w:r>
    </w:p>
    <w:p>
      <w:pPr>
        <w:spacing w:after="200"/>
        <w:jc w:val="center"/>
      </w:pPr>
      <w:r>
        <w:rPr>
          <w:i/>
          <w:sz w:val="18"/>
        </w:rPr>
        <w:t>Figure 13. Lead-priority table for operational filtering and follow-up.</w:t>
      </w:r>
    </w:p>
    <w:p>
      <w:pPr>
        <w:jc w:val="center"/>
      </w:pPr>
      <w:r>
        <w:drawing>
          <wp:inline xmlns:a="http://schemas.openxmlformats.org/drawingml/2006/main" xmlns:pic="http://schemas.openxmlformats.org/drawingml/2006/picture">
            <wp:extent cx="5897880" cy="2658199"/>
            <wp:docPr id="14" name="Picture 14"/>
            <wp:cNvGraphicFramePr>
              <a:graphicFrameLocks noChangeAspect="1"/>
            </wp:cNvGraphicFramePr>
            <a:graphic>
              <a:graphicData uri="http://schemas.openxmlformats.org/drawingml/2006/picture">
                <pic:pic>
                  <pic:nvPicPr>
                    <pic:cNvPr id="0" name="actions.png"/>
                    <pic:cNvPicPr/>
                  </pic:nvPicPr>
                  <pic:blipFill>
                    <a:blip r:embed="rId23"/>
                    <a:stretch>
                      <a:fillRect/>
                    </a:stretch>
                  </pic:blipFill>
                  <pic:spPr>
                    <a:xfrm>
                      <a:off x="0" y="0"/>
                      <a:ext cx="5897880" cy="2658199"/>
                    </a:xfrm>
                    <a:prstGeom prst="rect"/>
                  </pic:spPr>
                </pic:pic>
              </a:graphicData>
            </a:graphic>
          </wp:inline>
        </w:drawing>
      </w:r>
    </w:p>
    <w:p>
      <w:pPr>
        <w:spacing w:after="200"/>
        <w:jc w:val="center"/>
      </w:pPr>
      <w:r>
        <w:rPr>
          <w:i/>
          <w:sz w:val="18"/>
        </w:rPr>
        <w:t>Figure 14. Actionable recommendations for Hot, Warm, and Cold Leads.</w:t>
      </w:r>
    </w:p>
    <w:p>
      <w:r>
        <w:br w:type="page"/>
      </w:r>
    </w:p>
    <w:p>
      <w:pPr>
        <w:pStyle w:val="Heading1"/>
      </w:pPr>
      <w:r>
        <w:t>7. Conclusion and Future Scope</w:t>
      </w:r>
    </w:p>
    <w:p>
      <w:pPr>
        <w:spacing w:line="269" w:lineRule="auto"/>
      </w:pPr>
      <w:r>
        <w:t>The Lead Conversion Intelligence System demonstrates an end-to-end analytics workflow for lead prioritisation. It turns a historical lead dataset into an interactive dashboard that answers what happened, why it happened, what is likely to happen, and what the business should do next. The dashboard provides a defensible starting point for focusing sales resources, improving response speed for high-potential leads, and reducing spend on low-probability outreach.</w:t>
      </w:r>
    </w:p>
    <w:p>
      <w:pPr>
        <w:pStyle w:val="Heading2"/>
      </w:pPr>
      <w:r>
        <w:t>7.1 Recommended Next Steps</w:t>
      </w:r>
    </w:p>
    <w:p>
      <w:pPr>
        <w:pStyle w:val="ListBullet"/>
      </w:pPr>
      <w:r>
        <w:t>Validate model performance on new leads collected after the training period.</w:t>
      </w:r>
    </w:p>
    <w:p>
      <w:pPr>
        <w:pStyle w:val="ListBullet"/>
      </w:pPr>
      <w:r>
        <w:t>Monitor conversion rates and ROC-AUC over time to detect data or model drift.</w:t>
      </w:r>
    </w:p>
    <w:p>
      <w:pPr>
        <w:pStyle w:val="ListBullet"/>
      </w:pPr>
      <w:r>
        <w:t>Review highly predictive fields with domain experts to prevent post-conversion leakage.</w:t>
      </w:r>
    </w:p>
    <w:p>
      <w:pPr>
        <w:pStyle w:val="ListBullet"/>
      </w:pPr>
      <w:r>
        <w:t>Connect the lead-priority output to a CRM system and track whether recommended actions improve conversion.</w:t>
      </w:r>
    </w:p>
    <w:p>
      <w:pPr>
        <w:pStyle w:val="ListBullet"/>
      </w:pPr>
      <w:r>
        <w:t>Add campaign cost and revenue data to evaluate return on marketing investment.</w:t>
      </w:r>
    </w:p>
    <w:p>
      <w:pPr>
        <w:pStyle w:val="Heading1"/>
      </w:pPr>
      <w:r>
        <w:t>8. Repository and References</w:t>
      </w:r>
    </w:p>
    <w:p>
      <w:pPr>
        <w:spacing w:line="269" w:lineRule="auto"/>
      </w:pPr>
      <w:r>
        <w:t>Project repository: https://github.com/SuduOps/lead-conversion-intelligence-system</w:t>
      </w:r>
    </w:p>
    <w:p>
      <w:pPr>
        <w:spacing w:line="269" w:lineRule="auto"/>
      </w:pPr>
      <w:r>
        <w:t>Dataset: X Education Lead Scoring Dataset, Kaggle: https://www.kaggle.com/datasets/ashydv/leads-dataset</w:t>
      </w:r>
    </w:p>
    <w:p>
      <w:pPr>
        <w:spacing w:line="269" w:lineRule="auto"/>
      </w:pPr>
      <w:r>
        <w:t>Libraries: Streamlit, Pandas, Plotly, and scikit-learn documentation.</w:t>
      </w:r>
    </w:p>
    <w:p>
      <w:pPr>
        <w:spacing w:line="269" w:lineRule="auto"/>
      </w:pPr>
      <w:r>
        <w:t>All screenshots in this report were captured from the locally running Lead Conversion Intelligence System dashboard on 23 September 2026.</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Lead Conversion Intelligence System | Bharat CA Data Analytics Internship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Conversion Intelligence System Project Report</dc:title>
  <dc:subject/>
  <dc:creator>Sudarshan Kajmani</dc:creator>
  <cp:keywords/>
  <dc:description>generated by python-docx</dc:description>
  <cp:lastModifiedBy/>
  <cp:revision>1</cp:revision>
  <dcterms:created xsi:type="dcterms:W3CDTF">2013-12-23T23:15:00Z</dcterms:created>
  <dcterms:modified xsi:type="dcterms:W3CDTF">2013-12-23T23:15:00Z</dcterms:modified>
  <cp:category/>
</cp:coreProperties>
</file>