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0A1B" w14:textId="77777777" w:rsidR="00A62CAC" w:rsidRPr="00A03ED6" w:rsidRDefault="00A62CAC" w:rsidP="00955446">
      <w:pPr>
        <w:jc w:val="center"/>
        <w:rPr>
          <w:rFonts w:ascii="Times New Roman" w:hAnsi="Times New Roman" w:cs="Times New Roman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A03ED6">
        <w:rPr>
          <w:rFonts w:ascii="Times New Roman" w:hAnsi="Times New Roman" w:cs="Times New Roman"/>
          <w:b/>
          <w:bCs/>
          <w:color w:val="0E2841" w:themeColor="text2"/>
          <w:sz w:val="32"/>
          <w:szCs w:val="32"/>
          <w14:textFill>
            <w14:gradFill>
              <w14:gsLst>
                <w14:gs w14:pos="0">
                  <w14:schemeClr w14:val="tx2">
                    <w14:lumMod w14:val="75000"/>
                    <w14:lumOff w14:val="25000"/>
                    <w14:shade w14:val="30000"/>
                    <w14:satMod w14:val="115000"/>
                  </w14:schemeClr>
                </w14:gs>
                <w14:gs w14:pos="50000">
                  <w14:schemeClr w14:val="tx2">
                    <w14:lumMod w14:val="75000"/>
                    <w14:lumOff w14:val="25000"/>
                    <w14:shade w14:val="67500"/>
                    <w14:satMod w14:val="115000"/>
                  </w14:schemeClr>
                </w14:gs>
                <w14:gs w14:pos="100000">
                  <w14:schemeClr w14:val="tx2">
                    <w14:lumMod w14:val="75000"/>
                    <w14:lumOff w14:val="25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BUSINESS REPORT</w:t>
      </w:r>
    </w:p>
    <w:p w14:paraId="2D486B05" w14:textId="77777777" w:rsidR="00A62CAC" w:rsidRPr="00034096" w:rsidRDefault="00A62CAC">
      <w:pPr>
        <w:rPr>
          <w:rFonts w:ascii="Times New Roman" w:hAnsi="Times New Roman" w:cs="Times New Roman"/>
          <w:sz w:val="22"/>
          <w:szCs w:val="22"/>
        </w:rPr>
      </w:pPr>
    </w:p>
    <w:p w14:paraId="4E3E5B22" w14:textId="6800AB0B" w:rsidR="00A62CAC" w:rsidRPr="00034096" w:rsidRDefault="00A62CAC" w:rsidP="00F76DC9">
      <w:pPr>
        <w:jc w:val="both"/>
        <w:rPr>
          <w:rFonts w:ascii="Times New Roman" w:hAnsi="Times New Roman" w:cs="Times New Roman"/>
          <w:sz w:val="22"/>
          <w:szCs w:val="22"/>
        </w:rPr>
      </w:pPr>
      <w:r w:rsidRPr="00034096">
        <w:rPr>
          <w:rFonts w:ascii="Times New Roman" w:hAnsi="Times New Roman" w:cs="Times New Roman"/>
          <w:sz w:val="22"/>
          <w:szCs w:val="22"/>
        </w:rPr>
        <w:t xml:space="preserve">This report provides an analysis of </w:t>
      </w:r>
      <w:r w:rsidRPr="002E1859">
        <w:rPr>
          <w:rFonts w:ascii="Times New Roman" w:hAnsi="Times New Roman" w:cs="Times New Roman"/>
          <w:b/>
          <w:bCs/>
          <w:color w:val="0F2C4A"/>
          <w:sz w:val="22"/>
          <w:szCs w:val="22"/>
        </w:rPr>
        <w:t xml:space="preserve">a supermarket sales data </w:t>
      </w:r>
      <w:r w:rsidR="009A3DE5" w:rsidRPr="002E1859">
        <w:rPr>
          <w:rFonts w:ascii="Times New Roman" w:hAnsi="Times New Roman" w:cs="Times New Roman"/>
          <w:b/>
          <w:bCs/>
          <w:color w:val="0F2C4A"/>
          <w:sz w:val="22"/>
          <w:szCs w:val="22"/>
        </w:rPr>
        <w:t>from 2016</w:t>
      </w:r>
      <w:r w:rsidRPr="002E1859">
        <w:rPr>
          <w:rFonts w:ascii="Times New Roman" w:hAnsi="Times New Roman" w:cs="Times New Roman"/>
          <w:b/>
          <w:bCs/>
          <w:color w:val="0F2C4A"/>
          <w:sz w:val="22"/>
          <w:szCs w:val="22"/>
        </w:rPr>
        <w:t xml:space="preserve"> to 2019</w:t>
      </w:r>
      <w:r w:rsidRPr="00034096">
        <w:rPr>
          <w:rFonts w:ascii="Times New Roman" w:hAnsi="Times New Roman" w:cs="Times New Roman"/>
          <w:sz w:val="22"/>
          <w:szCs w:val="22"/>
        </w:rPr>
        <w:t xml:space="preserve">, highlighting </w:t>
      </w:r>
      <w:r w:rsidRPr="002E1859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key trends</w:t>
      </w:r>
      <w:r w:rsidRPr="002E1859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 w:rsidRPr="00034096">
        <w:rPr>
          <w:rFonts w:ascii="Times New Roman" w:hAnsi="Times New Roman" w:cs="Times New Roman"/>
          <w:sz w:val="22"/>
          <w:szCs w:val="22"/>
        </w:rPr>
        <w:t xml:space="preserve">in </w:t>
      </w:r>
      <w:r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>sales</w:t>
      </w:r>
      <w:r w:rsidRPr="00034096">
        <w:rPr>
          <w:rFonts w:ascii="Times New Roman" w:hAnsi="Times New Roman" w:cs="Times New Roman"/>
          <w:sz w:val="22"/>
          <w:szCs w:val="22"/>
        </w:rPr>
        <w:t xml:space="preserve">, </w:t>
      </w:r>
      <w:r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>profits</w:t>
      </w:r>
      <w:r w:rsidRPr="00034096">
        <w:rPr>
          <w:rFonts w:ascii="Times New Roman" w:hAnsi="Times New Roman" w:cs="Times New Roman"/>
          <w:sz w:val="22"/>
          <w:szCs w:val="22"/>
        </w:rPr>
        <w:t xml:space="preserve">, and </w:t>
      </w:r>
      <w:r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>customer behavior</w:t>
      </w:r>
      <w:r w:rsidRPr="00034096">
        <w:rPr>
          <w:rFonts w:ascii="Times New Roman" w:hAnsi="Times New Roman" w:cs="Times New Roman"/>
          <w:sz w:val="22"/>
          <w:szCs w:val="22"/>
        </w:rPr>
        <w:t xml:space="preserve">. It aims to offer actionable insights for enhancing strategic decisions and improving business performance. </w:t>
      </w:r>
    </w:p>
    <w:p w14:paraId="493B09A8" w14:textId="77777777" w:rsidR="00A62CAC" w:rsidRPr="00034096" w:rsidRDefault="00A62CAC">
      <w:pPr>
        <w:rPr>
          <w:rFonts w:ascii="Times New Roman" w:hAnsi="Times New Roman" w:cs="Times New Roman"/>
          <w:sz w:val="22"/>
          <w:szCs w:val="22"/>
        </w:rPr>
      </w:pPr>
    </w:p>
    <w:p w14:paraId="78EE57DB" w14:textId="2869577F" w:rsidR="00A62CAC" w:rsidRPr="00955446" w:rsidRDefault="00EA1BFE" w:rsidP="00A62CAC">
      <w:pPr>
        <w:jc w:val="center"/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4E799A" wp14:editId="3C92CFD1">
            <wp:extent cx="5943600" cy="2831465"/>
            <wp:effectExtent l="0" t="0" r="0" b="635"/>
            <wp:docPr id="46807553" name="Picture 1" descr="A graph of 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7553" name="Picture 1" descr="A graph of a graph with numbers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66FD" w14:textId="77777777" w:rsidR="00A62CAC" w:rsidRPr="00034096" w:rsidRDefault="00A62CAC" w:rsidP="00A62CAC">
      <w:pPr>
        <w:rPr>
          <w:rFonts w:ascii="Times New Roman" w:hAnsi="Times New Roman" w:cs="Times New Roman"/>
          <w:sz w:val="22"/>
          <w:szCs w:val="22"/>
        </w:rPr>
      </w:pPr>
    </w:p>
    <w:p w14:paraId="334D93CC" w14:textId="5CC12C31" w:rsidR="004126EE" w:rsidRDefault="00A62CAC" w:rsidP="00F76DC9">
      <w:pPr>
        <w:jc w:val="both"/>
        <w:rPr>
          <w:rFonts w:ascii="Times New Roman" w:hAnsi="Times New Roman" w:cs="Times New Roman"/>
          <w:sz w:val="22"/>
          <w:szCs w:val="22"/>
        </w:rPr>
      </w:pPr>
      <w:r w:rsidRPr="00034096">
        <w:rPr>
          <w:rFonts w:ascii="Times New Roman" w:hAnsi="Times New Roman" w:cs="Times New Roman"/>
          <w:sz w:val="22"/>
          <w:szCs w:val="22"/>
        </w:rPr>
        <w:t xml:space="preserve">During the given period, </w:t>
      </w:r>
      <w:r w:rsidR="009A3DE5"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sales trends</w:t>
      </w:r>
      <w:r w:rsidR="009A3DE5" w:rsidRPr="00A03ED6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 w:rsidR="009A3DE5">
        <w:rPr>
          <w:rFonts w:ascii="Times New Roman" w:hAnsi="Times New Roman" w:cs="Times New Roman"/>
          <w:sz w:val="22"/>
          <w:szCs w:val="22"/>
        </w:rPr>
        <w:t xml:space="preserve">showed consistent </w:t>
      </w:r>
      <w:r w:rsidR="009A3DE5"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growth</w:t>
      </w:r>
      <w:r w:rsidR="009A3DE5" w:rsidRPr="00A03ED6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 w:rsidR="009A3DE5">
        <w:rPr>
          <w:rFonts w:ascii="Times New Roman" w:hAnsi="Times New Roman" w:cs="Times New Roman"/>
          <w:sz w:val="22"/>
          <w:szCs w:val="22"/>
        </w:rPr>
        <w:t xml:space="preserve">with </w:t>
      </w:r>
      <w:r w:rsidR="009A3DE5"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>seasonal fluctuations</w:t>
      </w:r>
      <w:r w:rsidR="009A3DE5">
        <w:rPr>
          <w:rFonts w:ascii="Times New Roman" w:hAnsi="Times New Roman" w:cs="Times New Roman"/>
          <w:sz w:val="22"/>
          <w:szCs w:val="22"/>
        </w:rPr>
        <w:t xml:space="preserve">. Overall, consumers accounted for the highest sales. Sales typically rose from Q1, </w:t>
      </w:r>
      <w:r w:rsidR="009A3DE5" w:rsidRPr="002E1859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peaked around mid-year (</w:t>
      </w:r>
      <w:r w:rsidR="009A3DE5"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>Q3</w:t>
      </w:r>
      <w:r w:rsidR="009A3DE5" w:rsidRPr="002E1859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),</w:t>
      </w:r>
      <w:r w:rsidR="009A3DE5" w:rsidRPr="002E1859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 w:rsidR="009A3DE5">
        <w:rPr>
          <w:rFonts w:ascii="Times New Roman" w:hAnsi="Times New Roman" w:cs="Times New Roman"/>
          <w:sz w:val="22"/>
          <w:szCs w:val="22"/>
        </w:rPr>
        <w:t xml:space="preserve">and </w:t>
      </w:r>
      <w:r w:rsidR="009A3DE5" w:rsidRPr="002E1859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declined towards year-end</w:t>
      </w:r>
      <w:r w:rsidR="009A3DE5">
        <w:rPr>
          <w:rFonts w:ascii="Times New Roman" w:hAnsi="Times New Roman" w:cs="Times New Roman"/>
          <w:sz w:val="22"/>
          <w:szCs w:val="22"/>
        </w:rPr>
        <w:t xml:space="preserve"> (</w:t>
      </w:r>
      <w:r w:rsidR="009A3DE5"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>Q4</w:t>
      </w:r>
      <w:r w:rsidR="009A3DE5">
        <w:rPr>
          <w:rFonts w:ascii="Times New Roman" w:hAnsi="Times New Roman" w:cs="Times New Roman"/>
          <w:sz w:val="22"/>
          <w:szCs w:val="22"/>
        </w:rPr>
        <w:t xml:space="preserve">). In 2016, consumer sales started at </w:t>
      </w:r>
      <w:r w:rsidR="0030758E">
        <w:rPr>
          <w:rFonts w:ascii="Times New Roman" w:hAnsi="Times New Roman" w:cs="Times New Roman"/>
          <w:sz w:val="22"/>
          <w:szCs w:val="22"/>
          <w:lang w:val="vi-VN"/>
        </w:rPr>
        <w:t>25</w:t>
      </w:r>
      <w:r w:rsidR="009A3DE5">
        <w:rPr>
          <w:rFonts w:ascii="Times New Roman" w:hAnsi="Times New Roman" w:cs="Times New Roman"/>
          <w:sz w:val="22"/>
          <w:szCs w:val="22"/>
        </w:rPr>
        <w:t xml:space="preserve">K in Q1, peaked at </w:t>
      </w:r>
      <w:r w:rsidR="0030758E">
        <w:rPr>
          <w:rFonts w:ascii="Times New Roman" w:hAnsi="Times New Roman" w:cs="Times New Roman"/>
          <w:sz w:val="22"/>
          <w:szCs w:val="22"/>
          <w:lang w:val="vi-VN"/>
        </w:rPr>
        <w:t>100</w:t>
      </w:r>
      <w:r w:rsidR="009A3DE5">
        <w:rPr>
          <w:rFonts w:ascii="Times New Roman" w:hAnsi="Times New Roman" w:cs="Times New Roman"/>
          <w:sz w:val="22"/>
          <w:szCs w:val="22"/>
        </w:rPr>
        <w:t>K in Q</w:t>
      </w:r>
      <w:r w:rsidR="0030758E">
        <w:rPr>
          <w:rFonts w:ascii="Times New Roman" w:hAnsi="Times New Roman" w:cs="Times New Roman"/>
          <w:sz w:val="22"/>
          <w:szCs w:val="22"/>
          <w:lang w:val="vi-VN"/>
        </w:rPr>
        <w:t>4</w:t>
      </w:r>
      <w:r w:rsidR="009A3DE5">
        <w:rPr>
          <w:rFonts w:ascii="Times New Roman" w:hAnsi="Times New Roman" w:cs="Times New Roman"/>
          <w:sz w:val="22"/>
          <w:szCs w:val="22"/>
        </w:rPr>
        <w:t xml:space="preserve">. Corporate and Home Offices are also followed similar seasonal patterns, with </w:t>
      </w:r>
      <w:proofErr w:type="gramStart"/>
      <w:r w:rsidR="009A3DE5">
        <w:rPr>
          <w:rFonts w:ascii="Times New Roman" w:hAnsi="Times New Roman" w:cs="Times New Roman"/>
          <w:sz w:val="22"/>
          <w:szCs w:val="22"/>
        </w:rPr>
        <w:t>Corporate</w:t>
      </w:r>
      <w:proofErr w:type="gramEnd"/>
      <w:r w:rsidR="009A3DE5">
        <w:rPr>
          <w:rFonts w:ascii="Times New Roman" w:hAnsi="Times New Roman" w:cs="Times New Roman"/>
          <w:sz w:val="22"/>
          <w:szCs w:val="22"/>
        </w:rPr>
        <w:t xml:space="preserve"> sales peaking at 50K and Home Office 30K in 2016.</w:t>
      </w:r>
      <w:r w:rsidR="00871427">
        <w:rPr>
          <w:rFonts w:ascii="Times New Roman" w:hAnsi="Times New Roman" w:cs="Times New Roman"/>
          <w:sz w:val="22"/>
          <w:szCs w:val="22"/>
        </w:rPr>
        <w:t xml:space="preserve"> As a result</w:t>
      </w:r>
      <w:r w:rsidR="00871427" w:rsidRPr="00A03ED6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, </w:t>
      </w:r>
      <w:r w:rsidR="00871427"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focus on running more promotions</w:t>
      </w:r>
      <w:r w:rsidR="00871427" w:rsidRPr="00A03ED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71427"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>from Q3</w:t>
      </w:r>
      <w:r w:rsidR="00871427" w:rsidRPr="00A03ED6">
        <w:rPr>
          <w:rFonts w:ascii="Times New Roman" w:hAnsi="Times New Roman" w:cs="Times New Roman"/>
          <w:color w:val="DC6D31"/>
          <w:sz w:val="22"/>
          <w:szCs w:val="22"/>
        </w:rPr>
        <w:t xml:space="preserve"> </w:t>
      </w:r>
      <w:r w:rsidR="00871427">
        <w:rPr>
          <w:rFonts w:ascii="Times New Roman" w:hAnsi="Times New Roman" w:cs="Times New Roman"/>
          <w:sz w:val="22"/>
          <w:szCs w:val="22"/>
        </w:rPr>
        <w:t xml:space="preserve">can help to boost the store’s sales. </w:t>
      </w:r>
    </w:p>
    <w:p w14:paraId="30FF2645" w14:textId="1A992121" w:rsidR="00871427" w:rsidRDefault="00871427" w:rsidP="00A62CAC">
      <w:pPr>
        <w:rPr>
          <w:rFonts w:ascii="Times New Roman" w:hAnsi="Times New Roman" w:cs="Times New Roman"/>
          <w:sz w:val="22"/>
          <w:szCs w:val="22"/>
        </w:rPr>
      </w:pPr>
    </w:p>
    <w:p w14:paraId="5D1C9342" w14:textId="77777777" w:rsidR="00871427" w:rsidRPr="00034096" w:rsidRDefault="00871427" w:rsidP="00A62CAC">
      <w:pPr>
        <w:rPr>
          <w:rFonts w:ascii="Times New Roman" w:hAnsi="Times New Roman" w:cs="Times New Roman"/>
          <w:sz w:val="22"/>
          <w:szCs w:val="22"/>
        </w:rPr>
      </w:pPr>
    </w:p>
    <w:p w14:paraId="422BC77C" w14:textId="77777777" w:rsidR="00A75885" w:rsidRPr="00034096" w:rsidRDefault="00A75885" w:rsidP="00A62CAC">
      <w:pPr>
        <w:rPr>
          <w:rFonts w:ascii="Times New Roman" w:hAnsi="Times New Roman" w:cs="Times New Roman"/>
          <w:sz w:val="22"/>
          <w:szCs w:val="22"/>
        </w:rPr>
        <w:sectPr w:rsidR="00A75885" w:rsidRPr="00034096" w:rsidSect="00955446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2490B9BD" w14:textId="1AADBDFF" w:rsidR="004126EE" w:rsidRPr="00034096" w:rsidRDefault="00871427" w:rsidP="00A62CAC">
      <w:pPr>
        <w:rPr>
          <w:rFonts w:ascii="Times New Roman" w:hAnsi="Times New Roman" w:cs="Times New Roman"/>
          <w:sz w:val="22"/>
          <w:szCs w:val="22"/>
        </w:rPr>
      </w:pPr>
      <w:r w:rsidRPr="0087142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5E9C1B" wp14:editId="43E1B1E8">
            <wp:extent cx="3107055" cy="2489200"/>
            <wp:effectExtent l="0" t="0" r="4445" b="0"/>
            <wp:docPr id="121863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7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631" cy="25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4B65" w14:textId="77777777" w:rsidR="004126EE" w:rsidRPr="00034096" w:rsidRDefault="00034096" w:rsidP="00A62CAC">
      <w:pPr>
        <w:rPr>
          <w:rFonts w:ascii="Times New Roman" w:hAnsi="Times New Roman" w:cs="Times New Roman"/>
          <w:sz w:val="22"/>
          <w:szCs w:val="22"/>
        </w:rPr>
      </w:pPr>
      <w:r w:rsidRPr="0003409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834353" w14:textId="50F1D1AB" w:rsidR="00A75885" w:rsidRPr="00034096" w:rsidRDefault="00A75885" w:rsidP="00F76DC9">
      <w:pPr>
        <w:jc w:val="both"/>
        <w:rPr>
          <w:rFonts w:ascii="Times New Roman" w:hAnsi="Times New Roman" w:cs="Times New Roman"/>
          <w:sz w:val="22"/>
          <w:szCs w:val="22"/>
        </w:rPr>
      </w:pPr>
      <w:r w:rsidRPr="00034096">
        <w:rPr>
          <w:rFonts w:ascii="Times New Roman" w:hAnsi="Times New Roman" w:cs="Times New Roman"/>
          <w:sz w:val="22"/>
          <w:szCs w:val="22"/>
        </w:rPr>
        <w:t xml:space="preserve">Focus more on the </w:t>
      </w:r>
      <w:r w:rsidR="00F76DC9">
        <w:rPr>
          <w:rFonts w:ascii="Times New Roman" w:hAnsi="Times New Roman" w:cs="Times New Roman"/>
          <w:sz w:val="22"/>
          <w:szCs w:val="22"/>
        </w:rPr>
        <w:t>profit</w:t>
      </w:r>
      <w:r w:rsidRPr="00034096">
        <w:rPr>
          <w:rFonts w:ascii="Times New Roman" w:hAnsi="Times New Roman" w:cs="Times New Roman"/>
          <w:sz w:val="22"/>
          <w:szCs w:val="22"/>
        </w:rPr>
        <w:t xml:space="preserve"> distribution by product category.</w:t>
      </w:r>
      <w:r w:rsidR="00F76DC9">
        <w:rPr>
          <w:rFonts w:ascii="Times New Roman" w:hAnsi="Times New Roman" w:cs="Times New Roman"/>
          <w:sz w:val="22"/>
          <w:szCs w:val="22"/>
        </w:rPr>
        <w:t xml:space="preserve"> </w:t>
      </w:r>
      <w:r w:rsidR="00F76DC9" w:rsidRPr="0030758E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Technology</w:t>
      </w:r>
      <w:r w:rsidR="00F76DC9">
        <w:rPr>
          <w:rFonts w:ascii="Times New Roman" w:hAnsi="Times New Roman" w:cs="Times New Roman"/>
          <w:sz w:val="22"/>
          <w:szCs w:val="22"/>
        </w:rPr>
        <w:t xml:space="preserve"> led with the </w:t>
      </w:r>
      <w:r w:rsidR="00F76DC9" w:rsidRPr="0030758E">
        <w:rPr>
          <w:rFonts w:ascii="Times New Roman" w:hAnsi="Times New Roman" w:cs="Times New Roman"/>
          <w:b/>
          <w:bCs/>
          <w:color w:val="DC6D31"/>
          <w:sz w:val="22"/>
          <w:szCs w:val="22"/>
        </w:rPr>
        <w:t>highest contribution</w:t>
      </w:r>
      <w:r w:rsidR="00F76DC9">
        <w:rPr>
          <w:rFonts w:ascii="Times New Roman" w:hAnsi="Times New Roman" w:cs="Times New Roman"/>
          <w:sz w:val="22"/>
          <w:szCs w:val="22"/>
        </w:rPr>
        <w:t xml:space="preserve">, bringing 145.5K and representing </w:t>
      </w:r>
      <w:r w:rsidR="00F76DC9" w:rsidRPr="0030758E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50.79% of the store’s total profit</w:t>
      </w:r>
      <w:r w:rsidR="00F76DC9">
        <w:rPr>
          <w:rFonts w:ascii="Times New Roman" w:hAnsi="Times New Roman" w:cs="Times New Roman"/>
          <w:sz w:val="22"/>
          <w:szCs w:val="22"/>
        </w:rPr>
        <w:t>, followed by Office Supplies for 122.49K (42.77%), and Furniture with 18.45K (6.44% of total profit).</w:t>
      </w:r>
    </w:p>
    <w:p w14:paraId="71BA94A0" w14:textId="77777777" w:rsidR="00A75885" w:rsidRPr="00034096" w:rsidRDefault="00A75885" w:rsidP="00F76DC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583A6B" w14:textId="534FE0D5" w:rsidR="00A75885" w:rsidRDefault="00F76DC9" w:rsidP="00F76DC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chart highlights that </w:t>
      </w: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 xml:space="preserve">Technology and Office Supplies are the </w:t>
      </w:r>
      <w:r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>primary drivers</w:t>
      </w:r>
      <w:r w:rsidR="00A03ED6" w:rsidRPr="00A03ED6">
        <w:rPr>
          <w:rFonts w:ascii="Times New Roman" w:hAnsi="Times New Roman" w:cs="Times New Roman"/>
          <w:b/>
          <w:bCs/>
          <w:color w:val="DC6D31"/>
          <w:sz w:val="22"/>
          <w:szCs w:val="22"/>
          <w:lang w:val="vi-VN"/>
        </w:rPr>
        <w:t xml:space="preserve"> for total profit</w:t>
      </w:r>
      <w:r>
        <w:rPr>
          <w:rFonts w:ascii="Times New Roman" w:hAnsi="Times New Roman" w:cs="Times New Roman"/>
          <w:sz w:val="22"/>
          <w:szCs w:val="22"/>
        </w:rPr>
        <w:t xml:space="preserve">, with Technology slightly ahead. Furniture contributes the least to the profit. </w:t>
      </w:r>
    </w:p>
    <w:p w14:paraId="2A901A6E" w14:textId="77777777" w:rsidR="00F76DC9" w:rsidRDefault="00F76DC9" w:rsidP="00F76DC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DCA247" w14:textId="4853D48B" w:rsidR="00F76DC9" w:rsidRPr="00A03ED6" w:rsidRDefault="00F76DC9" w:rsidP="00A03ED6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</w:pPr>
      <w:r w:rsidRPr="00A03ED6">
        <w:rPr>
          <w:rFonts w:ascii="Times New Roman" w:hAnsi="Times New Roman" w:cs="Times New Roman"/>
          <w:sz w:val="22"/>
          <w:szCs w:val="22"/>
        </w:rPr>
        <w:t xml:space="preserve">Focus </w:t>
      </w: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promotional efforts</w:t>
      </w:r>
      <w:r w:rsidRPr="00A03ED6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 w:rsidRPr="00A03ED6">
        <w:rPr>
          <w:rFonts w:ascii="Times New Roman" w:hAnsi="Times New Roman" w:cs="Times New Roman"/>
          <w:sz w:val="22"/>
          <w:szCs w:val="22"/>
        </w:rPr>
        <w:t xml:space="preserve">on </w:t>
      </w:r>
      <w:r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>Technology and Office Supplies</w:t>
      </w:r>
      <w:r w:rsidRPr="00A03ED6">
        <w:rPr>
          <w:rFonts w:ascii="Times New Roman" w:hAnsi="Times New Roman" w:cs="Times New Roman"/>
          <w:sz w:val="22"/>
          <w:szCs w:val="22"/>
        </w:rPr>
        <w:t xml:space="preserve">, as they yield the highest profits. Additionally, </w:t>
      </w: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 xml:space="preserve">develop strategies to enhance Furniture sales. </w:t>
      </w:r>
    </w:p>
    <w:p w14:paraId="55C5FEF9" w14:textId="77777777" w:rsidR="00502E5D" w:rsidRPr="00034096" w:rsidRDefault="00502E5D" w:rsidP="00A62CAC">
      <w:pPr>
        <w:rPr>
          <w:rFonts w:ascii="Times New Roman" w:hAnsi="Times New Roman" w:cs="Times New Roman"/>
          <w:sz w:val="22"/>
          <w:szCs w:val="22"/>
        </w:rPr>
        <w:sectPr w:rsidR="00502E5D" w:rsidRPr="00034096" w:rsidSect="0095544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27D38A13" w14:textId="77777777" w:rsidR="00F148EA" w:rsidRPr="00034096" w:rsidRDefault="00F148EA" w:rsidP="00034096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DF17CFC" w14:textId="77777777" w:rsidR="00FF4FE6" w:rsidRDefault="00FF4FE6" w:rsidP="00502E5D">
      <w:pPr>
        <w:rPr>
          <w:rFonts w:ascii="Times New Roman" w:hAnsi="Times New Roman" w:cs="Times New Roman"/>
          <w:sz w:val="22"/>
          <w:szCs w:val="22"/>
        </w:rPr>
        <w:sectPr w:rsidR="00FF4FE6" w:rsidSect="0095544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316F1622" w14:textId="77777777" w:rsidR="009A3DE5" w:rsidRPr="00F76DC9" w:rsidRDefault="009A3DE5" w:rsidP="00502E5D">
      <w:pPr>
        <w:rPr>
          <w:rFonts w:ascii="Times New Roman" w:hAnsi="Times New Roman" w:cs="Times New Roman"/>
          <w:sz w:val="22"/>
          <w:szCs w:val="22"/>
        </w:rPr>
      </w:pPr>
    </w:p>
    <w:p w14:paraId="29614514" w14:textId="77777777" w:rsidR="001969A5" w:rsidRPr="00A03ED6" w:rsidRDefault="001969A5" w:rsidP="00502E5D">
      <w:pPr>
        <w:rPr>
          <w:rFonts w:ascii="Times New Roman" w:hAnsi="Times New Roman" w:cs="Times New Roman"/>
          <w:b/>
          <w:bCs/>
          <w:sz w:val="22"/>
          <w:szCs w:val="22"/>
          <w:lang w:val="vi-VN"/>
        </w:rPr>
      </w:pPr>
      <w:r w:rsidRPr="00A03ED6">
        <w:rPr>
          <w:rFonts w:ascii="Times New Roman" w:hAnsi="Times New Roman" w:cs="Times New Roman"/>
          <w:b/>
          <w:bCs/>
          <w:sz w:val="22"/>
          <w:szCs w:val="22"/>
        </w:rPr>
        <w:t>Focus on the top performing region</w:t>
      </w:r>
      <w:r w:rsidR="004928DD" w:rsidRPr="00A03ED6">
        <w:rPr>
          <w:rFonts w:ascii="Times New Roman" w:hAnsi="Times New Roman" w:cs="Times New Roman"/>
          <w:b/>
          <w:bCs/>
          <w:sz w:val="22"/>
          <w:szCs w:val="22"/>
        </w:rPr>
        <w:t xml:space="preserve"> shown by the map below:</w:t>
      </w:r>
    </w:p>
    <w:p w14:paraId="53A8770D" w14:textId="77777777" w:rsidR="009A3DE5" w:rsidRPr="009A3DE5" w:rsidRDefault="009A3DE5" w:rsidP="00502E5D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13A3EC6E" w14:textId="77777777" w:rsidR="004A72BE" w:rsidRDefault="004A72BE" w:rsidP="004A72BE">
      <w:pPr>
        <w:rPr>
          <w:rFonts w:ascii="Times New Roman" w:hAnsi="Times New Roman" w:cs="Times New Roman"/>
          <w:sz w:val="22"/>
          <w:szCs w:val="22"/>
        </w:rPr>
      </w:pPr>
    </w:p>
    <w:p w14:paraId="12B1FB79" w14:textId="77777777" w:rsidR="00B40702" w:rsidRDefault="00B40702" w:rsidP="00690364">
      <w:pPr>
        <w:jc w:val="center"/>
        <w:rPr>
          <w:rFonts w:ascii="Times New Roman" w:hAnsi="Times New Roman" w:cs="Times New Roman"/>
          <w:sz w:val="22"/>
          <w:szCs w:val="22"/>
        </w:rPr>
        <w:sectPr w:rsidR="00B40702" w:rsidSect="0095544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51091DAF" w14:textId="77777777" w:rsidR="00690364" w:rsidRDefault="00690364" w:rsidP="00B40702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95E6CE" wp14:editId="53794A6C">
            <wp:extent cx="3360420" cy="2235176"/>
            <wp:effectExtent l="0" t="0" r="5080" b="635"/>
            <wp:docPr id="64724649" name="Picture 2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4649" name="Picture 2" descr="A map of the united stat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77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02E" w14:textId="77777777" w:rsidR="00B40702" w:rsidRPr="00A03ED6" w:rsidRDefault="00B40702" w:rsidP="00B40702">
      <w:pPr>
        <w:jc w:val="both"/>
        <w:rPr>
          <w:rFonts w:ascii="Times New Roman" w:hAnsi="Times New Roman" w:cs="Times New Roman"/>
          <w:sz w:val="22"/>
          <w:szCs w:val="22"/>
          <w:lang w:val="vi-VN"/>
        </w:rPr>
      </w:pPr>
    </w:p>
    <w:p w14:paraId="29C39E1A" w14:textId="147A8AAC" w:rsidR="00690364" w:rsidRDefault="00F76DC9" w:rsidP="000204C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map highlights the </w:t>
      </w: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top three states in term of sales</w:t>
      </w:r>
      <w:r>
        <w:rPr>
          <w:rFonts w:ascii="Times New Roman" w:hAnsi="Times New Roman" w:cs="Times New Roman"/>
          <w:sz w:val="22"/>
          <w:szCs w:val="22"/>
        </w:rPr>
        <w:t xml:space="preserve">. California </w:t>
      </w:r>
      <w:r w:rsidR="00F7360E">
        <w:rPr>
          <w:rFonts w:ascii="Times New Roman" w:hAnsi="Times New Roman" w:cs="Times New Roman"/>
          <w:sz w:val="22"/>
          <w:szCs w:val="22"/>
        </w:rPr>
        <w:t>led</w:t>
      </w:r>
      <w:r>
        <w:rPr>
          <w:rFonts w:ascii="Times New Roman" w:hAnsi="Times New Roman" w:cs="Times New Roman"/>
          <w:sz w:val="22"/>
          <w:szCs w:val="22"/>
        </w:rPr>
        <w:t xml:space="preserve"> with the highest sales at </w:t>
      </w:r>
      <w:r w:rsidR="00F7360E">
        <w:rPr>
          <w:rFonts w:ascii="Times New Roman" w:hAnsi="Times New Roman" w:cs="Times New Roman"/>
          <w:sz w:val="22"/>
          <w:szCs w:val="22"/>
        </w:rPr>
        <w:t xml:space="preserve">$457,687K, followed by New York with sales amounting </w:t>
      </w:r>
      <w:r w:rsidR="0030758E">
        <w:rPr>
          <w:rFonts w:ascii="Times New Roman" w:hAnsi="Times New Roman" w:cs="Times New Roman"/>
          <w:sz w:val="22"/>
          <w:szCs w:val="22"/>
        </w:rPr>
        <w:t>for</w:t>
      </w:r>
      <w:r w:rsidR="00F7360E">
        <w:rPr>
          <w:rFonts w:ascii="Times New Roman" w:hAnsi="Times New Roman" w:cs="Times New Roman"/>
          <w:sz w:val="22"/>
          <w:szCs w:val="22"/>
        </w:rPr>
        <w:t xml:space="preserve"> $310,870K and Texas with sales totaling 170,188K during the given period. These states are shown in the darker shades on the map, indicating their significant contributing to overall store’s sale.</w:t>
      </w:r>
    </w:p>
    <w:p w14:paraId="51825B02" w14:textId="77777777" w:rsidR="00F7360E" w:rsidRDefault="00F7360E" w:rsidP="000204C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09519AB" w14:textId="51762C43" w:rsidR="00F7360E" w:rsidRPr="000204CF" w:rsidRDefault="000204CF" w:rsidP="000204CF">
      <w:pPr>
        <w:jc w:val="both"/>
        <w:rPr>
          <w:rFonts w:ascii="Times New Roman" w:hAnsi="Times New Roman" w:cs="Times New Roman"/>
          <w:sz w:val="22"/>
          <w:szCs w:val="22"/>
        </w:rPr>
        <w:sectPr w:rsidR="00F7360E" w:rsidRPr="000204CF" w:rsidSect="0095544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 xml:space="preserve">Monitoring, </w:t>
      </w:r>
      <w:r w:rsidR="00F7360E"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analyz</w:t>
      </w: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ing</w:t>
      </w:r>
      <w:r w:rsidR="00F7360E"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 xml:space="preserve"> </w:t>
      </w: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sale market trends</w:t>
      </w:r>
      <w:r w:rsidRPr="00A03ED6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consumers’ feedback</w:t>
      </w:r>
      <w:r w:rsidRPr="00A03ED6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 these top-performing state to </w:t>
      </w:r>
      <w:r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 xml:space="preserve">stay ahead of competitor and sustain growth. </w:t>
      </w:r>
    </w:p>
    <w:p w14:paraId="0306A73E" w14:textId="77777777" w:rsidR="00B40702" w:rsidRPr="00F7360E" w:rsidRDefault="00B40702" w:rsidP="00690364">
      <w:pPr>
        <w:rPr>
          <w:rFonts w:ascii="Times New Roman" w:hAnsi="Times New Roman" w:cs="Times New Roman"/>
          <w:sz w:val="22"/>
          <w:szCs w:val="22"/>
        </w:rPr>
      </w:pPr>
    </w:p>
    <w:p w14:paraId="314A9B23" w14:textId="77777777" w:rsidR="004928DD" w:rsidRPr="000204CF" w:rsidRDefault="004928DD" w:rsidP="00690364">
      <w:pPr>
        <w:rPr>
          <w:rFonts w:ascii="Times New Roman" w:hAnsi="Times New Roman" w:cs="Times New Roman"/>
          <w:sz w:val="22"/>
          <w:szCs w:val="22"/>
          <w:lang w:val="vi-VN"/>
        </w:rPr>
      </w:pPr>
    </w:p>
    <w:p w14:paraId="4B230140" w14:textId="77777777" w:rsidR="009C1E04" w:rsidRDefault="004928DD" w:rsidP="00E2703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While most of store’s customer</w:t>
      </w:r>
      <w:r w:rsidR="000724F8">
        <w:rPr>
          <w:rFonts w:ascii="Times New Roman" w:hAnsi="Times New Roman" w:cs="Times New Roman"/>
          <w:sz w:val="22"/>
          <w:szCs w:val="22"/>
        </w:rPr>
        <w:t>s are from other suburb</w:t>
      </w:r>
      <w:r w:rsidR="004A39B7">
        <w:rPr>
          <w:rFonts w:ascii="Times New Roman" w:hAnsi="Times New Roman" w:cs="Times New Roman"/>
          <w:sz w:val="22"/>
          <w:szCs w:val="22"/>
          <w:lang w:val="vi-VN"/>
        </w:rPr>
        <w:t>s</w:t>
      </w:r>
      <w:r w:rsidR="000724F8">
        <w:rPr>
          <w:rFonts w:ascii="Times New Roman" w:hAnsi="Times New Roman" w:cs="Times New Roman"/>
          <w:sz w:val="22"/>
          <w:szCs w:val="22"/>
        </w:rPr>
        <w:t xml:space="preserve">, the </w:t>
      </w:r>
      <w:r w:rsidR="000724F8"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shipping segment plays an important role</w:t>
      </w:r>
      <w:r w:rsidR="000724F8" w:rsidRPr="00A03ED6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 w:rsidR="006F48E8">
        <w:rPr>
          <w:rFonts w:ascii="Times New Roman" w:hAnsi="Times New Roman" w:cs="Times New Roman"/>
          <w:sz w:val="22"/>
          <w:szCs w:val="22"/>
        </w:rPr>
        <w:t>in</w:t>
      </w:r>
      <w:r w:rsidR="006F48E8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 w:rsidR="006F48E8"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>customer</w:t>
      </w:r>
      <w:r w:rsidR="00A24278"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 xml:space="preserve"> satisfaction</w:t>
      </w:r>
      <w:r w:rsidR="006F48E8">
        <w:rPr>
          <w:rFonts w:ascii="Times New Roman" w:hAnsi="Times New Roman" w:cs="Times New Roman"/>
          <w:sz w:val="22"/>
          <w:szCs w:val="22"/>
        </w:rPr>
        <w:t xml:space="preserve">. Efficient and timely shipping </w:t>
      </w:r>
      <w:r w:rsidR="00624C67">
        <w:rPr>
          <w:rFonts w:ascii="Times New Roman" w:hAnsi="Times New Roman" w:cs="Times New Roman"/>
          <w:sz w:val="22"/>
          <w:szCs w:val="22"/>
        </w:rPr>
        <w:t xml:space="preserve">lead to higher customer satisfaction, boosting </w:t>
      </w:r>
      <w:r w:rsidR="00B40702">
        <w:rPr>
          <w:rFonts w:ascii="Times New Roman" w:hAnsi="Times New Roman" w:cs="Times New Roman"/>
          <w:sz w:val="22"/>
          <w:szCs w:val="22"/>
        </w:rPr>
        <w:t>repeat</w:t>
      </w:r>
      <w:r w:rsidR="00624C67">
        <w:rPr>
          <w:rFonts w:ascii="Times New Roman" w:hAnsi="Times New Roman" w:cs="Times New Roman"/>
          <w:sz w:val="22"/>
          <w:szCs w:val="22"/>
        </w:rPr>
        <w:t xml:space="preserve"> purchases and overall sales.</w:t>
      </w:r>
    </w:p>
    <w:p w14:paraId="162E6E9A" w14:textId="77777777" w:rsidR="00687904" w:rsidRDefault="00687904" w:rsidP="00E27035">
      <w:pPr>
        <w:rPr>
          <w:rFonts w:ascii="Times New Roman" w:hAnsi="Times New Roman" w:cs="Times New Roman"/>
          <w:sz w:val="22"/>
          <w:szCs w:val="22"/>
        </w:rPr>
        <w:sectPr w:rsidR="00687904" w:rsidSect="0095544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0E55CF1C" w14:textId="77777777" w:rsidR="00B40702" w:rsidRDefault="00B40702" w:rsidP="00E27035">
      <w:pPr>
        <w:rPr>
          <w:rFonts w:ascii="Times New Roman" w:hAnsi="Times New Roman" w:cs="Times New Roman"/>
          <w:sz w:val="22"/>
          <w:szCs w:val="22"/>
        </w:rPr>
      </w:pPr>
    </w:p>
    <w:p w14:paraId="3DADEBDB" w14:textId="25B47D91" w:rsidR="000204CF" w:rsidRDefault="000204CF" w:rsidP="009C1E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chart beside display </w:t>
      </w:r>
      <w:r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the average days to ship</w:t>
      </w:r>
      <w:r w:rsidRPr="00A03ED6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First Class, Second Class, and Standard Class shipping modes </w:t>
      </w:r>
      <w:r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 xml:space="preserve">from 2016 to </w:t>
      </w:r>
      <w:r w:rsidR="001770A1"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>2019</w:t>
      </w:r>
      <w:r>
        <w:rPr>
          <w:rFonts w:ascii="Times New Roman" w:hAnsi="Times New Roman" w:cs="Times New Roman"/>
          <w:sz w:val="22"/>
          <w:szCs w:val="22"/>
        </w:rPr>
        <w:t xml:space="preserve">. First Class consistently averages around 2 days, while Second Class and Standard </w:t>
      </w:r>
      <w:r w:rsidR="00687904">
        <w:rPr>
          <w:rFonts w:ascii="Times New Roman" w:hAnsi="Times New Roman" w:cs="Times New Roman"/>
          <w:sz w:val="22"/>
          <w:szCs w:val="22"/>
        </w:rPr>
        <w:t>Class take</w:t>
      </w:r>
      <w:r>
        <w:rPr>
          <w:rFonts w:ascii="Times New Roman" w:hAnsi="Times New Roman" w:cs="Times New Roman"/>
          <w:sz w:val="22"/>
          <w:szCs w:val="22"/>
        </w:rPr>
        <w:t xml:space="preserve"> around 3.5 to </w:t>
      </w:r>
      <w:r w:rsidR="001770A1">
        <w:rPr>
          <w:rFonts w:ascii="Times New Roman" w:hAnsi="Times New Roman" w:cs="Times New Roman"/>
          <w:sz w:val="22"/>
          <w:szCs w:val="22"/>
        </w:rPr>
        <w:t xml:space="preserve">5 </w:t>
      </w:r>
      <w:r>
        <w:rPr>
          <w:rFonts w:ascii="Times New Roman" w:hAnsi="Times New Roman" w:cs="Times New Roman"/>
          <w:sz w:val="22"/>
          <w:szCs w:val="22"/>
        </w:rPr>
        <w:t>days</w:t>
      </w:r>
      <w:r w:rsidR="001770A1">
        <w:rPr>
          <w:rFonts w:ascii="Times New Roman" w:hAnsi="Times New Roman" w:cs="Times New Roman"/>
          <w:sz w:val="22"/>
          <w:szCs w:val="22"/>
        </w:rPr>
        <w:t xml:space="preserve"> respectively.</w:t>
      </w:r>
      <w:r w:rsidR="0068790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348E68" w14:textId="77777777" w:rsidR="00687904" w:rsidRDefault="00687904" w:rsidP="009C1E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A492ABE" w14:textId="07AE9F8A" w:rsidR="00687904" w:rsidRDefault="00687904" w:rsidP="009C1E0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Overall, the average shipping days, represented by the black line</w:t>
      </w:r>
      <w:r w:rsidR="001770A1">
        <w:rPr>
          <w:rFonts w:ascii="Times New Roman" w:hAnsi="Times New Roman" w:cs="Times New Roman"/>
          <w:sz w:val="22"/>
          <w:szCs w:val="22"/>
        </w:rPr>
        <w:t xml:space="preserve">. While the </w:t>
      </w:r>
      <w:r w:rsidR="001770A1" w:rsidRPr="00A03ED6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average shipping days in 2016</w:t>
      </w:r>
      <w:r w:rsidR="001770A1">
        <w:rPr>
          <w:rFonts w:ascii="Times New Roman" w:hAnsi="Times New Roman" w:cs="Times New Roman"/>
          <w:sz w:val="22"/>
          <w:szCs w:val="22"/>
        </w:rPr>
        <w:t xml:space="preserve"> was </w:t>
      </w:r>
      <w:r w:rsidR="001770A1"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>3.5 days</w:t>
      </w:r>
      <w:r w:rsidR="001770A1">
        <w:rPr>
          <w:rFonts w:ascii="Times New Roman" w:hAnsi="Times New Roman" w:cs="Times New Roman"/>
          <w:sz w:val="22"/>
          <w:szCs w:val="22"/>
        </w:rPr>
        <w:t xml:space="preserve">, it increased to approximately 6 days in 2017, then </w:t>
      </w:r>
      <w:r w:rsidR="00955446">
        <w:rPr>
          <w:rFonts w:ascii="Times New Roman" w:hAnsi="Times New Roman" w:cs="Times New Roman"/>
          <w:sz w:val="22"/>
          <w:szCs w:val="22"/>
        </w:rPr>
        <w:t xml:space="preserve">they made a big improvement to slowly decreased the </w:t>
      </w:r>
      <w:r w:rsidR="00955446" w:rsidRPr="00A03ED6">
        <w:rPr>
          <w:rFonts w:ascii="Times New Roman" w:hAnsi="Times New Roman" w:cs="Times New Roman"/>
          <w:b/>
          <w:bCs/>
          <w:color w:val="DC6D31"/>
          <w:sz w:val="22"/>
          <w:szCs w:val="22"/>
        </w:rPr>
        <w:t>average shipping days to 1</w:t>
      </w:r>
      <w:r w:rsidR="00955446">
        <w:rPr>
          <w:rFonts w:ascii="Times New Roman" w:hAnsi="Times New Roman" w:cs="Times New Roman"/>
          <w:sz w:val="22"/>
          <w:szCs w:val="22"/>
        </w:rPr>
        <w:t xml:space="preserve"> </w:t>
      </w:r>
      <w:r w:rsidR="00955446" w:rsidRPr="00A03ED6">
        <w:rPr>
          <w:rFonts w:ascii="Times New Roman" w:hAnsi="Times New Roman" w:cs="Times New Roman"/>
          <w:b/>
          <w:bCs/>
          <w:color w:val="0F2C4A"/>
          <w:sz w:val="22"/>
          <w:szCs w:val="22"/>
        </w:rPr>
        <w:t>in 2019</w:t>
      </w:r>
      <w:r w:rsidR="00955446">
        <w:rPr>
          <w:rFonts w:ascii="Times New Roman" w:hAnsi="Times New Roman" w:cs="Times New Roman"/>
          <w:sz w:val="22"/>
          <w:szCs w:val="22"/>
        </w:rPr>
        <w:t xml:space="preserve">. </w:t>
      </w:r>
      <w:r w:rsidR="001770A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92822B" w14:textId="77777777" w:rsidR="00687904" w:rsidRDefault="00687904" w:rsidP="009C1E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BE38642" w14:textId="77777777" w:rsidR="00687904" w:rsidRPr="000204CF" w:rsidRDefault="00687904" w:rsidP="009C1E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50F2F3" w14:textId="73FC58FA" w:rsidR="009C1E04" w:rsidRDefault="001770A1" w:rsidP="00687904">
      <w:pPr>
        <w:ind w:right="-540"/>
        <w:jc w:val="both"/>
        <w:rPr>
          <w:rFonts w:ascii="Times New Roman" w:hAnsi="Times New Roman" w:cs="Times New Roman"/>
          <w:sz w:val="22"/>
          <w:szCs w:val="22"/>
        </w:rPr>
      </w:pPr>
      <w:r w:rsidRPr="001770A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2EE74A5" wp14:editId="6F1801F0">
            <wp:extent cx="3048000" cy="2209165"/>
            <wp:effectExtent l="0" t="0" r="0" b="635"/>
            <wp:docPr id="1612164561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64561" name="Picture 1" descr="A graph with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328" cy="22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4FEA" w14:textId="77777777" w:rsidR="009C1E04" w:rsidRDefault="009C1E04" w:rsidP="009C1E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576C3F" w14:textId="77777777" w:rsidR="009C1E04" w:rsidRDefault="009C1E04" w:rsidP="00E27035">
      <w:pPr>
        <w:rPr>
          <w:rFonts w:ascii="Times New Roman" w:hAnsi="Times New Roman" w:cs="Times New Roman"/>
          <w:sz w:val="22"/>
          <w:szCs w:val="22"/>
        </w:rPr>
        <w:sectPr w:rsidR="009C1E04" w:rsidSect="0095544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5CCF55AA" w14:textId="1E5F1420" w:rsidR="00687904" w:rsidRPr="00A03ED6" w:rsidRDefault="003D5348" w:rsidP="00687904">
      <w:pPr>
        <w:rPr>
          <w:rFonts w:ascii="Times New Roman" w:hAnsi="Times New Roman" w:cs="Times New Roman"/>
          <w:color w:val="0F2C4A"/>
          <w:sz w:val="22"/>
          <w:szCs w:val="22"/>
        </w:rPr>
      </w:pPr>
      <w:r w:rsidRPr="00A03ED6">
        <w:rPr>
          <w:rFonts w:ascii="Times New Roman" w:hAnsi="Times New Roman" w:cs="Times New Roman"/>
          <w:b/>
          <w:bCs/>
          <w:color w:val="0F2C4A"/>
          <w:sz w:val="28"/>
          <w:szCs w:val="28"/>
        </w:rPr>
        <w:t>ADVISE FOR THE MARKETING TEAM</w:t>
      </w:r>
      <w:r w:rsidRPr="00A03ED6">
        <w:rPr>
          <w:rFonts w:ascii="Times New Roman" w:hAnsi="Times New Roman" w:cs="Times New Roman"/>
          <w:color w:val="0F2C4A"/>
          <w:sz w:val="22"/>
          <w:szCs w:val="22"/>
        </w:rPr>
        <w:t xml:space="preserve">: </w:t>
      </w:r>
    </w:p>
    <w:p w14:paraId="4BF9AFAE" w14:textId="40D2C82A" w:rsidR="004C620B" w:rsidRPr="0030758E" w:rsidRDefault="00687904" w:rsidP="00307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30758E">
        <w:rPr>
          <w:rFonts w:ascii="Times New Roman" w:hAnsi="Times New Roman" w:cs="Times New Roman"/>
          <w:sz w:val="22"/>
          <w:szCs w:val="22"/>
        </w:rPr>
        <w:t xml:space="preserve">Based on the seasonal sales trend on graph 1, Marketing Team should </w:t>
      </w:r>
      <w:r w:rsidRPr="0030758E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 xml:space="preserve">focus campaign </w:t>
      </w:r>
      <w:r w:rsidR="004C620B" w:rsidRPr="0030758E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from Q3</w:t>
      </w:r>
      <w:r w:rsidR="004C620B" w:rsidRPr="0030758E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 w:rsidR="004C620B" w:rsidRPr="0030758E">
        <w:rPr>
          <w:rFonts w:ascii="Times New Roman" w:hAnsi="Times New Roman" w:cs="Times New Roman"/>
          <w:sz w:val="22"/>
          <w:szCs w:val="22"/>
        </w:rPr>
        <w:t xml:space="preserve">to leverage peak sales periods. Aligns promotional activities with peak consumer activity, </w:t>
      </w:r>
      <w:r w:rsidR="004C620B" w:rsidRPr="0030758E">
        <w:rPr>
          <w:rFonts w:ascii="Times New Roman" w:hAnsi="Times New Roman" w:cs="Times New Roman"/>
          <w:b/>
          <w:bCs/>
          <w:color w:val="DC6D31"/>
          <w:sz w:val="22"/>
          <w:szCs w:val="22"/>
        </w:rPr>
        <w:t>optimizing sales and profit.</w:t>
      </w:r>
    </w:p>
    <w:p w14:paraId="465EC371" w14:textId="23A6BFB1" w:rsidR="004C620B" w:rsidRDefault="004C620B" w:rsidP="004C6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Especially, prioritize marketing </w:t>
      </w:r>
      <w:r w:rsidRPr="002E1859">
        <w:rPr>
          <w:rFonts w:ascii="Times New Roman" w:hAnsi="Times New Roman" w:cs="Times New Roman"/>
          <w:b/>
          <w:bCs/>
          <w:color w:val="0F2C4A"/>
          <w:sz w:val="22"/>
          <w:szCs w:val="22"/>
        </w:rPr>
        <w:t xml:space="preserve">campaigns for </w:t>
      </w:r>
      <w:r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 xml:space="preserve">Technology </w:t>
      </w:r>
      <w:r w:rsidRPr="002E1859">
        <w:rPr>
          <w:rFonts w:ascii="Times New Roman" w:hAnsi="Times New Roman" w:cs="Times New Roman"/>
          <w:b/>
          <w:bCs/>
          <w:color w:val="0F2C4A"/>
          <w:sz w:val="22"/>
          <w:szCs w:val="22"/>
        </w:rPr>
        <w:t xml:space="preserve">and </w:t>
      </w:r>
      <w:r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>Office Supplies</w:t>
      </w:r>
      <w:r w:rsidRPr="002E1859">
        <w:rPr>
          <w:rFonts w:ascii="Times New Roman" w:hAnsi="Times New Roman" w:cs="Times New Roman"/>
          <w:color w:val="DC6D3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boost high-profit categories. Create </w:t>
      </w:r>
      <w:r w:rsidRPr="002E1859">
        <w:rPr>
          <w:rFonts w:ascii="Times New Roman" w:hAnsi="Times New Roman" w:cs="Times New Roman"/>
          <w:b/>
          <w:bCs/>
          <w:color w:val="0F2C4A"/>
          <w:sz w:val="22"/>
          <w:szCs w:val="22"/>
        </w:rPr>
        <w:t>special offer</w:t>
      </w:r>
      <w:r w:rsidRPr="002E1859">
        <w:rPr>
          <w:rFonts w:ascii="Times New Roman" w:hAnsi="Times New Roman" w:cs="Times New Roman"/>
          <w:color w:val="0F2C4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for </w:t>
      </w:r>
      <w:r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>Furniture</w:t>
      </w:r>
      <w:r w:rsidRPr="002E1859">
        <w:rPr>
          <w:rFonts w:ascii="Times New Roman" w:hAnsi="Times New Roman" w:cs="Times New Roman"/>
          <w:color w:val="DC6D3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 increase its contribution. </w:t>
      </w:r>
    </w:p>
    <w:p w14:paraId="69DFB5A3" w14:textId="650202E9" w:rsidR="004C620B" w:rsidRDefault="004C620B" w:rsidP="004C6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2E1859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Concentrate resources</w:t>
      </w:r>
      <w:r w:rsidRPr="002E1859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 </w:t>
      </w:r>
      <w:r w:rsidRPr="002E1859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California, Texas</w:t>
      </w:r>
      <w:r w:rsidRPr="002E1859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and </w:t>
      </w:r>
      <w:r w:rsidRPr="002E1859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New York</w:t>
      </w:r>
      <w:r>
        <w:rPr>
          <w:rFonts w:ascii="Times New Roman" w:hAnsi="Times New Roman" w:cs="Times New Roman"/>
          <w:sz w:val="22"/>
          <w:szCs w:val="22"/>
        </w:rPr>
        <w:t>. Replicate successful strategies from these states in other regions</w:t>
      </w:r>
    </w:p>
    <w:p w14:paraId="7CEF1FF2" w14:textId="6CB0EFF8" w:rsidR="00955446" w:rsidRPr="002E1859" w:rsidRDefault="00955446" w:rsidP="009554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F2C4A"/>
          <w:sz w:val="22"/>
          <w:szCs w:val="22"/>
        </w:rPr>
      </w:pPr>
      <w:r w:rsidRPr="002E1859">
        <w:rPr>
          <w:rFonts w:ascii="Times New Roman" w:hAnsi="Times New Roman" w:cs="Times New Roman"/>
          <w:b/>
          <w:bCs/>
          <w:color w:val="153D63" w:themeColor="text2" w:themeTint="E6"/>
          <w:sz w:val="22"/>
          <w:szCs w:val="22"/>
        </w:rPr>
        <w:t>Promote</w:t>
      </w:r>
      <w:r w:rsidRPr="002E1859">
        <w:rPr>
          <w:rFonts w:ascii="Times New Roman" w:hAnsi="Times New Roman" w:cs="Times New Roman"/>
          <w:color w:val="153D63" w:themeColor="text2" w:themeTint="E6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efficient </w:t>
      </w:r>
      <w:r w:rsidRPr="002E1859">
        <w:rPr>
          <w:rFonts w:ascii="Times New Roman" w:hAnsi="Times New Roman" w:cs="Times New Roman"/>
          <w:b/>
          <w:bCs/>
          <w:color w:val="DC6D31"/>
          <w:sz w:val="22"/>
          <w:szCs w:val="22"/>
        </w:rPr>
        <w:t>First-Class shipping times</w:t>
      </w:r>
      <w:r>
        <w:rPr>
          <w:rFonts w:ascii="Times New Roman" w:hAnsi="Times New Roman" w:cs="Times New Roman"/>
          <w:sz w:val="22"/>
          <w:szCs w:val="22"/>
        </w:rPr>
        <w:t xml:space="preserve">. Keep improve and consistent with the average shipping days to </w:t>
      </w:r>
      <w:r w:rsidRPr="002E1859">
        <w:rPr>
          <w:rFonts w:ascii="Times New Roman" w:hAnsi="Times New Roman" w:cs="Times New Roman"/>
          <w:b/>
          <w:bCs/>
          <w:color w:val="0F2C4A"/>
          <w:sz w:val="22"/>
          <w:szCs w:val="22"/>
        </w:rPr>
        <w:t xml:space="preserve">enhance customer trust loyalty. </w:t>
      </w:r>
    </w:p>
    <w:sectPr w:rsidR="00955446" w:rsidRPr="002E1859" w:rsidSect="00955446">
      <w:type w:val="continuous"/>
      <w:pgSz w:w="12240" w:h="15840"/>
      <w:pgMar w:top="1440" w:right="99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F3D"/>
    <w:multiLevelType w:val="hybridMultilevel"/>
    <w:tmpl w:val="8D9AF5A8"/>
    <w:lvl w:ilvl="0" w:tplc="D94E42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66DD7"/>
    <w:multiLevelType w:val="hybridMultilevel"/>
    <w:tmpl w:val="D73256EE"/>
    <w:lvl w:ilvl="0" w:tplc="7C3EC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E7D75"/>
    <w:multiLevelType w:val="hybridMultilevel"/>
    <w:tmpl w:val="1408C68E"/>
    <w:lvl w:ilvl="0" w:tplc="A54288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857BB"/>
    <w:multiLevelType w:val="hybridMultilevel"/>
    <w:tmpl w:val="94867604"/>
    <w:lvl w:ilvl="0" w:tplc="E76843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687536">
    <w:abstractNumId w:val="1"/>
  </w:num>
  <w:num w:numId="2" w16cid:durableId="235671572">
    <w:abstractNumId w:val="3"/>
  </w:num>
  <w:num w:numId="3" w16cid:durableId="2138454265">
    <w:abstractNumId w:val="0"/>
  </w:num>
  <w:num w:numId="4" w16cid:durableId="86089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CE"/>
    <w:rsid w:val="0001326F"/>
    <w:rsid w:val="000204CF"/>
    <w:rsid w:val="00034096"/>
    <w:rsid w:val="000439F3"/>
    <w:rsid w:val="00065EA6"/>
    <w:rsid w:val="000724F8"/>
    <w:rsid w:val="00075C7C"/>
    <w:rsid w:val="000C42EE"/>
    <w:rsid w:val="000F0C9A"/>
    <w:rsid w:val="001123A6"/>
    <w:rsid w:val="00135BC9"/>
    <w:rsid w:val="001633AE"/>
    <w:rsid w:val="001770A1"/>
    <w:rsid w:val="001969A5"/>
    <w:rsid w:val="001E5C9B"/>
    <w:rsid w:val="001F4F4A"/>
    <w:rsid w:val="00201FAE"/>
    <w:rsid w:val="00224A86"/>
    <w:rsid w:val="00241DE4"/>
    <w:rsid w:val="00246B3A"/>
    <w:rsid w:val="002471FC"/>
    <w:rsid w:val="00261CF7"/>
    <w:rsid w:val="002759AA"/>
    <w:rsid w:val="002904FA"/>
    <w:rsid w:val="002B0440"/>
    <w:rsid w:val="002B254B"/>
    <w:rsid w:val="002D2803"/>
    <w:rsid w:val="002E1859"/>
    <w:rsid w:val="002E22E7"/>
    <w:rsid w:val="0030758E"/>
    <w:rsid w:val="003134B0"/>
    <w:rsid w:val="00330E10"/>
    <w:rsid w:val="00342ED6"/>
    <w:rsid w:val="003942B2"/>
    <w:rsid w:val="003D5348"/>
    <w:rsid w:val="004126EE"/>
    <w:rsid w:val="0041799B"/>
    <w:rsid w:val="004266FF"/>
    <w:rsid w:val="00442085"/>
    <w:rsid w:val="00472917"/>
    <w:rsid w:val="004928DD"/>
    <w:rsid w:val="004A39B7"/>
    <w:rsid w:val="004A72BE"/>
    <w:rsid w:val="004C147B"/>
    <w:rsid w:val="004C5DBA"/>
    <w:rsid w:val="004C620B"/>
    <w:rsid w:val="004D4F0A"/>
    <w:rsid w:val="004F4C70"/>
    <w:rsid w:val="00502E5D"/>
    <w:rsid w:val="00544ECE"/>
    <w:rsid w:val="00597A3A"/>
    <w:rsid w:val="005A19E0"/>
    <w:rsid w:val="00617749"/>
    <w:rsid w:val="00624C67"/>
    <w:rsid w:val="0064573C"/>
    <w:rsid w:val="00652AD8"/>
    <w:rsid w:val="00670572"/>
    <w:rsid w:val="00672734"/>
    <w:rsid w:val="00674736"/>
    <w:rsid w:val="0068015D"/>
    <w:rsid w:val="00687904"/>
    <w:rsid w:val="00690364"/>
    <w:rsid w:val="00693F45"/>
    <w:rsid w:val="006A3722"/>
    <w:rsid w:val="006F2CFE"/>
    <w:rsid w:val="006F31B0"/>
    <w:rsid w:val="006F48E8"/>
    <w:rsid w:val="0076550C"/>
    <w:rsid w:val="00785F33"/>
    <w:rsid w:val="007A1AFD"/>
    <w:rsid w:val="007C1DFF"/>
    <w:rsid w:val="007C7D7F"/>
    <w:rsid w:val="00806979"/>
    <w:rsid w:val="0085299F"/>
    <w:rsid w:val="00856978"/>
    <w:rsid w:val="00857A8F"/>
    <w:rsid w:val="00871427"/>
    <w:rsid w:val="008B3F1A"/>
    <w:rsid w:val="008E2251"/>
    <w:rsid w:val="009171A7"/>
    <w:rsid w:val="00940CFC"/>
    <w:rsid w:val="00945CB9"/>
    <w:rsid w:val="00955446"/>
    <w:rsid w:val="0099322D"/>
    <w:rsid w:val="009A32FA"/>
    <w:rsid w:val="009A3DE5"/>
    <w:rsid w:val="009A4AF8"/>
    <w:rsid w:val="009C1E04"/>
    <w:rsid w:val="009C3B2B"/>
    <w:rsid w:val="00A02550"/>
    <w:rsid w:val="00A03ED6"/>
    <w:rsid w:val="00A22127"/>
    <w:rsid w:val="00A24278"/>
    <w:rsid w:val="00A35E7E"/>
    <w:rsid w:val="00A43D78"/>
    <w:rsid w:val="00A5748D"/>
    <w:rsid w:val="00A62CAC"/>
    <w:rsid w:val="00A65066"/>
    <w:rsid w:val="00A66C95"/>
    <w:rsid w:val="00A75885"/>
    <w:rsid w:val="00A97B5B"/>
    <w:rsid w:val="00AC0704"/>
    <w:rsid w:val="00B31D46"/>
    <w:rsid w:val="00B40702"/>
    <w:rsid w:val="00BC59DD"/>
    <w:rsid w:val="00BD7269"/>
    <w:rsid w:val="00C12AA6"/>
    <w:rsid w:val="00C3020E"/>
    <w:rsid w:val="00C715ED"/>
    <w:rsid w:val="00C87F06"/>
    <w:rsid w:val="00D26E05"/>
    <w:rsid w:val="00DD6EAD"/>
    <w:rsid w:val="00DD77EB"/>
    <w:rsid w:val="00E03E61"/>
    <w:rsid w:val="00E27035"/>
    <w:rsid w:val="00E94335"/>
    <w:rsid w:val="00EA1BFE"/>
    <w:rsid w:val="00ED1555"/>
    <w:rsid w:val="00F00054"/>
    <w:rsid w:val="00F042A7"/>
    <w:rsid w:val="00F148EA"/>
    <w:rsid w:val="00F17BEA"/>
    <w:rsid w:val="00F30246"/>
    <w:rsid w:val="00F7360E"/>
    <w:rsid w:val="00F74CB3"/>
    <w:rsid w:val="00F76DC9"/>
    <w:rsid w:val="00FA03F0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5600"/>
  <w15:chartTrackingRefBased/>
  <w15:docId w15:val="{4B5516A4-0D31-3545-B77B-E913DF0D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C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C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C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C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C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C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C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C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04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/Library/CloudStorage/OneDrive-MacquarieUniversity/2024%20TERM%201/BUSA2020/Assignment%203%20-%20Power%20BI/47523670_%20BUSA2020%20assignment%203/BUSINESS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REPORT.dotx</Template>
  <TotalTime>95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Hoang Minh Khanh Tan</cp:lastModifiedBy>
  <cp:revision>5</cp:revision>
  <dcterms:created xsi:type="dcterms:W3CDTF">2024-05-28T05:03:00Z</dcterms:created>
  <dcterms:modified xsi:type="dcterms:W3CDTF">2024-06-25T08:44:00Z</dcterms:modified>
</cp:coreProperties>
</file>