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YouTubeトレンド動画 likes 予測</w:t>
      </w:r>
    </w:p>
    <w:p>
      <w:pPr>
        <w:spacing w:after="120"/>
        <w:jc w:val="center"/>
      </w:pPr>
      <w:r>
        <w:rPr>
          <w:b/>
          <w:bCs/>
          <w:color w:val="2E5C8A"/>
          <w:sz w:val="36"/>
          <w:szCs w:val="36"/>
        </w:rPr>
        <w:t xml:space="preserve">中間報告書 続編</w:t>
      </w:r>
    </w:p>
    <w:p>
      <w:pPr>
        <w:spacing w:after="600"/>
        <w:jc w:val="center"/>
      </w:pPr>
      <w:r>
        <w:rPr>
          <w:color w:val="555555"/>
          <w:sz w:val="24"/>
          <w:szCs w:val="24"/>
        </w:rPr>
        <w:t xml:space="preserve">― リークの発見、段階分類への転換、チャンネル知名度の分析 ―</w:t>
      </w:r>
    </w:p>
    <w:p>
      <w:pPr>
        <w:spacing w:after="80"/>
        <w:jc w:val="center"/>
      </w:pPr>
      <w:r>
        <w:rPr>
          <w:sz w:val="22"/>
          <w:szCs w:val="22"/>
        </w:rPr>
        <w:t xml:space="preserve">対象期間: 第10回〜第12回（2026年6月〜7月）</w:t>
      </w:r>
    </w:p>
    <w:p>
      <w:pPr>
        <w:jc w:val="center"/>
      </w:pPr>
      <w:r>
        <w:rPr>
          <w:sz w:val="22"/>
          <w:szCs w:val="22"/>
        </w:rPr>
        <w:t xml:space="preserve">データ: YouTube US トレンド動画 2017–2018（ユニーク5,817件）</w:t>
      </w:r>
    </w:p>
    <w:p>
      <w:r>
        <w:br w:type="page"/>
      </w:r>
    </w:p>
    <w:p>
      <w:pPr>
        <w:pStyle w:val="Heading1"/>
      </w:pPr>
      <w:r>
        <w:t xml:space="preserve">目次</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要旨</w:t>
      </w:r>
    </w:p>
    <w:p>
      <w:pPr>
        <w:spacing w:after="120" w:line="300"/>
      </w:pPr>
      <w:r>
        <w:t xml:space="preserve">前回までの報告では、ジャンル分割と対数変換を施した Random Forest により likes 予測で </w:t>
      </w:r>
      <w:r>
        <w:rPr>
          <w:b/>
          <w:bCs/>
        </w:rPr>
        <w:t xml:space="preserve">R²=0.99</w:t>
      </w:r>
      <w:r>
        <w:t xml:space="preserve"> という高い精度を報告していた。本続編では、この値が </w:t>
      </w:r>
      <w:r>
        <w:rPr>
          <w:b/>
          <w:bCs/>
        </w:rPr>
        <w:t xml:space="preserve">3段階のリークによる見かけ上の数字</w:t>
      </w:r>
      <w:r>
        <w:t xml:space="preserve"> であったことを突き止め、正しい評価設計のもとでの真の難易度を明らかにする。さらに、絶対数の回帰が困難であることを受けて問題設定を「段階分類」へと転換し、実用的な予測の形を整えた。最後に、チャンネルの知名度別に予測力を分析し、</w:t>
      </w:r>
      <w:r>
        <w:rPr>
          <w:b/>
          <w:bCs/>
        </w:rPr>
        <w:t xml:space="preserve">「誰が投稿したか」が予測を支配する</w:t>
      </w:r>
      <w:r>
        <w:t xml:space="preserve"> という構造を定量的に示す。続く第12回では、段階分類の残る弱点であった likes のインフレ（分布シフト）を「時間相対比」ターゲットで補正し、未来情報を使わずに「低」段階の識別を回復させた（F1 0.13→0.40）。</w:t>
      </w:r>
    </w:p>
    <w:p>
      <w:pPr>
        <w:spacing w:after="120" w:line="300"/>
      </w:pPr>
      <w:r>
        <w:t xml:space="preserve">結論として、投稿前情報だけによる likes 絶対数の予測は </w:t>
      </w:r>
      <w:r>
        <w:rPr>
          <w:b/>
          <w:bCs/>
        </w:rPr>
        <w:t xml:space="preserve">真の R² ≈ 0.40</w:t>
      </w:r>
      <w:r>
        <w:t xml:space="preserve"> にとどまり難しい。一方、likes を段階に分けて当てる分類なら </w:t>
      </w:r>
      <w:r>
        <w:rPr>
          <w:b/>
          <w:bCs/>
        </w:rPr>
        <w:t xml:space="preserve">二値 AUC=0.86 / 4段階 正解率62%（±1段階91%）</w:t>
      </w:r>
      <w:r>
        <w:t xml:space="preserve"> と実用域に達する。</w:t>
      </w:r>
    </w:p>
    <w:p>
      <w:pPr>
        <w:pStyle w:val="Heading1"/>
      </w:pPr>
      <w:r>
        <w:t xml:space="preserve">1. 当初の高精度（R²=0.99）の正体</w:t>
      </w:r>
    </w:p>
    <w:p>
      <w:pPr>
        <w:spacing w:after="120" w:line="300"/>
      </w:pPr>
      <w:r>
        <w:t xml:space="preserve">当初モデルの高い R² は、次の3つの問題が積み重なって生じた見かけ上の値だった。それぞれが独立に精度を底上げしており、すべてを取り除いて初めて真の予測力が見える。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w:t>
            </w:r>
          </w:p>
        </w:tc>
        <w:tc>
          <w:tcPr>
            <w:tcW w:type="dxa" w:w="32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リークの種類</w:t>
            </w:r>
          </w:p>
        </w:tc>
        <w:tc>
          <w:tcPr>
            <w:tcW w:type="dxa" w:w="54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内容</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1</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同時生起変数のリーク</w:t>
            </w:r>
          </w:p>
        </w:tc>
        <w:tc>
          <w:tcPr>
            <w:tcW w:type="dxa" w:w="54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views / dislikes / comment_count は likes と同時に決まる量。これらを特徴量に入れると「予測」ではなく「逆算」になる。特徴量重要度の約99%を占有していた。</w:t>
            </w:r>
          </w:p>
        </w:tc>
      </w:tr>
      <w:tr>
        <w:tc>
          <w:tcPr>
            <w:tcW w:type="dxa" w:w="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2</w:t>
            </w:r>
          </w:p>
        </w:tc>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動画の重複</w:t>
            </w:r>
          </w:p>
        </w:tc>
        <w:tc>
          <w:tcPr>
            <w:tcW w:type="dxa" w:w="54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全37,236行のうちユニーク動画は5,817件のみ。同一動画が複数日トレンド入りして重複し、同じ動画が学習とtestの両方に分散していた。</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3</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ランダム分割による未来情報の混入</w:t>
            </w:r>
          </w:p>
        </w:tc>
        <w:tc>
          <w:tcPr>
            <w:tcW w:type="dxa" w:w="54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時系列を無視したランダム分割では「未来の動画で学習し過去を予測する」向きが混ざり、実運用（投稿前予測）と乖離する。</w:t>
            </w:r>
          </w:p>
        </w:tc>
      </w:tr>
    </w:tbl>
    <w:p>
      <w:pPr>
        <w:spacing w:after="120"/>
      </w:pPr>
    </w:p>
    <w:p>
      <w:pPr>
        <w:spacing w:after="120" w:line="300"/>
      </w:pPr>
      <w:r>
        <w:t xml:space="preserve">これら3つをすべて排除し、</w:t>
      </w:r>
      <w:r>
        <w:rPr>
          <w:b/>
          <w:bCs/>
        </w:rPr>
        <w:t xml:space="preserve">投稿時点で確定する特徴量のみ・動画重複除去・trending_date順の時系列分割</w:t>
      </w:r>
      <w:r>
        <w:t xml:space="preserve"> で評価し直した結果が次節である。</w:t>
      </w:r>
    </w:p>
    <w:p>
      <w:pPr>
        <w:pStyle w:val="Heading1"/>
      </w:pPr>
      <w:r>
        <w:t xml:space="preserve">2. 真の難易度：投稿前 likes 予測</w:t>
      </w:r>
    </w:p>
    <w:p>
      <w:pPr>
        <w:spacing w:after="120" w:line="300"/>
      </w:pPr>
      <w:r>
        <w:t xml:space="preserve">リークを断った正しい評価では、likes 絶対数の予測は </w:t>
      </w:r>
      <w:r>
        <w:rPr>
          <w:b/>
          <w:bCs/>
        </w:rPr>
        <w:t xml:space="preserve">真の R² ≈ 0.40（±0.20）</w:t>
      </w:r>
      <w:r>
        <w:t xml:space="preserve">、対数スケールの R² はほぼ 0 にとどまった。これは失敗ではなく、評価設計の重要性を示す誠実な結果である。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860"/>
      </w:tblGrid>
      <w:tr>
        <w:trPr>
          <w:tblHeader/>
        </w:trPr>
        <w:tc>
          <w:tcPr>
            <w:tcW w:type="dxa" w:w="38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評価方法</w:t>
            </w:r>
          </w:p>
        </w:tc>
        <w:tc>
          <w:tcPr>
            <w:tcW w:type="dxa" w:w="18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実スケール R²</w:t>
            </w:r>
          </w:p>
        </w:tc>
        <w:tc>
          <w:tcPr>
            <w:tcW w:type="dxa" w:w="18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対数 R²</w:t>
            </w:r>
          </w:p>
        </w:tc>
        <w:tc>
          <w:tcPr>
            <w:tcW w:type="dxa" w:w="18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MAE</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時系列分割（正式）</w:t>
            </w:r>
          </w:p>
        </w:tc>
        <w:tc>
          <w:tcPr>
            <w:tcW w:type="dxa" w:w="18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0.396</w:t>
            </w:r>
          </w:p>
        </w:tc>
        <w:tc>
          <w:tcPr>
            <w:tcW w:type="dxa" w:w="18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−0.007</w:t>
            </w:r>
          </w:p>
        </w:tc>
        <w:tc>
          <w:tcPr>
            <w:tcW w:type="dxa" w:w="1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25,095</w:t>
            </w:r>
          </w:p>
        </w:tc>
      </w:tr>
      <w:tr>
        <w:tc>
          <w:tcPr>
            <w:tcW w:type="dxa" w:w="3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ランダムK分割（参考）</w:t>
            </w:r>
          </w:p>
        </w:tc>
        <w:tc>
          <w:tcPr>
            <w:tcW w:type="dxa" w:w="18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0.362</w:t>
            </w:r>
          </w:p>
        </w:tc>
        <w:tc>
          <w:tcPr>
            <w:tcW w:type="dxa" w:w="18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0.171</w:t>
            </w:r>
          </w:p>
        </w:tc>
        <w:tc>
          <w:tcPr>
            <w:tcW w:type="dxa" w:w="1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24,193</w:t>
            </w:r>
          </w:p>
        </w:tc>
      </w:tr>
    </w:tbl>
    <w:p>
      <w:pPr>
        <w:spacing w:after="200"/>
        <w:jc w:val="center"/>
      </w:pPr>
      <w:r>
        <w:rPr>
          <w:i/>
          <w:iCs/>
          <w:color w:val="555555"/>
          <w:sz w:val="20"/>
          <w:szCs w:val="20"/>
        </w:rPr>
        <w:t xml:space="preserve">表1. 投稿時点特徴量・動画重複除去後の likes 予測性能</w:t>
      </w:r>
    </w:p>
    <w:p>
      <w:pPr>
        <w:spacing w:after="60" w:before="120"/>
        <w:jc w:val="center"/>
      </w:pPr>
      <w:r>
        <w:drawing>
          <wp:inline distT="0" distB="0" distL="0" distR="0">
            <wp:extent cx="4095750" cy="2381250"/>
            <wp:effectExtent t="0" r="0" b="0" l="0"/>
            <wp:docPr id="1" name="likes_pretime_timesplit_plot.png" descr="likes_pretime_timesplit_plot.png" title="likes_pretime_timespli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81250"/>
                    </a:xfrm>
                    <a:prstGeom prst="rect">
                      <a:avLst/>
                    </a:prstGeom>
                  </pic:spPr>
                </pic:pic>
              </a:graphicData>
            </a:graphic>
          </wp:inline>
        </w:drawing>
      </w:r>
    </w:p>
    <w:p>
      <w:pPr>
        <w:spacing w:after="200"/>
        <w:jc w:val="center"/>
      </w:pPr>
      <w:r>
        <w:rPr>
          <w:i/>
          <w:iCs/>
          <w:color w:val="555555"/>
          <w:sz w:val="20"/>
          <w:szCs w:val="20"/>
        </w:rPr>
        <w:t xml:space="preserve">図1. 時系列分割による実際値×予測値（投稿前特徴量のみ）</w:t>
      </w:r>
    </w:p>
    <w:p>
      <w:pPr>
        <w:pStyle w:val="Heading2"/>
      </w:pPr>
      <w:r>
        <w:t xml:space="preserve">2.1 特徴量の寄与と方向性の探索</w:t>
      </w:r>
    </w:p>
    <w:p>
      <w:pPr>
        <w:spacing w:after="120" w:line="300"/>
      </w:pPr>
      <w:r>
        <w:t xml:space="preserve">投稿前情報の範囲で何が効くかを切り分けた。重要なのは、内容特徴（タイトル・タグ）だけではほとんど説明できず、チャンネルの過去実績が支配的だという点である。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rPr>
          <w:tblHeader/>
        </w:trPr>
        <w:tc>
          <w:tcPr>
            <w:tcW w:type="dxa" w:w="42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設定</w:t>
            </w:r>
          </w:p>
        </w:tc>
        <w:tc>
          <w:tcPr>
            <w:tcW w:type="dxa" w:w="17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実 R²</w:t>
            </w:r>
          </w:p>
        </w:tc>
        <w:tc>
          <w:tcPr>
            <w:tcW w:type="dxa" w:w="17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対数 R²</w:t>
            </w:r>
          </w:p>
        </w:tc>
        <w:tc>
          <w:tcPr>
            <w:tcW w:type="dxa" w:w="17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補足</w:t>
            </w:r>
          </w:p>
        </w:tc>
      </w:tr>
      <w:tr>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数値特徴（チャンネル込み）</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0.409</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0.093</w:t>
            </w:r>
          </w:p>
        </w:tc>
        <w:tc>
          <w:tcPr>
            <w:tcW w:type="dxa" w:w="1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基準</w:t>
            </w:r>
          </w:p>
        </w:tc>
      </w:tr>
      <w:tr>
        <w:tc>
          <w:tcPr>
            <w:tcW w:type="dxa" w:w="4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 タイトル/タグ TF-IDF(300語)</w:t>
            </w:r>
          </w:p>
        </w:tc>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0.448</w:t>
            </w:r>
          </w:p>
        </w:tc>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0.107</w:t>
            </w:r>
          </w:p>
        </w:tc>
        <w:tc>
          <w:tcPr>
            <w:tcW w:type="dxa" w:w="1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テキストは効く</w:t>
            </w:r>
          </w:p>
        </w:tc>
      </w:tr>
      <w:tr>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内容特徴のみ（チャンネル除外）</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−0.073</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−0.946</w:t>
            </w:r>
          </w:p>
        </w:tc>
        <w:tc>
          <w:tcPr>
            <w:tcW w:type="dxa" w:w="1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説明不能</w:t>
            </w:r>
          </w:p>
        </w:tc>
      </w:tr>
      <w:tr>
        <w:tc>
          <w:tcPr>
            <w:tcW w:type="dxa" w:w="4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エンゲージ率 likes/views 予測</w:t>
            </w:r>
          </w:p>
        </w:tc>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0.426</w:t>
            </w:r>
          </w:p>
        </w:tc>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w:t>
            </w:r>
          </w:p>
        </w:tc>
        <w:tc>
          <w:tcPr>
            <w:tcW w:type="dxa" w:w="1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比なら少しマシ</w:t>
            </w:r>
          </w:p>
        </w:tc>
      </w:tr>
      <w:tr>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高likes 二値分類（&gt;中央値）</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w:t>
            </w:r>
          </w:p>
        </w:tc>
        <w:tc>
          <w:tcPr>
            <w:tcW w:type="dxa" w:w="1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AUC=0.82</w:t>
            </w:r>
          </w:p>
        </w:tc>
      </w:tr>
    </w:tbl>
    <w:p>
      <w:pPr>
        <w:spacing w:after="200"/>
        <w:jc w:val="center"/>
      </w:pPr>
      <w:r>
        <w:rPr>
          <w:i/>
          <w:iCs/>
          <w:color w:val="555555"/>
          <w:sz w:val="20"/>
          <w:szCs w:val="20"/>
        </w:rPr>
        <w:t xml:space="preserve">表2. 3方向の探索（精度向上・分析・問題設定変更）</w:t>
      </w:r>
    </w:p>
    <w:p>
      <w:pPr>
        <w:spacing w:after="120" w:line="300"/>
      </w:pPr>
      <w:r>
        <w:t xml:space="preserve">チャンネル実績を除くと R² がマイナスに転落することから、</w:t>
      </w:r>
      <w:r>
        <w:rPr>
          <w:b/>
          <w:bCs/>
        </w:rPr>
        <w:t xml:space="preserve">「内容より発信者」</w:t>
      </w:r>
      <w:r>
        <w:t xml:space="preserve"> が決定的だと分かる。一方、二値分類に問題を変えると AUC=0.82 と実用的になり、これが次章の方向転換につながった。</w:t>
      </w:r>
    </w:p>
    <w:p>
      <w:r>
        <w:br w:type="page"/>
      </w:r>
    </w:p>
    <w:p>
      <w:pPr>
        <w:pStyle w:val="Heading1"/>
      </w:pPr>
      <w:r>
        <w:t xml:space="preserve">3. 方向転換：絶対数の回帰から段階分類へ</w:t>
      </w:r>
    </w:p>
    <w:p>
      <w:pPr>
        <w:spacing w:after="120" w:line="300"/>
      </w:pPr>
      <w:r>
        <w:t xml:space="preserve">絶対数を当てるのが難しいため、likes を段階に分け「どの段階か」を当てる分類に問題を設定し直した。どこまで細かく刻めるかを診断したのが表3である。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設定</w:t>
            </w:r>
          </w:p>
        </w:tc>
        <w:tc>
          <w:tcPr>
            <w:tcW w:type="dxa" w:w="20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正解率/指標</w:t>
            </w:r>
          </w:p>
        </w:tc>
        <w:tc>
          <w:tcPr>
            <w:tcW w:type="dxa" w:w="20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ランダム</w:t>
            </w:r>
          </w:p>
        </w:tc>
        <w:tc>
          <w:tcPr>
            <w:tcW w:type="dxa" w:w="20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±1段階許容</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二値分類（中央値超え）</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AUC 0.860</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0.500</w:t>
            </w:r>
          </w:p>
        </w:tc>
        <w:tc>
          <w:tcPr>
            <w:tcW w:type="dxa" w:w="2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3段階分類</w:t>
            </w:r>
          </w:p>
        </w:tc>
        <w:tc>
          <w:tcPr>
            <w:tcW w:type="dxa" w:w="20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0.694</w:t>
            </w:r>
          </w:p>
        </w:tc>
        <w:tc>
          <w:tcPr>
            <w:tcW w:type="dxa" w:w="20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0.333</w:t>
            </w:r>
          </w:p>
        </w:tc>
        <w:tc>
          <w:tcPr>
            <w:tcW w:type="dxa" w:w="20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0.971</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4段階分類</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0.618</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0.250</w:t>
            </w:r>
          </w:p>
        </w:tc>
        <w:tc>
          <w:tcPr>
            <w:tcW w:type="dxa" w:w="2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0.910</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5段階分類</w:t>
            </w:r>
          </w:p>
        </w:tc>
        <w:tc>
          <w:tcPr>
            <w:tcW w:type="dxa" w:w="20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0.517</w:t>
            </w:r>
          </w:p>
        </w:tc>
        <w:tc>
          <w:tcPr>
            <w:tcW w:type="dxa" w:w="20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0.200</w:t>
            </w:r>
          </w:p>
        </w:tc>
        <w:tc>
          <w:tcPr>
            <w:tcW w:type="dxa" w:w="20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0.882</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10段階分類</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0.316</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0.100</w:t>
            </w:r>
          </w:p>
        </w:tc>
        <w:tc>
          <w:tcPr>
            <w:tcW w:type="dxa" w:w="2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0.666</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順位予測（Spearman ρ）</w:t>
            </w:r>
          </w:p>
        </w:tc>
        <w:tc>
          <w:tcPr>
            <w:tcW w:type="dxa" w:w="20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0.620</w:t>
            </w:r>
          </w:p>
        </w:tc>
        <w:tc>
          <w:tcPr>
            <w:tcW w:type="dxa" w:w="205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w:t>
            </w:r>
          </w:p>
        </w:tc>
        <w:tc>
          <w:tcPr>
            <w:tcW w:type="dxa" w:w="20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w:t>
            </w:r>
          </w:p>
        </w:tc>
      </w:tr>
    </w:tbl>
    <w:p>
      <w:pPr>
        <w:spacing w:after="200"/>
        <w:jc w:val="center"/>
      </w:pPr>
      <w:r>
        <w:rPr>
          <w:i/>
          <w:iCs/>
          <w:color w:val="555555"/>
          <w:sz w:val="20"/>
          <w:szCs w:val="20"/>
        </w:rPr>
        <w:t xml:space="preserve">表3. 刻む粒度と精度（投稿時点情報のみ・時系列評価）</w:t>
      </w:r>
    </w:p>
    <w:p>
      <w:pPr>
        <w:spacing w:after="120" w:line="300"/>
      </w:pPr>
      <w:r>
        <w:t xml:space="preserve">4〜5段階が刻みと精度のバランス点であり、</w:t>
      </w:r>
      <w:r>
        <w:rPr>
          <w:b/>
          <w:bCs/>
        </w:rPr>
        <w:t xml:space="preserve">4段階分類（正解率62%・±1段階91%）</w:t>
      </w:r>
      <w:r>
        <w:t xml:space="preserve"> を正式モデルとして採用した。</w:t>
      </w:r>
    </w:p>
    <w:p>
      <w:pPr>
        <w:pStyle w:val="Heading2"/>
      </w:pPr>
      <w:r>
        <w:t xml:space="preserve">3.1 カテゴリによる予測しやすさの違い</w:t>
      </w:r>
    </w:p>
    <w:p>
      <w:pPr>
        <w:spacing w:after="120" w:line="300"/>
      </w:pPr>
      <w:r>
        <w:t xml:space="preserve">予測のしやすさはカテゴリで大きく異なる。スポーツや教育は当てやすく、エンタメやゲームはほぼ予測不能だった。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880"/>
        <w:gridCol w:w="1880"/>
      </w:tblGrid>
      <w:tr>
        <w:trPr>
          <w:tblHeader/>
        </w:trPr>
        <w:tc>
          <w:tcPr>
            <w:tcW w:type="dxa" w:w="56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カテゴリ</w:t>
            </w:r>
          </w:p>
        </w:tc>
        <w:tc>
          <w:tcPr>
            <w:tcW w:type="dxa" w:w="188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test件数</w:t>
            </w:r>
          </w:p>
        </w:tc>
        <w:tc>
          <w:tcPr>
            <w:tcW w:type="dxa" w:w="188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R²</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Sports（17）</w:t>
            </w:r>
          </w:p>
        </w:tc>
        <w:tc>
          <w:tcPr>
            <w:tcW w:type="dxa" w:w="18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90</w:t>
            </w:r>
          </w:p>
        </w:tc>
        <w:tc>
          <w:tcPr>
            <w:tcW w:type="dxa" w:w="18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0.868</w:t>
            </w:r>
          </w:p>
        </w:tc>
      </w:tr>
      <w:tr>
        <w:tc>
          <w:tcPr>
            <w:tcW w:type="dxa" w:w="5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Education（27）</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44</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0.789</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News &amp; Politics（25）</w:t>
            </w:r>
          </w:p>
        </w:tc>
        <w:tc>
          <w:tcPr>
            <w:tcW w:type="dxa" w:w="18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53</w:t>
            </w:r>
          </w:p>
        </w:tc>
        <w:tc>
          <w:tcPr>
            <w:tcW w:type="dxa" w:w="18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0.583</w:t>
            </w:r>
          </w:p>
        </w:tc>
      </w:tr>
      <w:tr>
        <w:tc>
          <w:tcPr>
            <w:tcW w:type="dxa" w:w="5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Music（10）</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135</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0.408</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Entertainment（24）</w:t>
            </w:r>
          </w:p>
        </w:tc>
        <w:tc>
          <w:tcPr>
            <w:tcW w:type="dxa" w:w="18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359</w:t>
            </w:r>
          </w:p>
        </w:tc>
        <w:tc>
          <w:tcPr>
            <w:tcW w:type="dxa" w:w="18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−0.106</w:t>
            </w:r>
          </w:p>
        </w:tc>
      </w:tr>
      <w:tr>
        <w:tc>
          <w:tcPr>
            <w:tcW w:type="dxa" w:w="5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Gaming（20）</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34</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−0.475</w:t>
            </w:r>
          </w:p>
        </w:tc>
      </w:tr>
    </w:tbl>
    <w:p>
      <w:pPr>
        <w:spacing w:after="200"/>
        <w:jc w:val="center"/>
      </w:pPr>
      <w:r>
        <w:rPr>
          <w:i/>
          <w:iCs/>
          <w:color w:val="555555"/>
          <w:sz w:val="20"/>
          <w:szCs w:val="20"/>
        </w:rPr>
        <w:t xml:space="preserve">表4. カテゴリ別の likes 予測 R²（抜粋）</w:t>
      </w:r>
    </w:p>
    <w:p>
      <w:r>
        <w:br w:type="page"/>
      </w:r>
    </w:p>
    <w:p>
      <w:pPr>
        <w:pStyle w:val="Heading1"/>
      </w:pPr>
      <w:r>
        <w:t xml:space="preserve">4. 第11回の改善</w:t>
      </w:r>
    </w:p>
    <w:p>
      <w:pPr>
        <w:pStyle w:val="Heading2"/>
      </w:pPr>
      <w:r>
        <w:t xml:space="preserve">4.1 4段階分類「低」段階の崩れと改善</w:t>
      </w:r>
    </w:p>
    <w:p>
      <w:pPr>
        <w:spacing w:after="120" w:line="300"/>
      </w:pPr>
      <w:r>
        <w:t xml:space="preserve">4段階分類は「低」段階が test で support=15・F1=0.125 と崩壊していた。原因は </w:t>
      </w:r>
      <w:r>
        <w:rPr>
          <w:b/>
          <w:bCs/>
        </w:rPr>
        <w:t xml:space="preserve">分布シフト</w:t>
      </w:r>
      <w:r>
        <w:t xml:space="preserve"> である。test期間の likes 中央値（20,562）は学習期間（5,642）の約3.6倍に上昇しており、likes 絶対値で境界を引くと未来データの大半が上位ビンに寄り「低」が痩せる。ビンの引き直し4方式を比較した。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1300"/>
        <w:gridCol w:w="1360"/>
      </w:tblGrid>
      <w:tr>
        <w:trPr>
          <w:tblHeader/>
        </w:trPr>
        <w:tc>
          <w:tcPr>
            <w:tcW w:type="dxa" w:w="26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ビン定義</w:t>
            </w:r>
          </w:p>
        </w:tc>
        <w:tc>
          <w:tcPr>
            <w:tcW w:type="dxa" w:w="15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正解率</w:t>
            </w:r>
          </w:p>
        </w:tc>
        <w:tc>
          <w:tcPr>
            <w:tcW w:type="dxa" w:w="1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±1段階</w:t>
            </w:r>
          </w:p>
        </w:tc>
        <w:tc>
          <w:tcPr>
            <w:tcW w:type="dxa" w:w="1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低 support</w:t>
            </w:r>
          </w:p>
        </w:tc>
        <w:tc>
          <w:tcPr>
            <w:tcW w:type="dxa" w:w="1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低 F1</w:t>
            </w:r>
          </w:p>
        </w:tc>
        <w:tc>
          <w:tcPr>
            <w:tcW w:type="dxa" w:w="13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備考</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v1 学習分位点（現状）</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0.616</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0.911</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15</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0.125</w:t>
            </w:r>
          </w:p>
        </w:tc>
        <w:tc>
          <w:tcPr>
            <w:tcW w:type="dxa" w:w="1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崩壊</w:t>
            </w:r>
          </w:p>
        </w:tc>
      </w:tr>
      <w:tr>
        <w:tc>
          <w:tcPr>
            <w:tcW w:type="dxa" w:w="2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A 全データ分位点</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0.567</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0.911</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37</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0.282</w:t>
            </w:r>
          </w:p>
        </w:tc>
        <w:tc>
          <w:tcPr>
            <w:tcW w:type="dxa" w:w="1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妥協点</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B 対数等幅</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0.767</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0.997</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1</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0.000</w:t>
            </w:r>
          </w:p>
        </w:tc>
        <w:tc>
          <w:tcPr>
            <w:tcW w:type="dxa" w:w="1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低が消滅</w:t>
            </w:r>
          </w:p>
        </w:tc>
      </w:tr>
      <w:tr>
        <w:tc>
          <w:tcPr>
            <w:tcW w:type="dxa" w:w="26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left"/>
            </w:pPr>
            <w:r>
              <w:rPr>
                <w:b/>
                <w:bCs/>
                <w:sz w:val="20"/>
                <w:szCs w:val="20"/>
              </w:rPr>
              <w:t xml:space="preserve">C チャンネル相対比</w:t>
            </w:r>
          </w:p>
        </w:tc>
        <w:tc>
          <w:tcPr>
            <w:tcW w:type="dxa" w:w="15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b w:val="false"/>
                <w:bCs w:val="false"/>
                <w:sz w:val="20"/>
                <w:szCs w:val="20"/>
              </w:rPr>
              <w:t xml:space="preserve">0.344</w:t>
            </w:r>
          </w:p>
        </w:tc>
        <w:tc>
          <w:tcPr>
            <w:tcW w:type="dxa" w:w="13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b w:val="false"/>
                <w:bCs w:val="false"/>
                <w:sz w:val="20"/>
                <w:szCs w:val="20"/>
              </w:rPr>
              <w:t xml:space="preserve">0.611</w:t>
            </w:r>
          </w:p>
        </w:tc>
        <w:tc>
          <w:tcPr>
            <w:tcW w:type="dxa" w:w="13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b w:val="false"/>
                <w:bCs w:val="false"/>
                <w:sz w:val="20"/>
                <w:szCs w:val="20"/>
              </w:rPr>
              <w:t xml:space="preserve">227</w:t>
            </w:r>
          </w:p>
        </w:tc>
        <w:tc>
          <w:tcPr>
            <w:tcW w:type="dxa" w:w="13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b w:val="false"/>
                <w:bCs w:val="false"/>
                <w:sz w:val="20"/>
                <w:szCs w:val="20"/>
              </w:rPr>
              <w:t xml:space="preserve">0.320</w:t>
            </w:r>
          </w:p>
        </w:tc>
        <w:tc>
          <w:tcPr>
            <w:tcW w:type="dxa" w:w="136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b w:val="false"/>
                <w:bCs w:val="false"/>
                <w:sz w:val="20"/>
                <w:szCs w:val="20"/>
              </w:rPr>
              <w:t xml:space="preserve">低が復活</w:t>
            </w:r>
          </w:p>
        </w:tc>
      </w:tr>
    </w:tbl>
    <w:p>
      <w:pPr>
        <w:spacing w:after="200"/>
        <w:jc w:val="center"/>
      </w:pPr>
      <w:r>
        <w:rPr>
          <w:i/>
          <w:iCs/>
          <w:color w:val="555555"/>
          <w:sz w:val="20"/>
          <w:szCs w:val="20"/>
        </w:rPr>
        <w:t xml:space="preserve">表5. ビン境界4方式の比較（黄=低段階が最も改善）</w:t>
      </w:r>
    </w:p>
    <w:p>
      <w:pPr>
        <w:spacing w:after="60" w:before="120"/>
        <w:jc w:val="center"/>
      </w:pPr>
      <w:r>
        <w:drawing>
          <wp:inline distT="0" distB="0" distL="0" distR="0">
            <wp:extent cx="4381500" cy="2000250"/>
            <wp:effectExtent t="0" r="0" b="0" l="0"/>
            <wp:docPr id="1" name="likes_4class_v2_confusion.png" descr="likes_4class_v2_confusion.png" title="likes_4class_v2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00250"/>
                    </a:xfrm>
                    <a:prstGeom prst="rect">
                      <a:avLst/>
                    </a:prstGeom>
                  </pic:spPr>
                </pic:pic>
              </a:graphicData>
            </a:graphic>
          </wp:inline>
        </w:drawing>
      </w:r>
    </w:p>
    <w:p>
      <w:pPr>
        <w:spacing w:after="200"/>
        <w:jc w:val="center"/>
      </w:pPr>
      <w:r>
        <w:rPr>
          <w:i/>
          <w:iCs/>
          <w:color w:val="555555"/>
          <w:sz w:val="20"/>
          <w:szCs w:val="20"/>
        </w:rPr>
        <w:t xml:space="preserve">図2. v1（学習分位点）と C（チャンネル相対比）の混同行列</w:t>
      </w:r>
    </w:p>
    <w:p>
      <w:pPr>
        <w:spacing w:after="120" w:line="300"/>
      </w:pPr>
      <w:r>
        <w:t xml:space="preserve">「低」段階を救うには、ターゲットを </w:t>
      </w:r>
      <w:r>
        <w:rPr>
          <w:b/>
          <w:bCs/>
        </w:rPr>
        <w:t xml:space="preserve">チャンネル相対比（likes ÷ チャンネル学習期間平均）</w:t>
      </w:r>
      <w:r>
        <w:t xml:space="preserve"> に定義し直すのが最有効だが、問題が「実力比でどれだけ伸びたか」に変わるため全体正解率は低下する。絶対数を保つなら A（全データ分位点）が無難な妥協点である。</w:t>
      </w:r>
    </w:p>
    <w:p>
      <w:pPr>
        <w:pStyle w:val="Heading2"/>
      </w:pPr>
      <w:r>
        <w:t xml:space="preserve">4.2 最低保証モデルの実用化</w:t>
      </w:r>
    </w:p>
    <w:p>
      <w:pPr>
        <w:spacing w:after="120" w:line="300"/>
      </w:pPr>
      <w:r>
        <w:t xml:space="preserve">予測段階を「最低でもこの段階は伸びる」という下限とみなす使い方を、実用関数 </w:t>
      </w:r>
      <w:r>
        <w:rPr>
          <w:b/>
          <w:bCs/>
        </w:rPr>
        <w:t xml:space="preserve">predict_floor()</w:t>
      </w:r>
      <w:r>
        <w:t xml:space="preserve"> に仕上げた。新規動画を入れると（下限段階・likes下限値・保証成立率）を返す。安全率 conf を上げるほど控えめになり保証成立率が上がる。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conf（安全率）</w:t>
            </w:r>
          </w:p>
        </w:tc>
        <w:tc>
          <w:tcPr>
            <w:tcW w:type="dxa" w:w="2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最低保証成立率</w:t>
            </w:r>
          </w:p>
        </w:tc>
        <w:tc>
          <w:tcPr>
            <w:tcW w:type="dxa" w:w="2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平均下限段階</w:t>
            </w:r>
          </w:p>
        </w:tc>
        <w:tc>
          <w:tcPr>
            <w:tcW w:type="dxa" w:w="23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下振れ平均段数</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argmax（通常）</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0.851</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2.26</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1.27</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0.5</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0.881</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2.17</w:t>
            </w:r>
          </w:p>
        </w:tc>
        <w:tc>
          <w:tcPr>
            <w:tcW w:type="dxa" w:w="2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1.17</w:t>
            </w:r>
          </w:p>
        </w:tc>
      </w:tr>
      <w:tr>
        <w:tc>
          <w:tcPr>
            <w:tcW w:type="dxa" w:w="24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left"/>
            </w:pPr>
            <w:r>
              <w:rPr>
                <w:b/>
                <w:bCs/>
                <w:sz w:val="20"/>
                <w:szCs w:val="20"/>
              </w:rPr>
              <w:t xml:space="preserve">0.7（推奨）</w:t>
            </w:r>
          </w:p>
        </w:tc>
        <w:tc>
          <w:tcPr>
            <w:tcW w:type="dxa" w:w="23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0.950</w:t>
            </w:r>
          </w:p>
        </w:tc>
        <w:tc>
          <w:tcPr>
            <w:tcW w:type="dxa" w:w="23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1.78</w:t>
            </w:r>
          </w:p>
        </w:tc>
        <w:tc>
          <w:tcPr>
            <w:tcW w:type="dxa" w:w="236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1.14</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b/>
                <w:bCs/>
                <w:sz w:val="20"/>
                <w:szCs w:val="20"/>
              </w:rPr>
              <w:t xml:space="preserve">0.9</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0.994</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0.99</w:t>
            </w:r>
          </w:p>
        </w:tc>
        <w:tc>
          <w:tcPr>
            <w:tcW w:type="dxa" w:w="2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b w:val="false"/>
                <w:bCs w:val="false"/>
                <w:sz w:val="20"/>
                <w:szCs w:val="20"/>
              </w:rPr>
              <w:t xml:space="preserve">1.00</w:t>
            </w:r>
          </w:p>
        </w:tc>
      </w:tr>
    </w:tbl>
    <w:p>
      <w:pPr>
        <w:spacing w:after="200"/>
        <w:jc w:val="center"/>
      </w:pPr>
      <w:r>
        <w:rPr>
          <w:i/>
          <w:iCs/>
          <w:color w:val="555555"/>
          <w:sz w:val="20"/>
          <w:szCs w:val="20"/>
        </w:rPr>
        <w:t xml:space="preserve">表6. conf による保証の堅さと情報量のトレードオフ（緑=推奨設定）</w:t>
      </w:r>
    </w:p>
    <w:p>
      <w:pPr>
        <w:spacing w:after="60" w:before="120"/>
        <w:jc w:val="center"/>
      </w:pPr>
      <w:r>
        <w:drawing>
          <wp:inline distT="0" distB="0" distL="0" distR="0">
            <wp:extent cx="4000500" cy="2495550"/>
            <wp:effectExtent t="0" r="0" b="0" l="0"/>
            <wp:docPr id="1" name="likes_floor_predict_plot.png" descr="likes_floor_predict_plot.png" title="likes_floor_predic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95550"/>
                    </a:xfrm>
                    <a:prstGeom prst="rect">
                      <a:avLst/>
                    </a:prstGeom>
                  </pic:spPr>
                </pic:pic>
              </a:graphicData>
            </a:graphic>
          </wp:inline>
        </w:drawing>
      </w:r>
    </w:p>
    <w:p>
      <w:pPr>
        <w:spacing w:after="200"/>
        <w:jc w:val="center"/>
      </w:pPr>
      <w:r>
        <w:rPr>
          <w:i/>
          <w:iCs/>
          <w:color w:val="555555"/>
          <w:sz w:val="20"/>
          <w:szCs w:val="20"/>
        </w:rPr>
        <w:t xml:space="preserve">図3. 最低保証成立率と平均下限段階のトレードオフ</w:t>
      </w:r>
    </w:p>
    <w:p>
      <w:pPr>
        <w:spacing w:after="120" w:line="300"/>
      </w:pPr>
      <w:r>
        <w:t xml:space="preserve">推奨設定 conf=0.7 では </w:t>
      </w:r>
      <w:r>
        <w:rPr>
          <w:b/>
          <w:bCs/>
        </w:rPr>
        <w:t xml:space="preserve">最低保証95%</w:t>
      </w:r>
      <w:r>
        <w:t xml:space="preserve"> を達成しつつ段階の情報量を保つ。段階別の保証成立率は 低=1.00 / 中低=0.98 / 中高=0.94 / 高=0.91 であった。</w:t>
      </w:r>
    </w:p>
    <w:p>
      <w:pPr>
        <w:pStyle w:val="Heading2"/>
      </w:pPr>
      <w:r>
        <w:t xml:space="preserve">4.3 チャンネル知名度による予測力の違い</w:t>
      </w:r>
    </w:p>
    <w:p>
      <w:pPr>
        <w:spacing w:after="120" w:line="300"/>
      </w:pPr>
      <w:r>
        <w:t xml:space="preserve">チャンネルを「学習期間内のトレンド入り本数」で層別し、予測しやすさを比較した（知名度の定義に未来情報を使わないよう学習期間のみで集計）。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500"/>
        <w:gridCol w:w="1700"/>
        <w:gridCol w:w="1400"/>
        <w:gridCol w:w="1300"/>
      </w:tblGrid>
      <w:tr>
        <w:trPr>
          <w:tblHeader/>
        </w:trPr>
        <w:tc>
          <w:tcPr>
            <w:tcW w:type="dxa" w:w="346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群（学習期間トレンド入り）</w:t>
            </w:r>
          </w:p>
        </w:tc>
        <w:tc>
          <w:tcPr>
            <w:tcW w:type="dxa" w:w="15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test件数</w:t>
            </w:r>
          </w:p>
        </w:tc>
        <w:tc>
          <w:tcPr>
            <w:tcW w:type="dxa" w:w="17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Spearman ρ</w:t>
            </w:r>
          </w:p>
        </w:tc>
        <w:tc>
          <w:tcPr>
            <w:tcW w:type="dxa" w:w="14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二値AUC</w:t>
            </w:r>
          </w:p>
        </w:tc>
        <w:tc>
          <w:tcPr>
            <w:tcW w:type="dxa" w:w="1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対数R²</w:t>
            </w:r>
          </w:p>
        </w:tc>
      </w:tr>
      <w:tr>
        <w:tc>
          <w:tcPr>
            <w:tcW w:type="dxa" w:w="34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有名（6本以上）</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530</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0.690</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0.883</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0.041</w:t>
            </w:r>
          </w:p>
        </w:tc>
      </w:tr>
      <w:tr>
        <w:tc>
          <w:tcPr>
            <w:tcW w:type="dxa" w:w="346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left"/>
            </w:pPr>
            <w:r>
              <w:rPr>
                <w:b/>
                <w:bCs/>
                <w:sz w:val="20"/>
                <w:szCs w:val="20"/>
              </w:rPr>
              <w:t xml:space="preserve">中堅（2〜5本）</w:t>
            </w:r>
          </w:p>
        </w:tc>
        <w:tc>
          <w:tcPr>
            <w:tcW w:type="dxa" w:w="15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315</w:t>
            </w:r>
          </w:p>
        </w:tc>
        <w:tc>
          <w:tcPr>
            <w:tcW w:type="dxa" w:w="17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0.751</w:t>
            </w:r>
          </w:p>
        </w:tc>
        <w:tc>
          <w:tcPr>
            <w:tcW w:type="dxa" w:w="14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0.947</w:t>
            </w:r>
          </w:p>
        </w:tc>
        <w:tc>
          <w:tcPr>
            <w:tcW w:type="dxa" w:w="1300"/>
            <w:tcBorders>
              <w:top w:val="single" w:color="B0B0B0" w:sz="1"/>
              <w:left w:val="single" w:color="B0B0B0" w:sz="1"/>
              <w:bottom w:val="single" w:color="B0B0B0" w:sz="1"/>
              <w:right w:val="single" w:color="B0B0B0" w:sz="1"/>
            </w:tcBorders>
            <w:shd w:fill="D9EAD3" w:val="clear"/>
            <w:tcMar>
              <w:top w:type="dxa" w:w="60"/>
              <w:left w:type="dxa" w:w="100"/>
              <w:bottom w:type="dxa" w:w="60"/>
              <w:right w:type="dxa" w:w="100"/>
            </w:tcMar>
          </w:tcPr>
          <w:p>
            <w:pPr>
              <w:jc w:val="center"/>
            </w:pPr>
            <w:r>
              <w:rPr>
                <w:b w:val="false"/>
                <w:bCs w:val="false"/>
                <w:sz w:val="20"/>
                <w:szCs w:val="20"/>
              </w:rPr>
              <w:t xml:space="preserve">0.459</w:t>
            </w:r>
          </w:p>
        </w:tc>
      </w:tr>
      <w:tr>
        <w:tc>
          <w:tcPr>
            <w:tcW w:type="dxa" w:w="34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b/>
                <w:bCs/>
                <w:sz w:val="20"/>
                <w:szCs w:val="20"/>
              </w:rPr>
              <w:t xml:space="preserve">無名（1本のみ）</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99</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0.588</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0.790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b w:val="false"/>
                <w:bCs w:val="false"/>
                <w:sz w:val="20"/>
                <w:szCs w:val="20"/>
              </w:rPr>
              <w:t xml:space="preserve">−0.770</w:t>
            </w:r>
          </w:p>
        </w:tc>
      </w:tr>
      <w:tr>
        <w:tc>
          <w:tcPr>
            <w:tcW w:type="dxa" w:w="3460"/>
            <w:tcBorders>
              <w:top w:val="single" w:color="B0B0B0" w:sz="1"/>
              <w:left w:val="single" w:color="B0B0B0" w:sz="1"/>
              <w:bottom w:val="single" w:color="B0B0B0" w:sz="1"/>
              <w:right w:val="single" w:color="B0B0B0" w:sz="1"/>
            </w:tcBorders>
            <w:shd w:fill="F4CCCC" w:val="clear"/>
            <w:tcMar>
              <w:top w:type="dxa" w:w="60"/>
              <w:left w:type="dxa" w:w="100"/>
              <w:bottom w:type="dxa" w:w="60"/>
              <w:right w:type="dxa" w:w="100"/>
            </w:tcMar>
          </w:tcPr>
          <w:p>
            <w:pPr>
              <w:jc w:val="left"/>
            </w:pPr>
            <w:r>
              <w:rPr>
                <w:b/>
                <w:bCs/>
                <w:sz w:val="20"/>
                <w:szCs w:val="20"/>
              </w:rPr>
              <w:t xml:space="preserve">新規（学習期間に未出現）</w:t>
            </w:r>
          </w:p>
        </w:tc>
        <w:tc>
          <w:tcPr>
            <w:tcW w:type="dxa" w:w="1500"/>
            <w:tcBorders>
              <w:top w:val="single" w:color="B0B0B0" w:sz="1"/>
              <w:left w:val="single" w:color="B0B0B0" w:sz="1"/>
              <w:bottom w:val="single" w:color="B0B0B0" w:sz="1"/>
              <w:right w:val="single" w:color="B0B0B0" w:sz="1"/>
            </w:tcBorders>
            <w:shd w:fill="F4CCCC" w:val="clear"/>
            <w:tcMar>
              <w:top w:type="dxa" w:w="60"/>
              <w:left w:type="dxa" w:w="100"/>
              <w:bottom w:type="dxa" w:w="60"/>
              <w:right w:type="dxa" w:w="100"/>
            </w:tcMar>
          </w:tcPr>
          <w:p>
            <w:pPr>
              <w:jc w:val="center"/>
            </w:pPr>
            <w:r>
              <w:rPr>
                <w:b w:val="false"/>
                <w:bCs w:val="false"/>
                <w:sz w:val="20"/>
                <w:szCs w:val="20"/>
              </w:rPr>
              <w:t xml:space="preserve">220</w:t>
            </w:r>
          </w:p>
        </w:tc>
        <w:tc>
          <w:tcPr>
            <w:tcW w:type="dxa" w:w="1700"/>
            <w:tcBorders>
              <w:top w:val="single" w:color="B0B0B0" w:sz="1"/>
              <w:left w:val="single" w:color="B0B0B0" w:sz="1"/>
              <w:bottom w:val="single" w:color="B0B0B0" w:sz="1"/>
              <w:right w:val="single" w:color="B0B0B0" w:sz="1"/>
            </w:tcBorders>
            <w:shd w:fill="F4CCCC" w:val="clear"/>
            <w:tcMar>
              <w:top w:type="dxa" w:w="60"/>
              <w:left w:type="dxa" w:w="100"/>
              <w:bottom w:type="dxa" w:w="60"/>
              <w:right w:type="dxa" w:w="100"/>
            </w:tcMar>
          </w:tcPr>
          <w:p>
            <w:pPr>
              <w:jc w:val="center"/>
            </w:pPr>
            <w:r>
              <w:rPr>
                <w:b w:val="false"/>
                <w:bCs w:val="false"/>
                <w:sz w:val="20"/>
                <w:szCs w:val="20"/>
              </w:rPr>
              <w:t xml:space="preserve">0.125</w:t>
            </w:r>
          </w:p>
        </w:tc>
        <w:tc>
          <w:tcPr>
            <w:tcW w:type="dxa" w:w="1400"/>
            <w:tcBorders>
              <w:top w:val="single" w:color="B0B0B0" w:sz="1"/>
              <w:left w:val="single" w:color="B0B0B0" w:sz="1"/>
              <w:bottom w:val="single" w:color="B0B0B0" w:sz="1"/>
              <w:right w:val="single" w:color="B0B0B0" w:sz="1"/>
            </w:tcBorders>
            <w:shd w:fill="F4CCCC" w:val="clear"/>
            <w:tcMar>
              <w:top w:type="dxa" w:w="60"/>
              <w:left w:type="dxa" w:w="100"/>
              <w:bottom w:type="dxa" w:w="60"/>
              <w:right w:type="dxa" w:w="100"/>
            </w:tcMar>
          </w:tcPr>
          <w:p>
            <w:pPr>
              <w:jc w:val="center"/>
            </w:pPr>
            <w:r>
              <w:rPr>
                <w:b w:val="false"/>
                <w:bCs w:val="false"/>
                <w:sz w:val="20"/>
                <w:szCs w:val="20"/>
              </w:rPr>
              <w:t xml:space="preserve">0.602</w:t>
            </w:r>
          </w:p>
        </w:tc>
        <w:tc>
          <w:tcPr>
            <w:tcW w:type="dxa" w:w="1300"/>
            <w:tcBorders>
              <w:top w:val="single" w:color="B0B0B0" w:sz="1"/>
              <w:left w:val="single" w:color="B0B0B0" w:sz="1"/>
              <w:bottom w:val="single" w:color="B0B0B0" w:sz="1"/>
              <w:right w:val="single" w:color="B0B0B0" w:sz="1"/>
            </w:tcBorders>
            <w:shd w:fill="F4CCCC" w:val="clear"/>
            <w:tcMar>
              <w:top w:type="dxa" w:w="60"/>
              <w:left w:type="dxa" w:w="100"/>
              <w:bottom w:type="dxa" w:w="60"/>
              <w:right w:type="dxa" w:w="100"/>
            </w:tcMar>
          </w:tcPr>
          <w:p>
            <w:pPr>
              <w:jc w:val="center"/>
            </w:pPr>
            <w:r>
              <w:rPr>
                <w:b w:val="false"/>
                <w:bCs w:val="false"/>
                <w:sz w:val="20"/>
                <w:szCs w:val="20"/>
              </w:rPr>
              <w:t xml:space="preserve">0.045</w:t>
            </w:r>
          </w:p>
        </w:tc>
      </w:tr>
    </w:tbl>
    <w:p>
      <w:pPr>
        <w:spacing w:after="200"/>
        <w:jc w:val="center"/>
      </w:pPr>
      <w:r>
        <w:rPr>
          <w:i/>
          <w:iCs/>
          <w:color w:val="555555"/>
          <w:sz w:val="20"/>
          <w:szCs w:val="20"/>
        </w:rPr>
        <w:t xml:space="preserve">表7. チャンネル知名度別の予測力（緑=最良の中堅群、赤=予測不能の新規群）</w:t>
      </w:r>
    </w:p>
    <w:p>
      <w:pPr>
        <w:spacing w:after="60" w:before="120"/>
        <w:jc w:val="center"/>
      </w:pPr>
      <w:r>
        <w:drawing>
          <wp:inline distT="0" distB="0" distL="0" distR="0">
            <wp:extent cx="4476750" cy="1866900"/>
            <wp:effectExtent t="0" r="0" b="0" l="0"/>
            <wp:docPr id="1" name="likes_fame_split_plot.png" descr="likes_fame_split_plot.png" title="likes_fame_spli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66900"/>
                    </a:xfrm>
                    <a:prstGeom prst="rect">
                      <a:avLst/>
                    </a:prstGeom>
                  </pic:spPr>
                </pic:pic>
              </a:graphicData>
            </a:graphic>
          </wp:inline>
        </w:drawing>
      </w:r>
    </w:p>
    <w:p>
      <w:pPr>
        <w:spacing w:after="200"/>
        <w:jc w:val="center"/>
      </w:pPr>
      <w:r>
        <w:rPr>
          <w:i/>
          <w:iCs/>
          <w:color w:val="555555"/>
          <w:sz w:val="20"/>
          <w:szCs w:val="20"/>
        </w:rPr>
        <w:t xml:space="preserve">図4. 知名度別の Spearman 順位相関と二値 AUC（full=実績+内容 / content=内容のみ）</w:t>
      </w:r>
    </w:p>
    <w:p>
      <w:pPr>
        <w:spacing w:after="120" w:line="300"/>
      </w:pPr>
      <w:r>
        <w:t xml:space="preserve">意外にも最も予測しやすいのは有名群ではなく </w:t>
      </w:r>
      <w:r>
        <w:rPr>
          <w:b/>
          <w:bCs/>
        </w:rPr>
        <w:t xml:space="preserve">中堅群（AUC=0.947）</w:t>
      </w:r>
      <w:r>
        <w:t xml:space="preserve"> だった。有名チャンネルは話題性で上下に大きくブレるため過去平均だけでは当てきれない。そして </w:t>
      </w:r>
      <w:r>
        <w:rPr>
          <w:b/>
          <w:bCs/>
        </w:rPr>
        <w:t xml:space="preserve">完全新規チャンネルはほぼ予測不能（AUC=0.602 ≒ コイン投げ）</w:t>
      </w:r>
      <w:r>
        <w:t xml:space="preserve"> であり、チャンネル実績が使えない瞬間に投稿前予測が崩壊することを示している。これは「誰が投稿したか」が支配的という第2章の知見を、チャンネル軸で裏付ける結果である。</w:t>
      </w:r>
    </w:p>
    <w:p>
      <w:r>
        <w:br w:type="page"/>
      </w:r>
    </w:p>
    <w:p>
      <w:pPr>
        <w:pStyle w:val="Heading1"/>
      </w:pPr>
      <w:r>
        <w:t xml:space="preserve">5. 第12回の改善：時間相対比による分布シフトの補正</w:t>
      </w:r>
    </w:p>
    <w:p>
      <w:pPr>
        <w:spacing w:after="120" w:line="300"/>
      </w:pPr>
      <w:r>
        <w:t xml:space="preserve">4.1節の結論は「絶対値ビンは分布シフトで壊れ、チャンネル相対比（C）は問題そのものが難化する」だった。第12回では第三の道として </w:t>
      </w:r>
      <w:r>
        <w:rPr>
          <w:b/>
          <w:bCs/>
        </w:rPr>
        <w:t xml:space="preserve">時間相対比</w:t>
      </w:r>
      <w:r>
        <w:t xml:space="preserve">を検証した。likes を「その時期のトレンド動画の標準的な水準」で割った比でビンを切る。C が「発信者に対する相対」であるのに対し D は「時代に対する相対」であり、「どの動画が伸びるか」という問題の中身を保ったまま、スケールのインフレだけを取り除くことを狙う。</w:t>
      </w:r>
    </w:p>
    <w:p>
      <w:pPr>
        <w:spacing w:after="60" w:before="120"/>
        <w:jc w:val="center"/>
      </w:pPr>
      <w:r>
        <w:drawing>
          <wp:inline distT="0" distB="0" distL="0" distR="0">
            <wp:extent cx="4480560" cy="2479500"/>
            <wp:effectExtent t="0" r="0" b="0" l="0"/>
            <wp:docPr id="20" name="likes_4class_v3_trend.png" descr="likes_4class_v3_trend.png" title="likes_4class_v3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0560" cy="2479500"/>
                    </a:xfrm>
                    <a:prstGeom prst="rect">
                      <a:avLst/>
                    </a:prstGeom>
                  </pic:spPr>
                </pic:pic>
              </a:graphicData>
            </a:graphic>
          </wp:inline>
        </w:drawing>
      </w:r>
    </w:p>
    <w:p>
      <w:pPr>
        <w:spacing w:after="200"/>
        <w:jc w:val="center"/>
      </w:pPr>
      <w:r>
        <w:rPr>
          <w:i/>
          <w:iCs/>
          <w:color w:val="555555"/>
          <w:sz w:val="20"/>
          <w:szCs w:val="20"/>
        </w:rPr>
        <w:t xml:space="preserve">図5. トレンド動画 likes の週次中央値インフレと分母の外挿3方式</w:t>
      </w:r>
    </w:p>
    <w:p>
      <w:pPr>
        <w:spacing w:after="120" w:line="300"/>
      </w:pPr>
      <w:r>
        <w:t xml:space="preserve">図5が分布シフトの正体である。週次中央値は約7ヶ月で3.6倍になるが、その上がり方は緩やかな log 線形ではなく、</w:t>
      </w:r>
      <w:r>
        <w:rPr>
          <w:b/>
          <w:bCs/>
        </w:rPr>
        <w:t xml:space="preserve">2018年3月頃に水準が一段跳ね上がる構造的なレジーム転換</w:t>
      </w:r>
      <w:r>
        <w:t xml:space="preserve">を含む。したがって「分母（その時代の水準）」の作り方が結果を大きく左右する。分母は4方式を比較した：D1=その週の実中央値（オラクル、週が終わるまで確定しないため投稿前運用は不可）／D2=学習全期間の log 線形トレンドを外挿／D3=学習の直近8週のみで外挿／D4=学習最終水準をそのまま持ち越し（ランダムウォーク予測）。D2〜D4 は学習期間の情報しか使わない完全リークフリーである。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50"/>
        <w:gridCol w:w="1050"/>
        <w:gridCol w:w="1100"/>
        <w:gridCol w:w="1210"/>
        <w:gridCol w:w="1000"/>
        <w:gridCol w:w="1650"/>
      </w:tblGrid>
      <w:tr>
        <w:trPr>
          <w:tblHeader/>
        </w:trPr>
        <w:tc>
          <w:tcPr>
            <w:tcW w:type="dxa" w:w="23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ターゲット定義</w:t>
            </w:r>
          </w:p>
        </w:tc>
        <w:tc>
          <w:tcPr>
            <w:tcW w:type="dxa" w:w="10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正解率</w:t>
            </w:r>
          </w:p>
        </w:tc>
        <w:tc>
          <w:tcPr>
            <w:tcW w:type="dxa" w:w="10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±1段階</w:t>
            </w:r>
          </w:p>
        </w:tc>
        <w:tc>
          <w:tcPr>
            <w:tcW w:type="dxa" w:w="11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マクロF1</w:t>
            </w:r>
          </w:p>
        </w:tc>
        <w:tc>
          <w:tcPr>
            <w:tcW w:type="dxa" w:w="121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低support</w:t>
            </w:r>
          </w:p>
        </w:tc>
        <w:tc>
          <w:tcPr>
            <w:tcW w:type="dxa" w:w="100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低F1</w:t>
            </w:r>
          </w:p>
        </w:tc>
        <w:tc>
          <w:tcPr>
            <w:tcW w:type="dxa" w:w="1650"/>
            <w:tcBorders>
              <w:top w:val="single" w:color="B0B0B0" w:sz="1"/>
              <w:left w:val="single" w:color="B0B0B0" w:sz="1"/>
              <w:bottom w:val="single" w:color="B0B0B0" w:sz="1"/>
              <w:right w:val="single" w:color="B0B0B0" w:sz="1"/>
            </w:tcBorders>
            <w:shd w:fill="2E5C8A" w:val="clear"/>
            <w:tcMar>
              <w:top w:type="dxa" w:w="60"/>
              <w:left w:type="dxa" w:w="100"/>
              <w:bottom w:type="dxa" w:w="60"/>
              <w:right w:type="dxa" w:w="100"/>
            </w:tcMar>
          </w:tcPr>
          <w:p>
            <w:pPr>
              <w:jc w:val="center"/>
            </w:pPr>
            <w:r>
              <w:rPr>
                <w:b/>
                <w:bCs/>
                <w:color w:val="FFFFFF"/>
                <w:sz w:val="20"/>
                <w:szCs w:val="20"/>
              </w:rPr>
              <w:t xml:space="preserve">投稿前運用</w:t>
            </w:r>
          </w:p>
        </w:tc>
      </w:tr>
      <w:tr>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sz w:val="20"/>
                <w:szCs w:val="20"/>
              </w:rPr>
              <w:t xml:space="preserve">v1 学習分位点（絶対値）</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0.616</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0.911</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0.455</w:t>
            </w:r>
          </w:p>
        </w:tc>
        <w:tc>
          <w:tcPr>
            <w:tcW w:type="dxa" w:w="12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15</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0.125</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可</w:t>
            </w:r>
          </w:p>
        </w:tc>
      </w:tr>
      <w:tr>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sz w:val="20"/>
                <w:szCs w:val="20"/>
              </w:rPr>
              <w:t xml:space="preserve">A 全データ分位点（絶対値）</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0.567</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0.911</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0.489</w:t>
            </w:r>
          </w:p>
        </w:tc>
        <w:tc>
          <w:tcPr>
            <w:tcW w:type="dxa" w:w="12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37</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0.282</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可（境界固定）</w:t>
            </w:r>
          </w:p>
        </w:tc>
      </w:tr>
      <w:tr>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sz w:val="20"/>
                <w:szCs w:val="20"/>
              </w:rPr>
              <w:t xml:space="preserve">C チャンネル相対比</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0.344</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0.611</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0.294</w:t>
            </w:r>
          </w:p>
        </w:tc>
        <w:tc>
          <w:tcPr>
            <w:tcW w:type="dxa" w:w="12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227</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0.320</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可</w:t>
            </w:r>
          </w:p>
        </w:tc>
      </w:tr>
      <w:tr>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sz w:val="20"/>
                <w:szCs w:val="20"/>
              </w:rPr>
              <w:t xml:space="preserve">D1 週中央値（実測）</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0.355</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0.847</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0.357</w:t>
            </w:r>
          </w:p>
        </w:tc>
        <w:tc>
          <w:tcPr>
            <w:tcW w:type="dxa" w:w="12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165</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0.432</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不可（分母未確定）</w:t>
            </w:r>
          </w:p>
        </w:tc>
      </w:tr>
      <w:tr>
        <w:tc>
          <w:tcPr>
            <w:tcW w:type="dxa" w:w="23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left"/>
            </w:pPr>
            <w:r>
              <w:rPr>
                <w:sz w:val="20"/>
                <w:szCs w:val="20"/>
              </w:rPr>
              <w:t xml:space="preserve">D2 全期間トレンド外挿</w:t>
            </w:r>
          </w:p>
        </w:tc>
        <w:tc>
          <w:tcPr>
            <w:tcW w:type="dxa" w:w="105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0.489</w:t>
            </w:r>
          </w:p>
        </w:tc>
        <w:tc>
          <w:tcPr>
            <w:tcW w:type="dxa" w:w="105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0.905</w:t>
            </w:r>
          </w:p>
        </w:tc>
        <w:tc>
          <w:tcPr>
            <w:tcW w:type="dxa" w:w="11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0.456</w:t>
            </w:r>
          </w:p>
        </w:tc>
        <w:tc>
          <w:tcPr>
            <w:tcW w:type="dxa" w:w="121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84</w:t>
            </w:r>
          </w:p>
        </w:tc>
        <w:tc>
          <w:tcPr>
            <w:tcW w:type="dxa" w:w="10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0.400</w:t>
            </w:r>
          </w:p>
        </w:tc>
        <w:tc>
          <w:tcPr>
            <w:tcW w:type="dxa" w:w="165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可</w:t>
            </w:r>
          </w:p>
        </w:tc>
      </w:tr>
      <w:tr>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sz w:val="20"/>
                <w:szCs w:val="20"/>
              </w:rPr>
              <w:t xml:space="preserve">D3 直近8週外挿</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0.204</w:t>
            </w:r>
          </w:p>
        </w:tc>
        <w:tc>
          <w:tcPr>
            <w:tcW w:type="dxa" w:w="1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0.553</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0.182</w:t>
            </w:r>
          </w:p>
        </w:tc>
        <w:tc>
          <w:tcPr>
            <w:tcW w:type="dxa" w:w="12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621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0.346</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sz w:val="20"/>
                <w:szCs w:val="20"/>
              </w:rPr>
              <w:t xml:space="preserve">可</w:t>
            </w:r>
          </w:p>
        </w:tc>
      </w:tr>
      <w:tr>
        <w:tc>
          <w:tcPr>
            <w:tcW w:type="dxa" w:w="23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left"/>
            </w:pPr>
            <w:r>
              <w:rPr>
                <w:sz w:val="20"/>
                <w:szCs w:val="20"/>
              </w:rPr>
              <w:t xml:space="preserve">D4 最終水準持ち越し</w:t>
            </w:r>
          </w:p>
        </w:tc>
        <w:tc>
          <w:tcPr>
            <w:tcW w:type="dxa" w:w="105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0.467</w:t>
            </w:r>
          </w:p>
        </w:tc>
        <w:tc>
          <w:tcPr>
            <w:tcW w:type="dxa" w:w="105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0.903</w:t>
            </w:r>
          </w:p>
        </w:tc>
        <w:tc>
          <w:tcPr>
            <w:tcW w:type="dxa" w:w="11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0.435</w:t>
            </w:r>
          </w:p>
        </w:tc>
        <w:tc>
          <w:tcPr>
            <w:tcW w:type="dxa" w:w="121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97</w:t>
            </w:r>
          </w:p>
        </w:tc>
        <w:tc>
          <w:tcPr>
            <w:tcW w:type="dxa" w:w="100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0.390</w:t>
            </w:r>
          </w:p>
        </w:tc>
        <w:tc>
          <w:tcPr>
            <w:tcW w:type="dxa" w:w="1650"/>
            <w:tcBorders>
              <w:top w:val="single" w:color="B0B0B0" w:sz="1"/>
              <w:left w:val="single" w:color="B0B0B0" w:sz="1"/>
              <w:bottom w:val="single" w:color="B0B0B0" w:sz="1"/>
              <w:right w:val="single" w:color="B0B0B0" w:sz="1"/>
            </w:tcBorders>
            <w:shd w:fill="FFF2CC" w:val="clear"/>
            <w:tcMar>
              <w:top w:type="dxa" w:w="60"/>
              <w:left w:type="dxa" w:w="100"/>
              <w:bottom w:type="dxa" w:w="60"/>
              <w:right w:type="dxa" w:w="100"/>
            </w:tcMar>
          </w:tcPr>
          <w:p>
            <w:pPr>
              <w:jc w:val="center"/>
            </w:pPr>
            <w:r>
              <w:rPr>
                <w:sz w:val="20"/>
                <w:szCs w:val="20"/>
              </w:rPr>
              <w:t xml:space="preserve">可</w:t>
            </w:r>
          </w:p>
        </w:tc>
      </w:tr>
    </w:tbl>
    <w:p>
      <w:pPr>
        <w:spacing w:after="200"/>
        <w:jc w:val="center"/>
      </w:pPr>
      <w:r>
        <w:rPr>
          <w:i/>
          <w:iCs/>
          <w:color w:val="555555"/>
          <w:sz w:val="20"/>
          <w:szCs w:val="20"/>
        </w:rPr>
        <w:t xml:space="preserve">表8. ターゲット定義7方式の比較（黄=リークフリーで推奨のD2/D4）</w:t>
      </w:r>
    </w:p>
    <w:p>
      <w:pPr>
        <w:spacing w:after="120" w:line="300"/>
      </w:pPr>
      <w:r>
        <w:t xml:space="preserve">結果は狙い通りとなった。リークフリーの </w:t>
      </w:r>
      <w:r>
        <w:rPr>
          <w:b/>
          <w:bCs/>
        </w:rPr>
        <w:t xml:space="preserve">D2/D4 は「低」F1 が 0.39〜0.40 と v1 の3倍超に回復</w:t>
      </w:r>
      <w:r>
        <w:t xml:space="preserve">し、±1段階許容 0.90 とマクロF1 は v1 と同水準を保った。代償はピタリ正解率の低下（0.62→0.47〜0.49）である。C（正解率0.344・±1段階0.611）とは全指標で優位であり、「低を救いつつ問題を難化させない」という D の狙いは概ね成立した。</w:t>
      </w:r>
    </w:p>
    <w:p>
      <w:pPr>
        <w:spacing w:after="60" w:before="120"/>
        <w:jc w:val="center"/>
      </w:pPr>
      <w:r>
        <w:drawing>
          <wp:inline distT="0" distB="0" distL="0" distR="0">
            <wp:extent cx="5852160" cy="1967700"/>
            <wp:effectExtent t="0" r="0" b="0" l="0"/>
            <wp:docPr id="21" name="likes_4class_v3_confusion.png" descr="likes_4class_v3_confusion.png" title="likes_4class_v3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1967700"/>
                    </a:xfrm>
                    <a:prstGeom prst="rect">
                      <a:avLst/>
                    </a:prstGeom>
                  </pic:spPr>
                </pic:pic>
              </a:graphicData>
            </a:graphic>
          </wp:inline>
        </w:drawing>
      </w:r>
    </w:p>
    <w:p>
      <w:pPr>
        <w:spacing w:after="200"/>
        <w:jc w:val="center"/>
      </w:pPr>
      <w:r>
        <w:rPr>
          <w:i/>
          <w:iCs/>
          <w:color w:val="555555"/>
          <w:sz w:val="20"/>
          <w:szCs w:val="20"/>
        </w:rPr>
        <w:t xml:space="preserve">図6. 混同行列の比較：v1（学習分位点）／C（チャンネル相対比）／D4（時間相対比）</w:t>
      </w:r>
    </w:p>
    <w:p>
      <w:pPr>
        <w:pStyle w:val="Heading2"/>
      </w:pPr>
      <w:r>
        <w:t xml:space="preserve">5.1 分母の設計から得られた2つの発見</w:t>
      </w:r>
    </w:p>
    <w:p>
      <w:pPr>
        <w:spacing w:after="120" w:line="300"/>
      </w:pPr>
      <w:r>
        <w:t xml:space="preserve">第一に、</w:t>
      </w:r>
      <w:r>
        <w:rPr>
          <w:b/>
          <w:bCs/>
        </w:rPr>
        <w:t xml:space="preserve">分母が最も正確な D1（実測週中央値）が最良ではない</w:t>
      </w:r>
      <w:r>
        <w:t xml:space="preserve">。その週の実中央値で割ると「同時期にどんな動画と競合したか」というノイズが目的変数に混入し、投稿時点の特徴量からの学習可能性はむしろ下がる（正解率0.355）。分母に求められるのは正確さより滑らかさである。</w:t>
      </w:r>
    </w:p>
    <w:p>
      <w:pPr>
        <w:spacing w:after="120" w:line="300"/>
      </w:pPr>
      <w:r>
        <w:t xml:space="preserve">第二に、</w:t>
      </w:r>
      <w:r>
        <w:rPr>
          <w:b/>
          <w:bCs/>
        </w:rPr>
        <w:t xml:space="preserve">急勾配の外挿は危険</w:t>
      </w:r>
      <w:r>
        <w:t xml:space="preserve">である。レジーム転換後の急勾配だけで外挿した D3 は test 週の水準を中央値2.55倍に過大評価し、正解率0.204 と崩壊した。転換後に水準が横ばいになる本データでは、最終水準の持ち越し（D4）が堅実で、実際 D2 とほぼ同等の成績を収めた。用途としては、「低」段階を含む安定した4段階が必要なら D2/D4 を、ピタリ正解率を最重視するなら従来の v1 を選ぶ、という使い分けを推奨する。</w:t>
      </w:r>
    </w:p>
    <w:p>
      <w:r>
        <w:br w:type="page"/>
      </w:r>
    </w:p>
    <w:p>
      <w:pPr>
        <w:pStyle w:val="Heading1"/>
      </w:pPr>
      <w:r>
        <w:t xml:space="preserve">6. 結論と今後</w:t>
      </w:r>
    </w:p>
    <w:p>
      <w:pPr>
        <w:spacing w:after="120" w:line="300"/>
      </w:pPr>
      <w:r>
        <w:t xml:space="preserve">本続編で得られた主要な知見は次の通り。</w:t>
      </w:r>
    </w:p>
    <w:p>
      <w:pPr>
        <w:pStyle w:val="ListParagraph"/>
        <w:numPr>
          <w:ilvl w:val="0"/>
          <w:numId w:val="2"/>
        </w:numPr>
        <w:spacing w:after="60"/>
      </w:pPr>
      <w:r>
        <w:rPr>
          <w:b/>
          <w:bCs/>
        </w:rPr>
        <w:t xml:space="preserve">R²=0.99 は3段階のリークの産物だった。</w:t>
      </w:r>
      <w:r>
        <w:t xml:space="preserve"> 同時生起変数・動画重複・ランダム分割を排すと真の R² は約0.40に下がる。</w:t>
      </w:r>
    </w:p>
    <w:p>
      <w:pPr>
        <w:pStyle w:val="ListParagraph"/>
        <w:numPr>
          <w:ilvl w:val="0"/>
          <w:numId w:val="2"/>
        </w:numPr>
        <w:spacing w:after="60"/>
      </w:pPr>
      <w:r>
        <w:rPr>
          <w:b/>
          <w:bCs/>
        </w:rPr>
        <w:t xml:space="preserve">投稿前の likes 絶対数予測は本質的に難しい。</w:t>
      </w:r>
      <w:r>
        <w:t xml:space="preserve"> ただし段階分類（二値AUC=0.86、4段階±1段階91%）なら実用的に予測できる。</w:t>
      </w:r>
    </w:p>
    <w:p>
      <w:pPr>
        <w:pStyle w:val="ListParagraph"/>
        <w:numPr>
          <w:ilvl w:val="0"/>
          <w:numId w:val="2"/>
        </w:numPr>
        <w:spacing w:after="60"/>
      </w:pPr>
      <w:r>
        <w:rPr>
          <w:b/>
          <w:bCs/>
        </w:rPr>
        <w:t xml:space="preserve">予測を支配するのは発信者（チャンネル実績）。</w:t>
      </w:r>
      <w:r>
        <w:t xml:space="preserve"> 内容特徴のみでは説明不能で、新規チャンネルは予測不能になる。</w:t>
      </w:r>
    </w:p>
    <w:p>
      <w:pPr>
        <w:pStyle w:val="ListParagraph"/>
        <w:numPr>
          <w:ilvl w:val="0"/>
          <w:numId w:val="2"/>
        </w:numPr>
        <w:spacing w:after="60"/>
      </w:pPr>
      <w:r>
        <w:rPr>
          <w:b/>
          <w:bCs/>
        </w:rPr>
        <w:t xml:space="preserve">最低保証という使い方が有効。</w:t>
      </w:r>
      <w:r>
        <w:t xml:space="preserve"> conf=0.7 で95%の下限保証を提供できる。</w:t>
      </w:r>
    </w:p>
    <w:p>
      <w:pPr>
        <w:pStyle w:val="ListParagraph"/>
        <w:numPr>
          <w:ilvl w:val="0"/>
          <w:numId w:val="2"/>
        </w:numPr>
        <w:spacing w:after="60"/>
      </w:pPr>
      <w:r>
        <w:rPr>
          <w:b/>
          <w:bCs/>
        </w:rPr>
        <w:t xml:space="preserve">分布シフトは時間相対比ターゲットで補正できる。</w:t>
      </w:r>
      <w:r>
        <w:t xml:space="preserve"> リークフリーの D2/D4 で「低」F1 が 0.13→0.40 に回復し、±1段階 0.90 を保った。分母は正確さより滑らかさが重要。</w:t>
      </w:r>
    </w:p>
    <w:p>
      <w:pPr>
        <w:spacing w:after="120"/>
      </w:pPr>
    </w:p>
    <w:p>
      <w:pPr>
        <w:spacing w:after="120" w:line="300"/>
      </w:pPr>
      <w:r>
        <w:t xml:space="preserve">今後の方向性として、(1) チャンネル特徴を「投稿時点より前の実績のみ」で厳密集計する版の検証、(2) 未活用の投稿前特徴（概要欄・サムネイル画像）の追加、(3) 時間相対比（D2/D4）ターゲットの正式モデル化と最低保証モデルへの接続、を計画している。</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160" w:before="280"/>
      <w:outlineLvl w:val="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00"/>
      <w:outlineLvl w:val="1"/>
    </w:pPr>
    <w:rPr>
      <w:rFonts w:ascii="Yu Gothic" w:cs="Yu Gothic" w:eastAsia="Yu Gothic" w:hAnsi="Yu Gothic"/>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7369611b95c06dcb6cbf65e0aaa201c491637c.png"/><Relationship Id="rId9" Type="http://schemas.openxmlformats.org/officeDocument/2006/relationships/image" Target="media/d6655482c69ffb0369adf97a596c677691880f1b.png"/><Relationship Id="rId10" Type="http://schemas.openxmlformats.org/officeDocument/2006/relationships/image" Target="media/f69110fef71495121a9b9b09edcf4fbd1afb3f48.png"/><Relationship Id="rId11" Type="http://schemas.openxmlformats.org/officeDocument/2006/relationships/image" Target="media/225bb592415b995b834425a0b4edb039c89ace09.png"/><Relationship Id="rId12" Type="http://schemas.openxmlformats.org/officeDocument/2006/relationships/fontTable" Target="fontTable.xml"/><Relationship Id="rId13" Type="http://schemas.openxmlformats.org/officeDocument/2006/relationships/image" Target="media/likes_4class_v3_trend.png"/><Relationship Id="rId14" Type="http://schemas.openxmlformats.org/officeDocument/2006/relationships/image" Target="media/likes_4class_v3_confus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2026-06-30T01:50:34.021Z</dcterms:created>
  <dcterms:modified xsi:type="dcterms:W3CDTF">2026-06-30T01:50:34.021Z</dcterms:modified>
</cp:coreProperties>
</file>

<file path=docProps/custom.xml><?xml version="1.0" encoding="utf-8"?>
<Properties xmlns="http://schemas.openxmlformats.org/officeDocument/2006/custom-properties" xmlns:vt="http://schemas.openxmlformats.org/officeDocument/2006/docPropsVTypes"/>
</file>