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31.821406939517"/>
        <w:gridCol w:w="1227.37042485074"/>
        <w:gridCol w:w="1227.37042485074"/>
        <w:gridCol w:w="1338.9495543826254"/>
        <w:tblGridChange w:id="0">
          <w:tblGrid>
            <w:gridCol w:w="5231.821406939517"/>
            <w:gridCol w:w="1227.37042485074"/>
            <w:gridCol w:w="1227.37042485074"/>
            <w:gridCol w:w="1338.9495543826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DEL CÓDIGO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Completitud</w:t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importan solo las clases o archivos necesarios evadiendo el uso de “import *”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todas las variables de entrada de un método sean utilizadas.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no retornen variables nulas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return siempre que sea posible y la legibilidad no se vea comprometida.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la utilización excesiva de sentencias 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sentencias de los métodos no sean muy largas.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creación de instancias no utilizadas en el código.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de concatenación excesiva de variables Strings.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estén iniciadas con el valor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terminen con el valor correcto. (&lt;, &lt;=, &gt;, &gt;=)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especiales</w:t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públicos declarados, se utilicen por otros módulos del sistema, esto a excepción de los getters/setters.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haya números mágicos en el código a excepción de 0, 1 o cadena vacía.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se apliquen los comentarios autogenerados por javadoc en los métodos autoexplicativos.</w:t>
            </w:r>
          </w:p>
          <w:p w:rsidR="00000000" w:rsidDel="00000000" w:rsidP="00000000" w:rsidRDefault="00000000" w:rsidRPr="00000000" w14:paraId="0000004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Javadoc es opcional para métodos "simples y obvios" como getFoo, en los casos en los que realmente no hay nada más que valga la pena decir que "returns the foo”.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emplean excepciones en secciones de código que puedan tener fallos como valores inválidos o index out of bounds.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funcional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y variables estén nombrados como en el diseño.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el código escrito sea de acuerdo al diseño establecido.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propósito o realicen una única tarea. Descomponer métodos que hagan múltiples tareas en distintos métodos que realicen una única tarea siempre que sea posible.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Estándares</w:t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las variables tengan nombres descriptivos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comentarios son descriptivos y solo se incluyen cuando el código es complejo de entender.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{, (, [, se cierren de manera correcta.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llamadas a métodos se hacen con los parámetros requeridos y se reciben bien los retornos si es el caso.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operaciones lógicas sean correctas. Que los operadores &lt;, &lt;=, &gt;, &gt;=, ==, !=, &amp;&amp;, ||, ! , estén siendo utilizados adecuadamente.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métodos son nombrados por verbos escritos en minúsculas. Cuando estos estén compuestos por varias palabras se tendrá la primera letra de cada palabra en mayúscula (camelCase).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mantuvo la estructura original del código, no se optimizó ni refactorizó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código.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KjFJYebapoohbclvbhdF88xEg==">AMUW2mXlZDqQ91jGca2eQnREixC7y0FlCkmMgNKujWaof9Tx0KZx43YVLlR0i9N5cGqKx18eFy3Myqip9SPZHNHXGs1WDXPpbZ/Vv4lhHCugyqLzgw1shEk=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