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735"/>
        <w:gridCol w:w="1860"/>
        <w:gridCol w:w="1514.5"/>
        <w:gridCol w:w="1514.5"/>
        <w:tblGridChange w:id="0">
          <w:tblGrid>
            <w:gridCol w:w="1110"/>
            <w:gridCol w:w="2295"/>
            <w:gridCol w:w="735"/>
            <w:gridCol w:w="186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Suemi Andrea Castillo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04-03-2022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05-03-2022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existencias de los elementos cancelados al momento de cancelar la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Rodrigo Hernández Góngora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1f/2Bg7Wl677PeRODvWnewCew==">AMUW2mVGHfvsRHJOMrdj1ej9sOhobNM6OaolPKaVEEUYFB9vbEkpWwxyYRXKQ4jl1SboGYE3OrrT2xXm5v3NQ38wf2akSLnRv2UMae6FFhGLlIUxQSXbtAw=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