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MR-4_PM-1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06-03-2022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Abrir un nuevo corte de caja y que la fecha esté rellenada por defecto con la fecha actual del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abre un nuevo corte de caja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Rodrigo Hernández Gongora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corte de caja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haber un corte de caja 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fecha se encuentra llena con la fecha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WdIsAs6RFKL8S81gyJYz+lKsA==">AMUW2mWBDAwwK/NhOeOBCTuXjHD5z9TQhFhUbmEo0fRq56EfZcK1tXmUyzjc+/zsPfF13dAgrOaw4MtYVID4UvZIE45BBe4hIV+A3dFk7G787OsG74EDaXg=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