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295"/>
        <w:gridCol w:w="735"/>
        <w:gridCol w:w="1860"/>
        <w:gridCol w:w="1514.5"/>
        <w:gridCol w:w="1514.5"/>
        <w:tblGridChange w:id="0">
          <w:tblGrid>
            <w:gridCol w:w="1110"/>
            <w:gridCol w:w="2295"/>
            <w:gridCol w:w="735"/>
            <w:gridCol w:w="1860"/>
            <w:gridCol w:w="1514.5"/>
            <w:gridCol w:w="1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ANÁLISIS DE LA SOLICITUD DE MODIFICACIÓN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Cafetería FMAT(Punto de venta)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Responsable(s):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Jairo Josué Cristobal Franco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recepción del MR: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24-02-2022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aprobación/negado: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04-03-2022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cierre: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09-03-2022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solución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del MR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del rechazo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Replicar la funcionalidad de reportes que existe en otras partes del software para los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 del Análisis: </w:t>
            </w:r>
            <w:r w:rsidDel="00000000" w:rsidR="00000000" w:rsidRPr="00000000">
              <w:rPr>
                <w:rtl w:val="0"/>
              </w:rPr>
              <w:t xml:space="preserve">Rodrigo Hernández Góngora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x/I9d1YfEC+0C/hS6AN5/t0Zsg==">AMUW2mVqYs0BSCpDSqlF8wT6qVHlSxKHJKaI/8DuXvLjb94ZRFix67DJ1IPzx59mqUL7J9L+V1zvYBt16jP+a7Q4s0P56Jfii+XWKBOtEp3UM/iWByvt6No=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