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Grinding Gear Games</w:t>
      </w:r>
    </w:p>
    <w:p>
      <w:pPr>
        <w:spacing w:after="60"/>
        <w:jc w:val="center"/>
      </w:pPr>
      <w:r>
        <w:rPr>
          <w:rFonts w:ascii="Times New Roman" w:cs="Times New Roman" w:eastAsia="Times New Roman" w:hAnsi="Times New Roman"/>
          <w:b/>
          <w:bCs/>
          <w:sz w:val="28"/>
          <w:szCs w:val="28"/>
        </w:rPr>
        <w:t xml:space="preserve">Microtransaction Analytics System (MAS)</w:t>
      </w:r>
    </w:p>
    <w:p>
      <w:pPr>
        <w:spacing w:after="400"/>
        <w:jc w:val="center"/>
      </w:pPr>
      <w:r>
        <w:rPr>
          <w:rFonts w:ascii="Times New Roman" w:cs="Times New Roman" w:eastAsia="Times New Roman" w:hAnsi="Times New Roman"/>
          <w:b/>
          <w:bCs/>
          <w:sz w:val="28"/>
          <w:szCs w:val="28"/>
        </w:rPr>
        <w:t xml:space="preserve">Problem Statement</w:t>
      </w:r>
    </w:p>
    <w:p>
      <w:pPr>
        <w:pStyle w:val="Heading1"/>
      </w:pPr>
      <w:r>
        <w:rPr>
          <w:b/>
          <w:bCs/>
        </w:rPr>
        <w:t xml:space="preserve">1. Organisational Context</w:t>
      </w:r>
    </w:p>
    <w:p>
      <w:pPr>
        <w:spacing w:after="160"/>
        <w:jc w:val="both"/>
      </w:pPr>
      <w:r>
        <w:rPr>
          <w:rFonts w:ascii="Times New Roman" w:cs="Times New Roman" w:eastAsia="Times New Roman" w:hAnsi="Times New Roman"/>
          <w:sz w:val="24"/>
          <w:szCs w:val="24"/>
        </w:rPr>
        <w:t xml:space="preserve">Grinding Gear Games (GGG) is a New Zealand-based video game developer and publisher founded in Auckland in 2006. The company is best known for developing and operating Path of Exile, a free-to-play action role-playing game that has accumulated tens of millions of registered players worldwide. GGG employs more than 200 staff across departments including Game Development, Marketing, Data Analytics, Finance and Revenue, and Customer Support, and operates from its primary offices in Auckland as well as internationally. The company’s primary revenue model is based entirely on voluntary microtransactions: players are never required to purchase in-game advantages, but are offered a broad catalogue of cosmetic items—weapon skins, character armour sets, pets, portal effects, hideout decorations, and stash tab expansions—purchasable individually or as part of curated bundles.</w:t>
      </w:r>
    </w:p>
    <w:p>
      <w:pPr>
        <w:spacing w:after="160"/>
        <w:jc w:val="both"/>
      </w:pPr>
      <w:r>
        <w:rPr>
          <w:rFonts w:ascii="Times New Roman" w:cs="Times New Roman" w:eastAsia="Times New Roman" w:hAnsi="Times New Roman"/>
          <w:sz w:val="24"/>
          <w:szCs w:val="24"/>
        </w:rPr>
        <w:t xml:space="preserve">The organisation’s key internal stakeholders span multiple departments and carry distinct operational responsibilities. The Marketing department is accountable for promotional campaign design and cosmetic catalogue positioning. The Game Development department oversees the creation and release of new cosmetic items and bears responsibility for allocating art and design resources across character classes and item categories. The Finance and Revenue department manages revenue forecasting, budget planning, and commercial performance monitoring across league cycles. The Data Analytics department is tasked with deriving actionable insight from transactional and player behavioural data. Additionally, players constitute an indirect external stakeholder group whose purchase behaviour, demographic distribution, and spending patterns are the primary subject of the proposed system.</w:t>
      </w:r>
    </w:p>
    <w:p>
      <w:pPr>
        <w:pStyle w:val="Heading1"/>
      </w:pPr>
      <w:r>
        <w:rPr>
          <w:b/>
          <w:bCs/>
        </w:rPr>
        <w:t xml:space="preserve">2. Problem Definition</w:t>
      </w:r>
    </w:p>
    <w:p>
      <w:pPr>
        <w:spacing w:after="160"/>
        <w:jc w:val="both"/>
      </w:pPr>
      <w:r>
        <w:rPr>
          <w:rFonts w:ascii="Times New Roman" w:cs="Times New Roman" w:eastAsia="Times New Roman" w:hAnsi="Times New Roman"/>
          <w:sz w:val="24"/>
          <w:szCs w:val="24"/>
        </w:rPr>
        <w:t xml:space="preserve">Despite generating substantial and sustained revenue through its cosmetic catalogue, Grinding Gear Games currently lacks a centralised, structured analytics system for tracking and interpreting microtransaction data at organisational scale. Purchase records are distributed across transactional databases and game server logs without a unified reporting or aggregation layer. As a consequence, business units such as Marketing, Finance, and Game Development are compelled to rely upon manual data extraction, ad hoc spreadsheet compilation, and delayed reporting cycles to address fundamental commercial questions: which cosmetic items achieve the highest sales volume, which character classes correlate with the greatest player expenditure, which geographic regions represent the largest underserved markets, and which items are consistently underperforming relative to their development investment.</w:t>
      </w:r>
    </w:p>
    <w:p>
      <w:pPr>
        <w:spacing w:after="160"/>
        <w:jc w:val="both"/>
      </w:pPr>
      <w:r>
        <w:rPr>
          <w:rFonts w:ascii="Times New Roman" w:cs="Times New Roman" w:eastAsia="Times New Roman" w:hAnsi="Times New Roman"/>
          <w:sz w:val="24"/>
          <w:szCs w:val="24"/>
        </w:rPr>
        <w:t xml:space="preserve">This fragmented operational approach introduces measurable delays into strategic decision-making, elevates the risk of resource misallocation, and substantially limits the organisation’s capacity to respond in a timely and informed manner to evolving player spending patterns. This limitation is particularly consequential during league launches—recurring major content releases that occur on a quarterly basis and each generate a significant spike in transactional volume—wherein the absence of real-time or near-real-time analytics prevents teams from making agile adjustments to promotional strategies and content prioritisation.</w:t>
      </w:r>
    </w:p>
    <w:p>
      <w:pPr>
        <w:pStyle w:val="Heading1"/>
      </w:pPr>
      <w:r>
        <w:rPr>
          <w:b/>
          <w:bCs/>
        </w:rPr>
        <w:t xml:space="preserve">3. Stakeholder Impact Analysis</w:t>
      </w:r>
    </w:p>
    <w:p>
      <w:pPr>
        <w:spacing w:after="160"/>
        <w:jc w:val="both"/>
      </w:pPr>
      <w:r>
        <w:rPr>
          <w:rFonts w:ascii="Times New Roman" w:cs="Times New Roman" w:eastAsia="Times New Roman" w:hAnsi="Times New Roman"/>
          <w:sz w:val="24"/>
          <w:szCs w:val="24"/>
        </w:rPr>
        <w:t xml:space="preserve">The operational consequences of this analytical deficiency are demonstrable across all primary internal stakeholder groups. The Game Development team is unable to efficiently identify which character classes are underserved by the current cosmetic catalogue, with the result that art and design resources may be systematically directed toward already-saturated item types rather than toward content categories that would serve a broader segment of the active player base. This information asymmetry contributes to diminished cosmetic catalogue diversity and potential long-term player disengagement.</w:t>
      </w:r>
    </w:p>
    <w:p>
      <w:pPr>
        <w:spacing w:after="160"/>
        <w:jc w:val="both"/>
      </w:pPr>
      <w:r>
        <w:rPr>
          <w:rFonts w:ascii="Times New Roman" w:cs="Times New Roman" w:eastAsia="Times New Roman" w:hAnsi="Times New Roman"/>
          <w:sz w:val="24"/>
          <w:szCs w:val="24"/>
        </w:rPr>
        <w:t xml:space="preserve">The Marketing department is presently unable to design precisely targeted promotional campaigns, owing to the absence of reliable data on player demographic segments, geographic spending distributions, account spending tiers, and item affinity patterns. Without this segmentation capability, marketing expenditure cannot be efficiently allocated, and the potential return from targeted promotions tied to league launches or new cosmetic releases remains unrealised. The Finance and Revenue department faces compounding difficulty in producing accurate forward-looking revenue forecasts, as it lacks consolidated visibility into bundle versus individual purchase ratios, repeat buyer rates, and seasonal or league-correlated revenue distribution. The Data Analytics team, despite possessing the requisite technical skills to conduct in-depth quantitative analysis, is constrained operationally by the absence of a consistent, well-structured data pipeline that aggregates and normalises purchase events in near real-time.</w:t>
      </w:r>
    </w:p>
    <w:p>
      <w:pPr>
        <w:pStyle w:val="Heading1"/>
      </w:pPr>
      <w:r>
        <w:rPr>
          <w:b/>
          <w:bCs/>
        </w:rPr>
        <w:t xml:space="preserve">4. System Functional Requirements</w:t>
      </w:r>
    </w:p>
    <w:p>
      <w:pPr>
        <w:spacing w:after="120"/>
        <w:jc w:val="both"/>
      </w:pPr>
      <w:r>
        <w:rPr>
          <w:rFonts w:ascii="Times New Roman" w:cs="Times New Roman" w:eastAsia="Times New Roman" w:hAnsi="Times New Roman"/>
          <w:sz w:val="24"/>
          <w:szCs w:val="24"/>
        </w:rPr>
        <w:t xml:space="preserve">The proposed Microtransaction Analytics System (MAS) is required to satisfy the following functional requirements, derived from the operational needs of each identified stakeholder group:</w:t>
      </w:r>
    </w:p>
    <w:p>
      <w:pPr>
        <w:pStyle w:val="Heading2"/>
      </w:pPr>
      <w:r>
        <w:rPr>
          <w:b/>
          <w:bCs/>
        </w:rPr>
        <w:t xml:space="preserve">4.1 Sales Capture and Transaction Tracking</w:t>
      </w:r>
    </w:p>
    <w:p>
      <w:pPr>
        <w:pStyle w:val="ListParagraph"/>
        <w:numPr>
          <w:ilvl w:val="0"/>
          <w:numId w:val="2"/>
        </w:numPr>
        <w:spacing w:after="80"/>
      </w:pPr>
      <w:r>
        <w:rPr>
          <w:rFonts w:ascii="Times New Roman" w:cs="Times New Roman" w:eastAsia="Times New Roman" w:hAnsi="Times New Roman"/>
          <w:sz w:val="24"/>
          <w:szCs w:val="24"/>
        </w:rPr>
        <w:t xml:space="preserve">FR01 — The system shall record every microtransaction purchase event, capturing the item identifier, transaction price, timestamp, and associated player account.</w:t>
      </w:r>
    </w:p>
    <w:p>
      <w:pPr>
        <w:pStyle w:val="ListParagraph"/>
        <w:numPr>
          <w:ilvl w:val="0"/>
          <w:numId w:val="2"/>
        </w:numPr>
        <w:spacing w:after="80"/>
      </w:pPr>
      <w:r>
        <w:rPr>
          <w:rFonts w:ascii="Times New Roman" w:cs="Times New Roman" w:eastAsia="Times New Roman" w:hAnsi="Times New Roman"/>
          <w:sz w:val="24"/>
          <w:szCs w:val="24"/>
        </w:rPr>
        <w:t xml:space="preserve">FR02 — The system shall categorise each purchase by item type, including weapon skins, armour skins, pets, portal effects, hideout decorations, and stash tab expansions.</w:t>
      </w:r>
    </w:p>
    <w:p>
      <w:pPr>
        <w:pStyle w:val="ListParagraph"/>
        <w:numPr>
          <w:ilvl w:val="0"/>
          <w:numId w:val="2"/>
        </w:numPr>
        <w:spacing w:after="80"/>
      </w:pPr>
      <w:r>
        <w:rPr>
          <w:rFonts w:ascii="Times New Roman" w:cs="Times New Roman" w:eastAsia="Times New Roman" w:hAnsi="Times New Roman"/>
          <w:sz w:val="24"/>
          <w:szCs w:val="24"/>
        </w:rPr>
        <w:t xml:space="preserve">FR03 — The system shall record the character class active at the time of each purchase, enabling class-correlated sales analysis.</w:t>
      </w:r>
    </w:p>
    <w:p>
      <w:pPr>
        <w:pStyle w:val="ListParagraph"/>
        <w:numPr>
          <w:ilvl w:val="0"/>
          <w:numId w:val="2"/>
        </w:numPr>
        <w:spacing w:after="80"/>
      </w:pPr>
      <w:r>
        <w:rPr>
          <w:rFonts w:ascii="Times New Roman" w:cs="Times New Roman" w:eastAsia="Times New Roman" w:hAnsi="Times New Roman"/>
          <w:sz w:val="24"/>
          <w:szCs w:val="24"/>
        </w:rPr>
        <w:t xml:space="preserve">FR04 — The system shall identify the highest-selling microtransaction items over any user-selectable reporting period.</w:t>
      </w:r>
    </w:p>
    <w:p>
      <w:pPr>
        <w:pStyle w:val="ListParagraph"/>
        <w:numPr>
          <w:ilvl w:val="0"/>
          <w:numId w:val="2"/>
        </w:numPr>
        <w:spacing w:after="160"/>
      </w:pPr>
      <w:r>
        <w:rPr>
          <w:rFonts w:ascii="Times New Roman" w:cs="Times New Roman" w:eastAsia="Times New Roman" w:hAnsi="Times New Roman"/>
          <w:sz w:val="24"/>
          <w:szCs w:val="24"/>
        </w:rPr>
        <w:t xml:space="preserve">FR05 — The system shall distinguish between bundle purchases and individual item purchases, recording each transaction type separately to support bundle performance analysis.</w:t>
      </w:r>
    </w:p>
    <w:p>
      <w:pPr>
        <w:pStyle w:val="Heading2"/>
      </w:pPr>
      <w:r>
        <w:rPr>
          <w:b/>
          <w:bCs/>
        </w:rPr>
        <w:t xml:space="preserve">4.2 Player Demographics and Segmentation</w:t>
      </w:r>
    </w:p>
    <w:p>
      <w:pPr>
        <w:pStyle w:val="ListParagraph"/>
        <w:numPr>
          <w:ilvl w:val="0"/>
          <w:numId w:val="2"/>
        </w:numPr>
        <w:spacing w:after="80"/>
      </w:pPr>
      <w:r>
        <w:rPr>
          <w:rFonts w:ascii="Times New Roman" w:cs="Times New Roman" w:eastAsia="Times New Roman" w:hAnsi="Times New Roman"/>
          <w:sz w:val="24"/>
          <w:szCs w:val="24"/>
        </w:rPr>
        <w:t xml:space="preserve">FR06 — The system shall record the player’s geographic region or country at the time of purchase to facilitate regional sales analysis.</w:t>
      </w:r>
    </w:p>
    <w:p>
      <w:pPr>
        <w:pStyle w:val="ListParagraph"/>
        <w:numPr>
          <w:ilvl w:val="0"/>
          <w:numId w:val="2"/>
        </w:numPr>
        <w:spacing w:after="80"/>
      </w:pPr>
      <w:r>
        <w:rPr>
          <w:rFonts w:ascii="Times New Roman" w:cs="Times New Roman" w:eastAsia="Times New Roman" w:hAnsi="Times New Roman"/>
          <w:sz w:val="24"/>
          <w:szCs w:val="24"/>
        </w:rPr>
        <w:t xml:space="preserve">FR07 — The system shall classify player accounts by account tenure and spending tier, including categories such as casual, regular, and high-value spender.</w:t>
      </w:r>
    </w:p>
    <w:p>
      <w:pPr>
        <w:pStyle w:val="ListParagraph"/>
        <w:numPr>
          <w:ilvl w:val="0"/>
          <w:numId w:val="2"/>
        </w:numPr>
        <w:spacing w:after="160"/>
      </w:pPr>
      <w:r>
        <w:rPr>
          <w:rFonts w:ascii="Times New Roman" w:cs="Times New Roman" w:eastAsia="Times New Roman" w:hAnsi="Times New Roman"/>
          <w:sz w:val="24"/>
          <w:szCs w:val="24"/>
        </w:rPr>
        <w:t xml:space="preserve">FR08 — The system shall differentiate between first-time purchasers and repeat buyers on a per-item basis to support customer retention analysis.</w:t>
      </w:r>
    </w:p>
    <w:p>
      <w:pPr>
        <w:pStyle w:val="Heading2"/>
      </w:pPr>
      <w:r>
        <w:rPr>
          <w:b/>
          <w:bCs/>
        </w:rPr>
        <w:t xml:space="preserve">4.3 Reporting, Analytics, and Export</w:t>
      </w:r>
    </w:p>
    <w:p>
      <w:pPr>
        <w:pStyle w:val="ListParagraph"/>
        <w:numPr>
          <w:ilvl w:val="0"/>
          <w:numId w:val="2"/>
        </w:numPr>
        <w:spacing w:after="80"/>
      </w:pPr>
      <w:r>
        <w:rPr>
          <w:rFonts w:ascii="Times New Roman" w:cs="Times New Roman" w:eastAsia="Times New Roman" w:hAnsi="Times New Roman"/>
          <w:sz w:val="24"/>
          <w:szCs w:val="24"/>
        </w:rPr>
        <w:t xml:space="preserve">FR09 — The system shall generate filterable sales reports supporting filter criteria including date range, geographic region, item type, and character class.</w:t>
      </w:r>
    </w:p>
    <w:p>
      <w:pPr>
        <w:pStyle w:val="ListParagraph"/>
        <w:numPr>
          <w:ilvl w:val="0"/>
          <w:numId w:val="2"/>
        </w:numPr>
        <w:spacing w:after="80"/>
      </w:pPr>
      <w:r>
        <w:rPr>
          <w:rFonts w:ascii="Times New Roman" w:cs="Times New Roman" w:eastAsia="Times New Roman" w:hAnsi="Times New Roman"/>
          <w:sz w:val="24"/>
          <w:szCs w:val="24"/>
        </w:rPr>
        <w:t xml:space="preserve">FR10 — The system shall display revenue trend visualisations across configurable time windows, including daily, weekly, and monthly aggregations.</w:t>
      </w:r>
    </w:p>
    <w:p>
      <w:pPr>
        <w:pStyle w:val="ListParagraph"/>
        <w:numPr>
          <w:ilvl w:val="0"/>
          <w:numId w:val="2"/>
        </w:numPr>
        <w:spacing w:after="80"/>
      </w:pPr>
      <w:r>
        <w:rPr>
          <w:rFonts w:ascii="Times New Roman" w:cs="Times New Roman" w:eastAsia="Times New Roman" w:hAnsi="Times New Roman"/>
          <w:sz w:val="24"/>
          <w:szCs w:val="24"/>
        </w:rPr>
        <w:t xml:space="preserve">FR11 — The system shall automatically flag microtransaction items whose sales performance falls below configurable underperformance thresholds, alerting relevant stakeholders.</w:t>
      </w:r>
    </w:p>
    <w:p>
      <w:pPr>
        <w:pStyle w:val="ListParagraph"/>
        <w:numPr>
          <w:ilvl w:val="0"/>
          <w:numId w:val="2"/>
        </w:numPr>
        <w:spacing w:after="160"/>
      </w:pPr>
      <w:r>
        <w:rPr>
          <w:rFonts w:ascii="Times New Roman" w:cs="Times New Roman" w:eastAsia="Times New Roman" w:hAnsi="Times New Roman"/>
          <w:sz w:val="24"/>
          <w:szCs w:val="24"/>
        </w:rPr>
        <w:t xml:space="preserve">FR12 — The system shall permit authorised users, particularly those in the Marketing department, to export report data in standard formats for downstream use.</w:t>
      </w:r>
    </w:p>
    <w:p>
      <w:pPr>
        <w:pStyle w:val="Heading2"/>
      </w:pPr>
      <w:r>
        <w:rPr>
          <w:b/>
          <w:bCs/>
        </w:rPr>
        <w:t xml:space="preserve">4.4 Role-Based Access and System Security</w:t>
      </w:r>
    </w:p>
    <w:p>
      <w:pPr>
        <w:pStyle w:val="ListParagraph"/>
        <w:numPr>
          <w:ilvl w:val="0"/>
          <w:numId w:val="2"/>
        </w:numPr>
        <w:spacing w:after="80"/>
      </w:pPr>
      <w:r>
        <w:rPr>
          <w:rFonts w:ascii="Times New Roman" w:cs="Times New Roman" w:eastAsia="Times New Roman" w:hAnsi="Times New Roman"/>
          <w:sz w:val="24"/>
          <w:szCs w:val="24"/>
        </w:rPr>
        <w:t xml:space="preserve">FR13 — The system shall support four distinct authenticated user roles: Data Analyst, Marketing Manager, Game Developer, and Finance Officer, each with access permissions appropriate to their departmental function.</w:t>
      </w:r>
    </w:p>
    <w:p>
      <w:pPr>
        <w:pStyle w:val="ListParagraph"/>
        <w:numPr>
          <w:ilvl w:val="0"/>
          <w:numId w:val="2"/>
        </w:numPr>
        <w:spacing w:after="240"/>
      </w:pPr>
      <w:r>
        <w:rPr>
          <w:rFonts w:ascii="Times New Roman" w:cs="Times New Roman" w:eastAsia="Times New Roman" w:hAnsi="Times New Roman"/>
          <w:sz w:val="24"/>
          <w:szCs w:val="24"/>
        </w:rPr>
        <w:t xml:space="preserve">FR14 — The system shall restrict data export capabilities and system configuration functions to roles with explicitly authorised access, enforced through role-based access control.</w:t>
      </w:r>
    </w:p>
    <w:p>
      <w:pPr>
        <w:pStyle w:val="Heading1"/>
      </w:pPr>
      <w:r>
        <w:rPr>
          <w:b/>
          <w:bCs/>
        </w:rPr>
        <w:t xml:space="preserve">5. Project Scope and Academic Significance</w:t>
      </w:r>
    </w:p>
    <w:p>
      <w:pPr>
        <w:spacing w:after="160"/>
        <w:jc w:val="both"/>
      </w:pPr>
      <w:r>
        <w:rPr>
          <w:rFonts w:ascii="Times New Roman" w:cs="Times New Roman" w:eastAsia="Times New Roman" w:hAnsi="Times New Roman"/>
          <w:sz w:val="24"/>
          <w:szCs w:val="24"/>
        </w:rPr>
        <w:t xml:space="preserve">The MAS represents a business-critical software engineering challenge that encompasses multiple non-trivial design domains, including event-driven data capture, multi-dimensional classification and segmentation, role-based access control, real-time performance constraints, and compliance with privacy legislation. The system’s requirements span at least five organisational departments—Game Development, Marketing, Finance and Revenue, Data Analytics, and Customer Support—and involve four distinct internal user roles, each with differentiated access and reporting needs. The structural and behavioural complexity of the system makes it a substantive candidate for comprehensive UML modelling, encompassing use case, class, sequence, and activity diagrams, as well as a disciplined object-oriented design and C# implementation.</w:t>
      </w:r>
    </w:p>
    <w:p>
      <w:pPr>
        <w:spacing w:after="160"/>
        <w:jc w:val="both"/>
      </w:pPr>
      <w:r>
        <w:rPr>
          <w:rFonts w:ascii="Times New Roman" w:cs="Times New Roman" w:eastAsia="Times New Roman" w:hAnsi="Times New Roman"/>
          <w:sz w:val="24"/>
          <w:szCs w:val="24"/>
        </w:rPr>
        <w:t xml:space="preserve">The absence of such a system at Grinding Gear Games constitutes a strategically significant operational gap. Without a unified analytics platform, the organisation’s capacity to make informed decisions regarding cosmetic content investment, promotional targeting, and revenue forecasting remains materially constrained. The development of the MAS therefore directly addresses a real, documented business need within a verifiable New Zealand organisation, satisfying the project’s requirements for organisational relevance, system complexity, and multi-departmental scope.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2026-04-05T07:33:05.013Z</dcterms:created>
  <dcterms:modified xsi:type="dcterms:W3CDTF">2026-04-05T07:33:05.013Z</dcterms:modified>
</cp:coreProperties>
</file>

<file path=docProps/custom.xml><?xml version="1.0" encoding="utf-8"?>
<Properties xmlns="http://schemas.openxmlformats.org/officeDocument/2006/custom-properties" xmlns:vt="http://schemas.openxmlformats.org/officeDocument/2006/docPropsVTypes"/>
</file>