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1A1A1A"/>
          <w:sz w:val="40"/>
        </w:rPr>
        <w:t>天津养老资源可视化</w:t>
      </w:r>
    </w:p>
    <w:p>
      <w:pPr>
        <w:spacing w:after="40"/>
      </w:pPr>
      <w:r>
        <w:rPr>
          <w:rFonts w:ascii="微软雅黑" w:hAnsi="微软雅黑" w:eastAsia="微软雅黑"/>
          <w:b/>
          <w:color w:val="185C8B"/>
          <w:sz w:val="28"/>
        </w:rPr>
        <w:t>版本更新日志 · 2026-10-31</w:t>
      </w:r>
    </w:p>
    <w:p>
      <w:pPr>
        <w:spacing w:after="20"/>
      </w:pPr>
      <w:r>
        <w:rPr>
          <w:rFonts w:ascii="宋体" w:hAnsi="宋体" w:eastAsia="宋体"/>
          <w:b w:val="0"/>
          <w:color w:val="5A6268"/>
          <w:sz w:val="18"/>
        </w:rPr>
        <w:t>线上地址  https://sueporee.github.io/tianjin-elderly-viz/</w:t>
      </w:r>
    </w:p>
    <w:p>
      <w:pPr>
        <w:spacing w:after="240"/>
      </w:pPr>
      <w:r>
        <w:rPr>
          <w:rFonts w:ascii="宋体" w:hAnsi="宋体" w:eastAsia="宋体"/>
          <w:b w:val="0"/>
          <w:color w:val="5A6268"/>
          <w:sz w:val="18"/>
        </w:rPr>
        <w:t>今日多次发布 · Pages 已生效 · Edge 实测 0 console 报错</w:t>
      </w:r>
    </w:p>
    <w:p>
      <w:pPr>
        <w:spacing w:before="0" w:after="280"/>
        <w:pBdr>
          <w:bottom w:val="single" w:sz="6" w:space="1" w:color="C9C9C2"/>
        </w:pBdr>
      </w:pPr>
    </w:p>
    <w:p>
      <w:pPr>
        <w:spacing w:after="320" w:line="384" w:lineRule="auto"/>
        <w:ind w:left="200"/>
      </w:pPr>
      <w:r>
        <w:rPr>
          <w:rFonts w:ascii="宋体" w:hAnsi="宋体" w:eastAsia="宋体"/>
          <w:b w:val="0"/>
          <w:color w:val="1A1A1A"/>
          <w:sz w:val="22"/>
        </w:rPr>
        <w:t>把「一个好看的数据展示页」改成了「一个能自我说明、能交付、能查政策的三入口工具」，并顺手把视觉从“AI 模板感”改成了“报告感”。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一、本次新增的三个能力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1. 政策自查（新页面 #/policy）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输入三个条件，自动列出可能符合的补贴：老人年龄 / 身份与家庭情况 / 目前失能情况。</w:t>
      </w:r>
    </w:p>
    <w:p>
      <w:pPr>
        <w:spacing w:before="0" w:after="60" w:line="360" w:lineRule="auto"/>
      </w:pPr>
      <w:r>
        <w:rPr>
          <w:rFonts w:ascii="宋体" w:hAnsi="宋体" w:eastAsia="宋体"/>
          <w:b w:val="0"/>
          <w:color w:val="1A1A1A"/>
          <w:sz w:val="21"/>
        </w:rPr>
        <w:t>覆盖三项：高龄津贴；困难老年人养老服务补贴 + 养老护理补贴；长期护理保险（长护险）。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每条结果给出金额档位、去哪儿办、要带的材料，以及可追溯到 gov.cn 或区级政府页面的政策原文链接。判定分「符合 / 可能符合 / 暂不符合」三档，并写明理由，例如“长护险只认重度失能，还需要失能满 6 个月、参加职工医保”。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不收集、不上传任何个人信息，选择只留在当前页面；支持 URL 预填以便演示（#/policy?age=80-89&amp;status=dibao&amp;ability=severe）。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数据来源全部是公开文件。困难两项补贴是“市级框架 + 分区细则”，页面用河东区细则做示例并明确标注，避免把某个区的标准说成全市标准。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2. 一页纸导出（区级账本内）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16 个区每张卡片右下角新增「一页纸 · 打印/存 PDF」，点击生成 A4 单页，内容包括：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6 个关键指标：60+ 人口、老龄化率、助餐点、日照中心、卫生床位、综合便利指数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与 16 区中位数逐项对比，含差额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一句话判断：该区最薄的一环，以及供需缺口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数据来源与边界四条：谁统计的、坐标怎么来的、核实到什么程度、不能用来干什么</w:t>
      </w:r>
    </w:p>
    <w:p>
      <w:pPr>
        <w:spacing w:before="8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这是“能交给社区养老专干或写进材料”的产物，不是又一张网页截图。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3. 可信度层（全站）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每个点位新增「来源」与「核实状态」，例如：来源：市民政局 2025 助餐名单 · 未人工核实。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点位等级沿用填报质量分级，共 3202 条：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资料 A：有电话且门址可比对，3185 条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资料 B：只有区级坐标，9 条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资料 C：缺电话或地址，8 条</w:t>
      </w:r>
    </w:p>
    <w:p>
      <w:pPr>
        <w:spacing w:before="8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首页新增「这份数据能答什么，答不了什么」两栏：能回答 4 条、回答不了 4 条（例如“你家门口 800 米内今天能不能吃上饭”），并在下面解释 A / B / C 是什么。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二、视觉改版（两轮）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第一轮：按 landing-page-design 重建视觉系统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CSS 全文重写：原 2535 行，现 2986 行，结构更清晰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字号收敛到十档：12 / 14 / 16 / 18 / 20 / 24 / 30 / 36 / 48 / 60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间距与圆角全部 token 化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新增 ui.js：滚动揭示、标语逐字点亮、导航滚动状态、菜单开合与 aria-expanded 同步、prefers-reduced-motion 全量降级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新增 404.html（品牌化）、og.png（1200×630 分享图）、print.css（打印样式）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图表字号统一：原 8/9/10/11px 全部提到 12px，标题 24 提到 20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移动端图例移到底部，解决图例压住坐标轴名称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color w:val="1A1A1A"/>
          <w:sz w:val="24"/>
        </w:rPr>
        <w:t>第二轮：去“AI 味”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2"/>
          <w:left w:val="single" w:sz="4" w:space="0" w:color="D8D8D2"/>
          <w:bottom w:val="single" w:sz="4" w:space="0" w:color="D8D8D2"/>
          <w:right w:val="single" w:sz="4" w:space="0" w:color="D8D8D2"/>
          <w:insideH w:val="single" w:sz="4" w:space="0" w:color="D8D8D2"/>
          <w:insideV w:val="single" w:sz="4" w:space="0" w:color="D8D8D2"/>
        </w:tblBorders>
      </w:tblPr>
      <w:tblGrid>
        <w:gridCol w:w="3097"/>
        <w:gridCol w:w="3097"/>
        <w:gridCol w:w="3097"/>
      </w:tblGrid>
      <w:tr>
        <w:trPr>
          <w:cantSplit/>
          <w:tblHeader/>
        </w:trPr>
        <w:tc>
          <w:tcPr>
            <w:tcW w:type="dxa" w:w="1474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位置</w:t>
            </w:r>
          </w:p>
        </w:tc>
        <w:tc>
          <w:tcPr>
            <w:tcW w:type="dxa" w:w="3628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之前</w:t>
            </w:r>
          </w:p>
        </w:tc>
        <w:tc>
          <w:tcPr>
            <w:tcW w:type="dxa" w:w="3628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现在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首屏背景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两条装饰曲线 + 圆环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纯留白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导航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毛玻璃悬浮胶囊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贴顶纸片，模糊 18 降到 10px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眉标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A / B 两个彩色胶囊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竖线分隔的纯文字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章节编号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蓝色、加宽字距的小标签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24px 细线 + 灰色等宽数字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卡片墙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白底 + 边框 + 16px 圆角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顶部一条细线，无底色；只保留速览卡、账本卡、图表卡、表单为面板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圆角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16px 起</w:t>
            </w:r>
          </w:p>
        </w:tc>
        <w:tc>
          <w:tcPr>
            <w:tcW w:type="dxa" w:w="3628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卡片 12px，深色卡与弹窗 16px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数字字体</w:t>
            </w:r>
          </w:p>
        </w:tc>
        <w:tc>
          <w:tcPr>
            <w:tcW w:type="dxa" w:w="3628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黑体</w:t>
            </w:r>
          </w:p>
        </w:tc>
        <w:tc>
          <w:tcPr>
            <w:tcW w:type="dxa" w:w="3628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宋体，与标题同一套，标签仍用黑体</w:t>
            </w:r>
          </w:p>
        </w:tc>
      </w:tr>
    </w:tbl>
    <w:p>
      <w:pPr>
        <w:spacing w:before="12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原则是：能用排版讲清的地方不放盒子。页面因此从“一堆卡片”变成了“一份可以往下读的报告”。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三、内容与入口调整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首页新增「典型区速写 · 三个区，三种缺法」：老龄化最深的河北区 31.0%、助餐最稀的河西区 1.7 个/万、配置最密的和平区 67.1，数字由 APP_DATA 实时计算，不写死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首页三个入口：A 看资源体检 / B 找附近服务 / C 查能领什么；主按钮改为 A，B 为次按钮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导航从 6 项增加到 7 项，新增「政策自查」，后续章节编号顺延：推演 05、结论 06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使用说明弹窗从 3 张引导卡扩到 5 张，补上“一页纸”和“查能领什么”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四、修复的问题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1. 深链接失效。</w:t>
      </w:r>
    </w:p>
    <w:p>
      <w:pPr>
        <w:spacing w:before="0" w:after="160" w:line="360" w:lineRule="auto"/>
      </w:pPr>
      <w:r>
        <w:rPr>
          <w:rFonts w:ascii="宋体" w:hAnsi="宋体" w:eastAsia="宋体"/>
          <w:b w:val="0"/>
          <w:color w:val="1A1A1A"/>
          <w:sz w:val="21"/>
        </w:rPr>
        <w:t>#/policy?age=… 会被当成不存在的页面掉回首页，原因是路由取页名时没剥离查询串。改为按 ? 截断（app.js:1272），并补了 hashchange 监听，进页面后再改参数也会重算。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2. 发布漏文件。</w:t>
      </w:r>
    </w:p>
    <w:p>
      <w:pPr>
        <w:spacing w:before="0" w:after="160" w:line="360" w:lineRule="auto"/>
      </w:pPr>
      <w:r>
        <w:rPr>
          <w:rFonts w:ascii="宋体" w:hAnsi="宋体" w:eastAsia="宋体"/>
          <w:b w:val="0"/>
          <w:color w:val="1A1A1A"/>
          <w:sz w:val="21"/>
        </w:rPr>
        <w:t>deploy_github.py 的白名单只有 app_data.js 和 tianjin_geo.js，新加的 policy_data.js 没进白名单，线上直接 404。已补进白名单。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3. 发布中断。</w:t>
      </w:r>
    </w:p>
    <w:p>
      <w:pPr>
        <w:spacing w:before="0" w:after="160" w:line="360" w:lineRule="auto"/>
      </w:pPr>
      <w:r>
        <w:rPr>
          <w:rFonts w:ascii="宋体" w:hAnsi="宋体" w:eastAsia="宋体"/>
          <w:b w:val="0"/>
          <w:color w:val="1A1A1A"/>
          <w:sz w:val="21"/>
        </w:rPr>
        <w:t>GitHub API 偶发 SSLEOFError，中途失败会让线上引用到还没上传的文件。现在发布一律重试到出现「已更新 GitHub Pages」为止。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4. 说明弹窗五宫格。</w:t>
      </w:r>
    </w:p>
    <w:p>
      <w:pPr>
        <w:spacing w:before="0" w:after="160" w:line="360" w:lineRule="auto"/>
      </w:pPr>
      <w:r>
        <w:rPr>
          <w:rFonts w:ascii="宋体" w:hAnsi="宋体" w:eastAsia="宋体"/>
          <w:b w:val="0"/>
          <w:color w:val="1A1A1A"/>
          <w:sz w:val="21"/>
        </w:rPr>
        <w:t>5 张卡在 2 列网格里最后一张只剩半格，加了 last-child 规则让它整行。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五、数据积累（不在站点上，但今天做完的）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天津统计年鉴 2020—2025 全量：抓取 6 年目录（377—397 条/年），筛出人口篇、卫生与社会服务篇、各区基本情况篇，下载 303 张表格图，0 失败，按年存放在 data/raw/ 下，索引见 年鉴_索引.md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养老服务综合体名单：市民政局 16 个区 PDF 全部下载（扫描件，已确认可渲染读取），字段含运营方与“暂停运营”状态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政策原文核对：高龄津贴、困难两项补贴、长护险三份口径全部追到政府网站原文，二手转述只作线索</w:t>
      </w:r>
    </w:p>
    <w:p>
      <w:pPr>
        <w:spacing w:before="8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这三块是后面做时间序列与设施标签的地基，站点上没有新增页面，所以不增加体积（data/raw 不在发布白名单里）。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六、演讲时的五分钟动线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开场 · 30 秒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一句话说清这不是服务目录：“它回答的是‘哪里缺’和‘谁能领’，不是‘今天哪家开门’”。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A 面 · 1 分钟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进资源体检，指出河北区老龄化率最高、河西区每万人助餐最少，说明总量够不等于家门口够。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B 面 · 1 分钟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进附近服务，随手点一个区，指着点位下的“来源 + 未人工核实”说明数据边界；再点一页纸，展示可交付的产物。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C 面 · 1.5 分钟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进政策自查，选 80—89 岁 / 最低生活保障对象 / 中度依赖，展示三张卡的判定与金额，指出符合条件的会告诉你带什么材料、去哪儿办。</w:t>
      </w:r>
    </w:p>
    <w:p>
      <w:pPr>
        <w:keepNext/>
        <w:spacing w:before="120" w:after="20" w:line="360" w:lineRule="auto"/>
      </w:pPr>
      <w:r>
        <w:rPr>
          <w:rFonts w:ascii="微软雅黑" w:hAnsi="微软雅黑" w:eastAsia="微软雅黑"/>
          <w:b/>
          <w:color w:val="1A1A1A"/>
          <w:sz w:val="21"/>
        </w:rPr>
        <w:t>收尾 · 30 秒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color w:val="1A1A1A"/>
          <w:sz w:val="21"/>
        </w:rPr>
        <w:t>回到首页的“能答什么 / 答不了什么”，主动承认边界，这一屏就是答辩的护城河。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七、今天之后仍缺什么（诚实清单）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分区 60+ 人口仍是 2020 七普：年鉴只有全市口径的年龄分组，分区 2024 年的 60+ 需要另找来源，或用 65+ 家庭户推算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设施标签没有公开数据：无障碍、康复室、是否收失能这类信息官方查不到；官方可查的只有床位数、护理型床位、是否内设医疗机构、星级、运营状态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点位未人工核实：3202 条全部来自公开名单，营业状态与价格以电话确认为准</w:t>
      </w:r>
    </w:p>
    <w:p>
      <w:pPr>
        <w:spacing w:after="60" w:line="360" w:lineRule="auto"/>
        <w:ind w:left="540" w:hanging="180"/>
      </w:pPr>
      <w:r>
        <w:rPr>
          <w:rFonts w:ascii="宋体" w:hAnsi="宋体" w:eastAsia="宋体"/>
          <w:b w:val="0"/>
          <w:color w:val="5A6268"/>
          <w:sz w:val="21"/>
        </w:rPr>
        <w:t xml:space="preserve">· </w:t>
      </w:r>
      <w:r>
        <w:rPr>
          <w:rFonts w:ascii="宋体" w:hAnsi="宋体" w:eastAsia="宋体"/>
          <w:b w:val="0"/>
          <w:color w:val="1A1A1A"/>
          <w:sz w:val="21"/>
        </w:rPr>
        <w:t>长护险口径正在变：2026 年 8 月市里已发布“全面建立”的征求意见稿，页面已注明“以市医保局最新口径为准”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color w:val="1A1A1A"/>
          <w:sz w:val="30"/>
        </w:rPr>
        <w:t>八、版本号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8D2"/>
          <w:left w:val="single" w:sz="4" w:space="0" w:color="D8D8D2"/>
          <w:bottom w:val="single" w:sz="4" w:space="0" w:color="D8D8D2"/>
          <w:right w:val="single" w:sz="4" w:space="0" w:color="D8D8D2"/>
          <w:insideH w:val="single" w:sz="4" w:space="0" w:color="D8D8D2"/>
          <w:insideV w:val="single" w:sz="4" w:space="0" w:color="D8D8D2"/>
        </w:tblBorders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3061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版本</w:t>
            </w:r>
          </w:p>
        </w:tc>
        <w:tc>
          <w:tcPr>
            <w:tcW w:type="dxa" w:w="3061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文件</w:t>
            </w:r>
          </w:p>
        </w:tc>
        <w:tc>
          <w:tcPr>
            <w:tcW w:type="dxa" w:w="1134"/>
            <w:shd w:val="clear" w:color="auto" w:fill="F1F1EC"/>
          </w:tcPr>
          <w:p>
            <w:pPr>
              <w:keepNext/>
              <w:spacing w:before="60" w:after="60" w:line="276" w:lineRule="auto"/>
            </w:pPr>
            <w:r>
              <w:rPr>
                <w:rFonts w:ascii="微软雅黑" w:hAnsi="微软雅黑" w:eastAsia="微软雅黑"/>
                <w:b/>
                <w:color w:val="333A40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css/style.css</w:t>
            </w:r>
          </w:p>
        </w:tc>
        <w:tc>
          <w:tcPr>
            <w:tcW w:type="dxa" w:w="113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v=33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js/ui.js</w:t>
            </w:r>
          </w:p>
        </w:tc>
        <w:tc>
          <w:tcPr>
            <w:tcW w:type="dxa" w:w="113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v=5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css/print.css</w:t>
            </w:r>
          </w:p>
        </w:tc>
        <w:tc>
          <w:tcPr>
            <w:tcW w:type="dxa" w:w="113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v=1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data/policy_data.js</w:t>
            </w:r>
          </w:p>
        </w:tc>
        <w:tc>
          <w:tcPr>
            <w:tcW w:type="dxa" w:w="113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v=1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js/app.js</w:t>
            </w:r>
          </w:p>
        </w:tc>
        <w:tc>
          <w:tcPr>
            <w:tcW w:type="dxa" w:w="113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v=30</w:t>
            </w:r>
          </w:p>
        </w:tc>
        <w:tc>
          <w:tcPr>
            <w:tcW w:type="dxa" w:w="3061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data/app_data.js</w:t>
            </w:r>
          </w:p>
        </w:tc>
        <w:tc>
          <w:tcPr>
            <w:tcW w:type="dxa" w:w="1134"/>
          </w:tcPr>
          <w:p>
            <w:pPr>
              <w:keepNext/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v=13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js/policy.js</w:t>
            </w:r>
          </w:p>
        </w:tc>
        <w:tc>
          <w:tcPr>
            <w:tcW w:type="dxa" w:w="1134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v=2</w:t>
            </w:r>
          </w:p>
        </w:tc>
        <w:tc>
          <w:tcPr>
            <w:tcW w:type="dxa" w:w="3061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data/tianjin_geo.js</w:t>
            </w:r>
          </w:p>
        </w:tc>
        <w:tc>
          <w:tcPr>
            <w:tcW w:type="dxa" w:w="1134"/>
          </w:tcPr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 w:val="0"/>
                <w:color w:val="1A1A1A"/>
                <w:sz w:val="19"/>
              </w:rPr>
              <w:t>v=11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A6268"/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