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7B2C9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AB5C72">
        <w:rPr>
          <w:rFonts w:eastAsia="Calibri"/>
          <w:b/>
          <w:smallCaps/>
          <w:color w:val="5A5A5A"/>
          <w:szCs w:val="22"/>
        </w:rPr>
        <w:t>Appendix B</w:t>
      </w:r>
    </w:p>
    <w:p w14:paraId="50526F4F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AB5C72">
        <w:rPr>
          <w:rFonts w:eastAsia="Calibri"/>
          <w:b/>
          <w:smallCaps/>
          <w:color w:val="5A5A5A"/>
          <w:szCs w:val="22"/>
        </w:rPr>
        <w:t>Introduction to Judicial Analytics Exercise</w:t>
      </w:r>
    </w:p>
    <w:p w14:paraId="0584FC93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AB5C72">
        <w:rPr>
          <w:rFonts w:eastAsia="Calibri"/>
          <w:szCs w:val="24"/>
          <w:u w:val="single"/>
        </w:rPr>
        <w:t>Student Directions</w:t>
      </w:r>
      <w:r w:rsidRPr="00AB5C72">
        <w:rPr>
          <w:rFonts w:eastAsia="Calibri"/>
          <w:szCs w:val="24"/>
        </w:rPr>
        <w:t xml:space="preserve">:  Using the Lexis Advance research platform, answer the questions below. </w:t>
      </w:r>
    </w:p>
    <w:p w14:paraId="59DA42D5" w14:textId="77777777" w:rsidR="00721343" w:rsidRPr="00AB5C72" w:rsidRDefault="00721343" w:rsidP="00721343">
      <w:pPr>
        <w:widowControl/>
        <w:numPr>
          <w:ilvl w:val="0"/>
          <w:numId w:val="1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>Find the decision by the Federal Circuit Court of Appeals from October 7, 2016 in a patent case between Apple and Samsung involving smartphone technology. What is the citation?</w:t>
      </w:r>
    </w:p>
    <w:p w14:paraId="2542BE65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 </w:t>
      </w:r>
    </w:p>
    <w:p w14:paraId="0C8EFA71" w14:textId="77777777" w:rsidR="00721343" w:rsidRPr="00AB5C72" w:rsidRDefault="00721343" w:rsidP="00721343">
      <w:pPr>
        <w:widowControl/>
        <w:numPr>
          <w:ilvl w:val="0"/>
          <w:numId w:val="1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This was an appeal from a trial court decision out of the United States District Court for the Northern District of California. Which federal trial court </w:t>
      </w:r>
      <w:r w:rsidRPr="001203D4">
        <w:rPr>
          <w:rFonts w:eastAsia="Calibri"/>
          <w:szCs w:val="24"/>
        </w:rPr>
        <w:t>decided</w:t>
      </w:r>
      <w:r>
        <w:rPr>
          <w:rFonts w:eastAsia="Calibri"/>
          <w:szCs w:val="24"/>
        </w:rPr>
        <w:t xml:space="preserve"> the case</w:t>
      </w:r>
      <w:r w:rsidRPr="00AB5C72">
        <w:rPr>
          <w:rFonts w:eastAsia="Calibri"/>
          <w:szCs w:val="24"/>
        </w:rPr>
        <w:t>?</w:t>
      </w:r>
    </w:p>
    <w:p w14:paraId="642A7B0B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4CBF4577" w14:textId="77777777" w:rsidR="00721343" w:rsidRPr="00AB5C72" w:rsidRDefault="00721343" w:rsidP="00721343">
      <w:pPr>
        <w:widowControl/>
        <w:numPr>
          <w:ilvl w:val="0"/>
          <w:numId w:val="1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Locate the </w:t>
      </w:r>
      <w:r w:rsidRPr="00AB5C72">
        <w:rPr>
          <w:rFonts w:eastAsia="Calibri"/>
          <w:i/>
          <w:szCs w:val="24"/>
        </w:rPr>
        <w:t>Legal Analytics</w:t>
      </w:r>
      <w:r w:rsidRPr="00AB5C72">
        <w:rPr>
          <w:rFonts w:eastAsia="Calibri"/>
          <w:szCs w:val="24"/>
        </w:rPr>
        <w:t xml:space="preserve"> option at the bottom of the right-hand column on Lexis</w:t>
      </w:r>
      <w:proofErr w:type="gramStart"/>
      <w:r w:rsidRPr="00AB5C72">
        <w:rPr>
          <w:rFonts w:eastAsia="Calibri"/>
          <w:szCs w:val="24"/>
        </w:rPr>
        <w:t xml:space="preserve">.  </w:t>
      </w:r>
      <w:proofErr w:type="gramEnd"/>
      <w:r w:rsidRPr="00AB5C72">
        <w:rPr>
          <w:rFonts w:eastAsia="Calibri"/>
          <w:szCs w:val="24"/>
        </w:rPr>
        <w:t xml:space="preserve">Click on the federal trial court judge you named in response to question #2 above. </w:t>
      </w:r>
    </w:p>
    <w:p w14:paraId="60D8B25B" w14:textId="77777777" w:rsidR="00721343" w:rsidRPr="00AB5C72" w:rsidRDefault="00721343" w:rsidP="00721343">
      <w:pPr>
        <w:widowControl/>
        <w:numPr>
          <w:ilvl w:val="0"/>
          <w:numId w:val="2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>How long has this judge been on the federal bench?</w:t>
      </w:r>
    </w:p>
    <w:p w14:paraId="743F3BE0" w14:textId="77777777" w:rsidR="00721343" w:rsidRPr="00AB5C72" w:rsidRDefault="00721343" w:rsidP="00721343">
      <w:pPr>
        <w:widowControl/>
        <w:spacing w:after="160" w:line="259" w:lineRule="auto"/>
        <w:ind w:left="1080" w:firstLine="0"/>
        <w:jc w:val="left"/>
        <w:rPr>
          <w:rFonts w:eastAsia="Calibri"/>
          <w:szCs w:val="24"/>
        </w:rPr>
      </w:pPr>
    </w:p>
    <w:p w14:paraId="38E8F304" w14:textId="77777777" w:rsidR="00721343" w:rsidRPr="00AB5C72" w:rsidRDefault="00721343" w:rsidP="00721343">
      <w:pPr>
        <w:widowControl/>
        <w:numPr>
          <w:ilvl w:val="0"/>
          <w:numId w:val="2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On average, about how long do this judge’s patent cases in California take from start to “finish”? </w:t>
      </w:r>
    </w:p>
    <w:p w14:paraId="5BBFB6FE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64DC269B" w14:textId="77777777" w:rsidR="00721343" w:rsidRPr="00AB5C72" w:rsidRDefault="00721343" w:rsidP="00721343">
      <w:pPr>
        <w:widowControl/>
        <w:numPr>
          <w:ilvl w:val="0"/>
          <w:numId w:val="2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Is that timing longer or shorter compared to copyright cases before this judge? </w:t>
      </w:r>
    </w:p>
    <w:p w14:paraId="6CC1FD92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6929AE24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7F0A8EB0" w14:textId="77777777" w:rsidR="00721343" w:rsidRPr="00AB5C72" w:rsidRDefault="00721343" w:rsidP="00721343">
      <w:pPr>
        <w:widowControl/>
        <w:numPr>
          <w:ilvl w:val="0"/>
          <w:numId w:val="2"/>
        </w:numPr>
        <w:spacing w:after="160" w:line="259" w:lineRule="auto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</w:rPr>
        <w:t xml:space="preserve">Suppose your client is involved in more patent litigation before this trial court </w:t>
      </w:r>
      <w:proofErr w:type="gramStart"/>
      <w:r w:rsidRPr="00AB5C72">
        <w:rPr>
          <w:rFonts w:eastAsia="Calibri"/>
          <w:szCs w:val="24"/>
        </w:rPr>
        <w:t>judge, and</w:t>
      </w:r>
      <w:proofErr w:type="gramEnd"/>
      <w:r w:rsidRPr="00AB5C72">
        <w:rPr>
          <w:rFonts w:eastAsia="Calibri"/>
          <w:szCs w:val="24"/>
        </w:rPr>
        <w:t xml:space="preserve"> concerned about the cost of lengthy proceedings.  How many of the patent cases reached the “claim construction” phase? </w:t>
      </w:r>
    </w:p>
    <w:p w14:paraId="5311008E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4E4F22EC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4CFBA1AF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zCs w:val="24"/>
          <w:u w:val="single"/>
        </w:rPr>
      </w:pPr>
    </w:p>
    <w:p w14:paraId="6C768A44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 w:val="20"/>
          <w:szCs w:val="22"/>
        </w:rPr>
      </w:pPr>
    </w:p>
    <w:p w14:paraId="2606EC3B" w14:textId="77777777" w:rsidR="00147E1B" w:rsidRDefault="00147E1B" w:rsidP="00223BA5">
      <w:pPr>
        <w:ind w:firstLine="0"/>
      </w:pPr>
      <w:bookmarkStart w:id="0" w:name="_GoBack"/>
      <w:bookmarkEnd w:id="0"/>
    </w:p>
    <w:sectPr w:rsidR="00147E1B" w:rsidSect="006F4F81">
      <w:pgSz w:w="12240" w:h="15840" w:code="1"/>
      <w:pgMar w:top="2016" w:right="1440" w:bottom="2016" w:left="1440" w:header="1512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761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6F23"/>
    <w:multiLevelType w:val="hybridMultilevel"/>
    <w:tmpl w:val="ABBC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749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47B"/>
    <w:multiLevelType w:val="hybridMultilevel"/>
    <w:tmpl w:val="836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D49"/>
    <w:multiLevelType w:val="hybridMultilevel"/>
    <w:tmpl w:val="7D0A8F84"/>
    <w:lvl w:ilvl="0" w:tplc="5B844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43"/>
    <w:rsid w:val="00040391"/>
    <w:rsid w:val="00147E1B"/>
    <w:rsid w:val="00223BA5"/>
    <w:rsid w:val="0072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967"/>
  <w15:chartTrackingRefBased/>
  <w15:docId w15:val="{596869CC-3392-4C1A-9387-60DAA73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43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34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213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1343"/>
    <w:pPr>
      <w:widowControl/>
      <w:spacing w:before="100" w:beforeAutospacing="1" w:after="100" w:afterAutospacing="1"/>
      <w:ind w:firstLine="0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721343"/>
    <w:pPr>
      <w:widowControl/>
      <w:ind w:left="720" w:firstLine="0"/>
      <w:contextualSpacing/>
      <w:jc w:val="left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Dyane</dc:creator>
  <cp:keywords/>
  <dc:description/>
  <cp:lastModifiedBy>Dyane</cp:lastModifiedBy>
  <cp:revision>2</cp:revision>
  <dcterms:created xsi:type="dcterms:W3CDTF">2020-08-05T15:02:00Z</dcterms:created>
  <dcterms:modified xsi:type="dcterms:W3CDTF">2020-08-05T15:02:00Z</dcterms:modified>
</cp:coreProperties>
</file>