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Grid"/>
        <w:tblW w:w="1079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firstRow="1" w:noVBand="1" w:lastRow="0" w:firstColumn="1" w:lastColumn="0" w:noHBand="0" w:val="04a0"/>
      </w:tblPr>
      <w:tblGrid>
        <w:gridCol w:w="10790"/>
      </w:tblGrid>
      <w:tr>
        <w:trPr/>
        <w:tc>
          <w:tcPr>
            <w:tcW w:w="10790" w:type="dxa"/>
            <w:tcBorders/>
            <w:shd w:color="auto" w:fill="17406D" w:themeFill="text2" w:val="clear"/>
          </w:tcPr>
          <w:p>
            <w:pPr>
              <w:pStyle w:val="Title"/>
              <w:spacing w:before="0" w:after="0"/>
              <w:jc w:val="center"/>
              <w:rPr/>
            </w:pPr>
            <w:r>
              <w:rPr>
                <w:color w:val="FFFFFF" w:themeColor="background1"/>
              </w:rPr>
              <w:t>{{ in</w:t>
            </w:r>
            <w:bookmarkStart w:id="0" w:name="__DdeLink__108_632511940"/>
            <w:r>
              <w:rPr>
                <w:color w:val="FFFFFF" w:themeColor="background1"/>
              </w:rPr>
              <w:t>terview_metadata[‘title’]</w:t>
            </w:r>
            <w:bookmarkEnd w:id="0"/>
            <w:r>
              <w:rPr>
                <w:color w:val="FFFFFF" w:themeColor="background1"/>
              </w:rPr>
              <w:t xml:space="preserve"> }}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Congratulations {{ users }}! You have finished all the forms you need to {{ interview_short_title }}. The rest of the pages in this packet are the forms for your {{ interview.title }} with </w:t>
      </w:r>
      <w:r>
        <w:rPr>
          <w:b/>
        </w:rPr>
        <w:t>{{ other_parties }}</w:t>
      </w:r>
      <w:r>
        <w:rPr/>
        <w:t>.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start="1" w:fmt="decimal"/>
          <w:formProt w:val="false"/>
          <w:titlePg/>
          <w:textDirection w:val="lrTb"/>
          <w:docGrid w:type="default" w:linePitch="326" w:charSpace="0"/>
        </w:sectPr>
      </w:pPr>
    </w:p>
    <w:p>
      <w:pPr>
        <w:pStyle w:val="Heading2"/>
        <w:rPr/>
      </w:pPr>
      <w:bookmarkStart w:id="1" w:name="_yntzxzfdh9ya"/>
      <w:bookmarkEnd w:id="1"/>
      <w:r>
        <w:rPr/>
        <w:t>Next steps</w:t>
      </w:r>
    </w:p>
    <w:p>
      <w:pPr>
        <w:pStyle w:val="ListParagraph"/>
        <w:numPr>
          <w:ilvl w:val="0"/>
          <w:numId w:val="1"/>
        </w:numPr>
        <w:snapToGrid w:val="false"/>
        <w:spacing w:before="0" w:after="8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 {{ other_parties }}.</w:t>
      </w:r>
    </w:p>
    <w:p>
      <w:pPr>
        <w:pStyle w:val="ListParagraph"/>
        <w:numPr>
          <w:ilvl w:val="0"/>
          <w:numId w:val="1"/>
        </w:numPr>
        <w:snapToGrid w:val="false"/>
        <w:spacing w:before="0" w:after="80"/>
        <w:rPr>
          <w:b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>
      <w:pPr>
        <w:pStyle w:val="ListParagraph"/>
        <w:numPr>
          <w:ilvl w:val="0"/>
          <w:numId w:val="1"/>
        </w:numPr>
        <w:snapToGrid w:val="false"/>
        <w:spacing w:before="0" w:after="8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>
        <w:rPr>
          <w:b/>
        </w:rPr>
        <w:t>{{ other_parties }}</w:t>
      </w:r>
      <w:r>
        <w:rPr/>
        <w:t>.</w:t>
      </w:r>
    </w:p>
    <w:p>
      <w:pPr>
        <w:pStyle w:val="Heading2"/>
        <w:rPr/>
      </w:pPr>
      <w:bookmarkStart w:id="2" w:name="_4szgtqe6ov1h"/>
      <w:bookmarkEnd w:id="2"/>
      <w:r>
        <w:rPr/>
        <w:t>To deliver this form</w:t>
      </w:r>
    </w:p>
    <w:p>
      <w:pPr>
        <w:pStyle w:val="NumberedList"/>
        <w:numPr>
          <w:ilvl w:val="0"/>
          <w:numId w:val="3"/>
        </w:numPr>
        <w:rPr/>
      </w:pPr>
      <w:r>
        <w:rPr/>
        <w:t xml:space="preserve">Look over the forms below, one more time. Make sure everything is correct. </w:t>
      </w:r>
    </w:p>
    <w:p>
      <w:pPr>
        <w:pStyle w:val="NumberedList"/>
        <w:numPr>
          <w:ilvl w:val="0"/>
          <w:numId w:val="3"/>
        </w:numPr>
        <w:rPr/>
      </w:pPr>
      <w:r>
        <w:rPr/>
        <w:t>Deliver a copy of this form by doing XYZ.</w:t>
      </w:r>
    </w:p>
    <w:p>
      <w:pPr>
        <w:pStyle w:val="Heading2"/>
        <w:rPr/>
      </w:pPr>
      <w:bookmarkStart w:id="3" w:name="_GoBack"/>
      <w:bookmarkStart w:id="4" w:name="_7jbtnvplu76"/>
      <w:bookmarkEnd w:id="3"/>
      <w:bookmarkEnd w:id="4"/>
      <w:r>
        <w:rPr/>
        <w:t>What can {{ other_parties }} do?</w:t>
      </w:r>
    </w:p>
    <w:p>
      <w:pPr>
        <w:pStyle w:val="Normal"/>
        <w:rPr/>
      </w:pPr>
      <w:r>
        <w:rPr>
          <w:b/>
        </w:rPr>
        <w:t>{{ other_parties }}</w:t>
      </w:r>
      <w:r>
        <w:rPr/>
        <w:t xml:space="preserve"> can do one of three things:</w:t>
      </w:r>
    </w:p>
    <w:p>
      <w:pPr>
        <w:pStyle w:val="NumberedList"/>
        <w:numPr>
          <w:ilvl w:val="0"/>
          <w:numId w:val="2"/>
        </w:numPr>
        <w:rPr/>
      </w:pPr>
      <w:r>
        <w:rPr/>
        <w:t xml:space="preserve">. </w:t>
      </w:r>
    </w:p>
    <w:p>
      <w:pPr>
        <w:pStyle w:val="NumberedList"/>
        <w:numPr>
          <w:ilvl w:val="0"/>
          <w:numId w:val="2"/>
        </w:numPr>
        <w:rPr/>
      </w:pPr>
      <w:r>
        <w:rPr/>
        <w:t>.</w:t>
      </w:r>
      <w:bookmarkStart w:id="5" w:name="_eim2ht2zskaf"/>
      <w:bookmarkEnd w:id="5"/>
    </w:p>
    <w:p>
      <w:pPr>
        <w:pStyle w:val="NumberedList"/>
        <w:numPr>
          <w:ilvl w:val="0"/>
          <w:numId w:val="2"/>
        </w:numPr>
        <w:rPr/>
      </w:pPr>
      <w:r>
        <w:rPr/>
        <w:t>.</w:t>
      </w:r>
    </w:p>
    <w:p>
      <w:pPr>
        <w:pStyle w:val="Heading2"/>
        <w:rPr/>
      </w:pPr>
      <w:r>
        <w:rPr/>
        <w:t xml:space="preserve">What happens after </w:t>
      </w:r>
      <w:r>
        <w:rPr>
          <w:b w:val="false"/>
        </w:rPr>
        <w:t>{{ other_parties }}</w:t>
      </w:r>
      <w:r>
        <w:rPr/>
        <w:t xml:space="preserve"> makes a decision?</w:t>
      </w:r>
    </w:p>
    <w:p>
      <w:pPr>
        <w:pStyle w:val="NumberedList"/>
        <w:numPr>
          <w:ilvl w:val="0"/>
          <w:numId w:val="4"/>
        </w:numPr>
        <w:rPr/>
      </w:pPr>
      <w:r>
        <w:rPr/>
        <w:t>.</w:t>
      </w:r>
    </w:p>
    <w:p>
      <w:pPr>
        <w:pStyle w:val="NumberedList"/>
        <w:numPr>
          <w:ilvl w:val="0"/>
          <w:numId w:val="4"/>
        </w:numPr>
        <w:rPr/>
      </w:pPr>
      <w:r>
        <w:rPr/>
        <w:t>.</w:t>
      </w:r>
    </w:p>
    <w:p>
      <w:pPr>
        <w:pStyle w:val="NumberedList"/>
        <w:numPr>
          <w:ilvl w:val="0"/>
          <w:numId w:val="4"/>
        </w:numPr>
        <w:rPr/>
      </w:pPr>
      <w:r>
        <w:rPr/>
        <w:t xml:space="preserve">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Read </w:t>
      </w:r>
      <w:r>
        <w:rPr/>
        <w:t>the response as soon as you get it. If you have questions, [ Your local legal aid] may be able to help you more.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26" w:charSpace="0"/>
        </w:sectPr>
      </w:pPr>
    </w:p>
    <w:p>
      <w:pPr>
        <w:pStyle w:val="Normal"/>
        <w:rPr/>
      </w:pPr>
      <w:r>
        <w:rPr/>
      </w:r>
      <w:bookmarkStart w:id="6" w:name="_wjzvjugefec1"/>
      <w:bookmarkStart w:id="7" w:name="_jpvqkqfibwqh"/>
      <w:bookmarkStart w:id="8" w:name="_wjzvjugefec1"/>
      <w:bookmarkStart w:id="9" w:name="_jpvqkqfibwqh"/>
      <w:bookmarkEnd w:id="8"/>
      <w:bookmarkEnd w:id="9"/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26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8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02535453">
                <wp:simplePos x="0" y="0"/>
                <wp:positionH relativeFrom="column">
                  <wp:posOffset>-12700</wp:posOffset>
                </wp:positionH>
                <wp:positionV relativeFrom="paragraph">
                  <wp:posOffset>38100</wp:posOffset>
                </wp:positionV>
                <wp:extent cx="6854190" cy="761365"/>
                <wp:effectExtent l="0" t="0" r="17145" b="14605"/>
                <wp:wrapNone/>
                <wp:docPr id="1" name="Rounded 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680" cy="76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48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Find out more about what to do : </w:t>
                            </w:r>
                          </w:p>
                          <w:p>
                            <w:pPr>
                              <w:pStyle w:val="FrameContents"/>
                              <w:spacing w:before="0" w:after="8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82880" rIns="182880" tIns="182880" bIns="18288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Segoe UI">
    <w:charset w:val="01"/>
    <w:family w:val="swiss"/>
    <w:pitch w:val="default"/>
  </w:font>
  <w:font w:name="Courier New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7a36"/>
    <w:pPr>
      <w:widowControl/>
      <w:bidi w:val="0"/>
      <w:spacing w:before="0" w:after="8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lineRule="auto" w:line="360" w:before="60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lineRule="auto" w:line="360" w:before="28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lineRule="auto" w:line="360" w:before="280" w:after="0"/>
      <w:outlineLvl w:val="4"/>
    </w:pPr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lineRule="auto" w:line="360" w:before="280" w:after="80"/>
      <w:outlineLvl w:val="5"/>
    </w:pPr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lineRule="auto" w:line="360" w:before="280" w:after="0"/>
      <w:outlineLvl w:val="6"/>
    </w:pPr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lineRule="auto" w:line="360" w:before="280" w:after="0"/>
      <w:outlineLvl w:val="7"/>
    </w:pPr>
    <w:rPr>
      <w:rFonts w:ascii="Arial" w:hAnsi="Arial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lineRule="auto" w:line="360" w:before="28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334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3345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628b2"/>
    <w:rPr>
      <w:rFonts w:ascii="Arial" w:hAnsi="Arial" w:eastAsia="" w:cs="" w:asciiTheme="majorHAnsi" w:cstheme="majorBidi" w:eastAsiaTheme="majorEastAsia" w:hAnsiTheme="majorHAnsi"/>
      <w:b/>
      <w:bCs/>
      <w:color w:val="0074F1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721ae"/>
    <w:rPr>
      <w:rFonts w:ascii="Arial" w:hAnsi="Arial" w:eastAsia="" w:cs="" w:asciiTheme="majorHAnsi" w:cstheme="majorBidi" w:eastAsiaTheme="majorEastAsia" w:hAnsiTheme="majorHAnsi"/>
      <w:b/>
      <w:bCs/>
      <w:sz w:val="21"/>
      <w:szCs w:val="2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57d00"/>
    <w:rPr>
      <w:rFonts w:ascii="Arial" w:hAnsi="Arial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f47a36"/>
    <w:rPr>
      <w:rFonts w:ascii="Arial" w:hAnsi="Arial" w:eastAsia="" w:cs="" w:asciiTheme="majorHAnsi" w:cstheme="majorBidi" w:eastAsiaTheme="majorEastAsia" w:hAnsiTheme="majorHAnsi"/>
      <w:b/>
      <w:bCs/>
      <w:color w:val="002E63"/>
      <w:spacing w:val="10"/>
      <w:sz w:val="36"/>
      <w:szCs w:val="3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8587f"/>
    <w:rPr/>
  </w:style>
  <w:style w:type="character" w:styleId="QuoteChar" w:customStyle="1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57d00"/>
    <w:rPr>
      <w:rFonts w:ascii="Arial" w:hAnsi="Arial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="Arial" w:hAnsi="Arial" w:eastAsia="" w:cs="" w:asciiTheme="majorHAnsi" w:cstheme="majorBidi" w:eastAsiaTheme="majorEastAsia" w:hAnsiTheme="majorHAnsi"/>
      <w:b/>
      <w:bCs/>
      <w:smallCaps/>
      <w:color w:val="auto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b3823"/>
    <w:rPr>
      <w:rFonts w:ascii="Courier New" w:hAnsi="Courier New" w:eastAsia="Times New Roman" w:cs="Courier New"/>
      <w:sz w:val="20"/>
      <w:szCs w:val="20"/>
      <w:lang w:val="en-US"/>
    </w:rPr>
  </w:style>
  <w:style w:type="character" w:styleId="L" w:customStyle="1">
    <w:name w:val="l"/>
    <w:basedOn w:val="DefaultParagraphFont"/>
    <w:qFormat/>
    <w:rsid w:val="00ab382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pPr/>
    <w:rPr>
      <w:rFonts w:ascii="Arial" w:hAnsi="Arial" w:eastAsia="" w:cs="" w:asciiTheme="majorHAnsi" w:cstheme="majorBidi" w:eastAsiaTheme="majorEastAsia" w:hAnsiTheme="majorHAns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before="0" w:after="320"/>
    </w:pPr>
    <w:rPr>
      <w:color w:val="000000" w:themeColor="text1"/>
      <w:spacing w:val="10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957d00"/>
    <w:pPr>
      <w:spacing w:before="0" w:after="8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957d00"/>
    <w:pPr/>
    <w:rPr>
      <w:b/>
      <w:bCs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before="0" w:after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57d00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 w:hanging="0"/>
      <w:jc w:val="center"/>
    </w:pPr>
    <w:rPr>
      <w:rFonts w:ascii="Arial" w:hAnsi="Arial" w:eastAsia="" w:cs="" w:asciiTheme="majorHAnsi" w:cstheme="majorBidi" w:eastAsiaTheme="majorEastAsia" w:hAnsiTheme="majorHAns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  <w:pPr/>
    <w:rPr/>
  </w:style>
  <w:style w:type="paragraph" w:styleId="NumberedList" w:customStyle="1">
    <w:name w:val="Numbered List"/>
    <w:qFormat/>
    <w:rsid w:val="005579b7"/>
    <w:pPr>
      <w:widowControl/>
      <w:bidi w:val="0"/>
      <w:snapToGrid w:val="false"/>
      <w:spacing w:before="0" w:after="8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" w:eastAsia="en-US" w:bidi="ar-SA"/>
    </w:rPr>
  </w:style>
  <w:style w:type="paragraph" w:styleId="Notetext" w:customStyle="1">
    <w:name w:val="Note text"/>
    <w:basedOn w:val="Normal"/>
    <w:qFormat/>
    <w:rsid w:val="002279a0"/>
    <w:pPr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7614b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LibreOffice/6.3.5.2$Windows_X86_64 LibreOffice_project/dd0751754f11728f69b42ee2af66670068624673</Application>
  <Pages>1</Pages>
  <Words>164</Words>
  <Characters>687</Characters>
  <CharactersWithSpaces>824</CharactersWithSpaces>
  <Paragraphs>20</Paragraphs>
  <Company>Greater Boston Legal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2021-03-08T18:09:00Z</dcterms:created>
  <dc:creator>Steenhuis, Quinten</dc:creator>
  <dc:description/>
  <dc:language>en-US</dc:language>
  <cp:lastModifiedBy/>
  <cp:lastPrinted>2020-09-16T15:54:00Z</cp:lastPrinted>
  <dcterms:modified xsi:type="dcterms:W3CDTF">2021-04-07T16:05:16Z</dcterms:modified>
  <cp:revision>5</cp:revision>
  <dc:subject/>
  <dc:title>MassAccess – 209A Abuse Prevention Application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