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Next steps</w:t>
      </w:r>
    </w:p>
    <w:p>
      <w:r>
        <w:t>1. Review your form for accuracy. Fix any mistakes before you file.</w:t>
      </w:r>
    </w:p>
    <w:p>
      <w:r>
        <w:t>2. Sign and file the form with the Immigration Court. If your case is eligible for electronic filing, use the ECAS Case Portal at https://portal.eoir.justice.gov. You must be registered with the EOIR eRegistry to file in ECAS.</w:t>
      </w:r>
    </w:p>
    <w:p>
      <w:r>
        <w:t>3. Serve DHS if required. If you did not electronically file in ECAS with both parties participating, serve a copy on DHS and keep proof of service.</w:t>
      </w:r>
    </w:p>
    <w:p>
      <w:r>
        <w:t>4. Keep a copy for your records.</w:t>
      </w:r>
    </w:p>
    <w:p>
      <w:r>
        <w:t>What this form does</w:t>
      </w:r>
    </w:p>
    <w:p>
      <w:r>
        <w:t>Form EOIR-28 tells the Immigration Court that you represent the respondent. It allows the court to send you notices and lets you file documents on your client's behalf.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06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0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06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7406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  <w:shd w:val="clear" w:color="auto" w:fill="17406D"/>
      <w:pBdr>
        <w:top w:val="single" w:sz="48" w:space="1" w:color="17406D"/>
        <w:bottom w:val="single" w:sz="48" w:space="1" w:color="17406D"/>
      </w:pBdr>
    </w:pPr>
    <w:rPr>
      <w:rFonts w:asciiTheme="majorHAnsi" w:eastAsiaTheme="majorEastAsia" w:hAnsiTheme="majorHAnsi" w:cstheme="majorBidi"/>
      <w:b/>
      <w:color w:val="FFFFF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