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10800" w:type="dxa"/>
        <w:shd w:val="clear" w:color="auto" w:fill="17406D" w:themeFill="text2"/>
        <w:tblCellMar>
          <w:top w:w="144" w:type="dxa"/>
          <w:left w:w="115" w:type="dxa"/>
          <w:bottom w:w="144" w:type="dxa"/>
          <w:right w:w="115" w:type="dxa"/>
        </w:tblCellMar>
        <w:tblLook w:val="04A0" w:firstRow="1" w:lastRow="0" w:firstColumn="1" w:lastColumn="0" w:noHBand="0" w:noVBand="1"/>
      </w:tblPr>
      <w:tblGrid>
        <w:gridCol w:w="10800"/>
      </w:tblGrid>
      <w:tr xmlns:wp14="http://schemas.microsoft.com/office/word/2010/wordml" w:rsidR="00077979" w:rsidTr="65D35C0C" w14:paraId="57D5C27F" wp14:textId="77777777">
        <w:tc>
          <w:tcPr>
            <w:tcW w:w="9350" w:type="dxa"/>
            <w:shd w:val="clear" w:color="auto" w:fill="17406D" w:themeFill="text2"/>
            <w:tcMar/>
          </w:tcPr>
          <w:p w:rsidRPr="0097045C" w:rsidR="00077979" w:rsidP="65D35C0C" w:rsidRDefault="00077979" w14:paraId="3925A90D" wp14:textId="73236D49">
            <w:pPr>
              <w:jc w:val="center"/>
              <w:rPr>
                <w:rFonts w:cs="Arial"/>
                <w:b w:val="1"/>
                <w:bCs w:val="1"/>
                <w:sz w:val="36"/>
                <w:szCs w:val="36"/>
              </w:rPr>
            </w:pPr>
            <w:r>
              <w:rPr>
                <w:rFonts w:cs="Arial"/>
                <w:b w:val="1"/>
                <w:bCs w:val="1"/>
                <w:sz w:val="36"/>
                <w:szCs w:val="36"/>
              </w:rPr>
              <w:t>Ask the court for a complaint for emergency relief</w:t>
            </w:r>
          </w:p>
        </w:tc>
      </w:tr>
    </w:tbl>
    <w:p xmlns:wp14="http://schemas.microsoft.com/office/word/2010/wordml" w:rsidR="00077979" w:rsidP="00077979" w:rsidRDefault="00077979" w14:paraId="672A6659" wp14:textId="77777777">
      <w:pPr>
        <w:spacing w:after="80" w:line="240" w:lineRule="auto"/>
        <w:rPr>
          <w:rFonts w:eastAsia="Arial" w:cs="Arial"/>
          <w:szCs w:val="20"/>
          <w:lang w:val="en"/>
        </w:rPr>
      </w:pPr>
    </w:p>
    <w:p xmlns:wp14="http://schemas.microsoft.com/office/word/2010/wordml" w:rsidR="006B59CA" w:rsidP="006B59CA" w:rsidRDefault="006B59CA" w14:paraId="390C38B7" wp14:textId="77777777">
      <w:r>
        <w:t xml:space="preserve">Congratulations {{ users }}! You have finished all the forms you need to Ask the court for a verified complaint and request for emergency relief. The rest of the pages in this packet are your application/petition/complaint{% if other_parties.number() %}</w:t>
      </w:r>
      <w:r>
        <w:rPr>
          <w:b/>
        </w:rPr>
        <w:t xml:space="preserve"> </w:t>
      </w:r>
      <w:r>
        <w:t>in</w:t>
      </w:r>
      <w:r>
        <w:rPr>
          <w:b/>
        </w:rPr>
        <w:t xml:space="preserve"> {{ users }} v {{ other_parties }}</w:t>
      </w:r>
      <w:r>
        <w:t xml:space="preserve">{% endif %}.</w:t>
      </w:r>
    </w:p>
    <w:p xmlns:wp14="http://schemas.microsoft.com/office/word/2010/wordml" w:rsidRPr="00077979" w:rsidR="00D71A5B" w:rsidP="00077979" w:rsidRDefault="00D71A5B" w14:paraId="0A37501D" wp14:textId="77777777">
      <w:pPr>
        <w:spacing w:after="80" w:line="240" w:lineRule="auto"/>
        <w:rPr>
          <w:rFonts w:eastAsia="Arial" w:cs="Arial"/>
          <w:szCs w:val="20"/>
          <w:lang w:val="en"/>
        </w:rPr>
      </w:pPr>
    </w:p>
    <w:p xmlns:wp14="http://schemas.microsoft.com/office/word/2010/wordml" w:rsidR="00077979" w:rsidRDefault="00077979" w14:paraId="5DAB6C7B" wp14:textId="77777777">
      <w:pPr>
        <w:sectPr w:rsidR="00077979" w:rsidSect="00674A89">
          <w:footerReference w:type="default" r:id="rId7"/>
          <w:pgSz w:w="12240" w:h="15840" w:orient="portrait"/>
          <w:pgMar w:top="720" w:right="720" w:bottom="720" w:left="720" w:header="720" w:footer="720" w:gutter="0"/>
          <w:cols w:space="720"/>
          <w:titlePg/>
          <w:docGrid w:linePitch="360"/>
        </w:sectPr>
      </w:pPr>
    </w:p>
    <w:p xmlns:wp14="http://schemas.microsoft.com/office/word/2010/wordml" w:rsidR="00B5081B" w:rsidP="00B5081B" w:rsidRDefault="00B5081B" w14:paraId="2E98B61F" wp14:textId="77777777">
      <w:pPr>
        <w:pStyle w:val="Heading2"/>
      </w:pPr>
      <w:r>
        <w:t>Next steps</w:t>
      </w:r>
    </w:p>
    <w:p xmlns:wp14="http://schemas.microsoft.com/office/word/2010/wordml" w:rsidR="006B59CA" w:rsidP="006B59CA" w:rsidRDefault="006B59CA" w14:paraId="2FD3CBEF" wp14:textId="77777777">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t xml:space="preserve">application/petition/complaint with the court </w:t>
      </w:r>
      <w:r>
        <w:rPr>
          <w14:textOutline w14:w="9525" w14:cap="rnd" w14:cmpd="sng" w14:algn="ctr">
            <w14:noFill/>
            <w14:prstDash w14:val="solid"/>
            <w14:bevel/>
          </w14:textOutline>
        </w:rPr>
        <w:t>now.</w:t>
      </w:r>
    </w:p>
    <w:p xmlns:wp14="http://schemas.microsoft.com/office/word/2010/wordml" w:rsidR="006B59CA" w:rsidP="006B59CA" w:rsidRDefault="006B59CA" w14:paraId="45715636" wp14:textId="77777777">
      <w:pPr>
        <w:pStyle w:val="ListParagraph"/>
        <w:numPr>
          <w:ilvl w:val="0"/>
          <w:numId w:val="7"/>
        </w:numPr>
        <w:suppressAutoHyphens/>
        <w:snapToGrid w:val="0"/>
        <w:rPr/>
      </w:pPr>
      <w:r>
        <w:rPr>
          <w:lang w:val="en-US"/>
          <w14:textOutline w14:w="9525" w14:cap="rnd" w14:cmpd="sng" w14:algn="ctr">
            <w14:noFill/>
            <w14:prstDash w14:val="solid"/>
            <w14:bevel/>
          </w14:textOutline>
        </w:rPr>
        <w:t xml:space="preserve">Deliver a copy to {{ showifdef('other_parties[0]') }} or their attorney.</w:t>
      </w:r>
    </w:p>
    <w:p xmlns:wp14="http://schemas.microsoft.com/office/word/2010/wordml" w:rsidR="006B59CA" w:rsidP="65D35C0C" w:rsidRDefault="006B59CA" w14:paraId="7AF3A505" wp14:textId="77777777">
      <w:pPr>
        <w:pStyle w:val="ListParagraph"/>
        <w:numPr>
          <w:ilvl w:val="0"/>
          <w:numId w:val="7"/>
        </w:numPr>
        <w:suppressAutoHyphens/>
        <w:snapToGrid w:val="0"/>
        <w:rPr>
          <w:b w:val="1"/>
          <w:bCs w:val="1"/>
          <w:lang w:val="en-US"/>
          <w14:textOutline w14:w="9525" w14:cap="rnd" w14:cmpd="sng" w14:algn="ctr">
            <w14:noFill/>
            <w14:prstDash w14:val="solid"/>
            <w14:bevel/>
          </w14:textOutline>
        </w:rPr>
      </w:pPr>
      <w:r>
        <w:rPr>
          <w:b w:val="1"/>
          <w:bCs w:val="1"/>
          <w:lang w:val="en-US"/>
          <w14:textOutline w14:w="9525" w14:cap="rnd" w14:cmpd="sng" w14:algn="ctr">
            <w14:noFill/>
            <w14:prstDash w14:val="solid"/>
            <w14:bevel/>
          </w14:textOutline>
        </w:rPr>
        <w:t>Keep a copy for yourself.</w:t>
      </w:r>
    </w:p>
    <w:p xmlns:wp14="http://schemas.microsoft.com/office/word/2010/wordml" w:rsidR="006B59CA" w:rsidP="006B59CA" w:rsidRDefault="006B59CA" w14:paraId="719B9852" wp14:textId="77777777">
      <w:pPr>
        <w:pStyle w:val="ListParagraph"/>
        <w:numPr>
          <w:ilvl w:val="0"/>
          <w:numId w:val="7"/>
        </w:numPr>
        <w:suppressAutoHyphens/>
        <w:snapToGrid w:val="0"/>
        <w:rPr/>
      </w:pPr>
      <w:r>
        <w:rPr>
          <w:lang w:val="en-US"/>
          <w14:textOutline w14:w="9525" w14:cap="rnd" w14:cmpd="sng" w14:algn="ctr">
            <w14:noFill/>
            <w14:prstDash w14:val="solid"/>
            <w14:bevel/>
          </w14:textOutline>
        </w:rPr>
        <w:t>The clerk will tell you how to "go to" the hearing.</w:t>
      </w:r>
    </w:p>
    <w:p xmlns:wp14="http://schemas.microsoft.com/office/word/2010/wordml" w:rsidR="006B59CA" w:rsidP="006B59CA" w:rsidRDefault="006B59CA" w14:paraId="0EE35761" wp14:textId="77777777">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Check the order when you get it to make sure it is correct.</w:t>
      </w:r>
    </w:p>
    <w:p xmlns:wp14="http://schemas.microsoft.com/office/word/2010/wordml" w:rsidRPr="001B0529" w:rsidR="00427E5E" w:rsidP="001B0529" w:rsidRDefault="00427E5E" w14:paraId="59C48D1F" wp14:textId="77777777">
      <w:pPr>
        <w:pStyle w:val="Heading2"/>
      </w:pPr>
      <w:r>
        <w:t>To file your application right away</w:t>
      </w:r>
    </w:p>
    <w:p xmlns:wp14="http://schemas.microsoft.com/office/word/2010/wordml" w:rsidR="006B59CA" w:rsidP="006B59CA" w:rsidRDefault="006B59CA" w14:paraId="65F76600" wp14:textId="77777777">
      <w:pPr>
        <w:pStyle w:val="NumberedList"/>
        <w:numPr>
          <w:ilvl w:val="0"/>
          <w:numId w:val="8"/>
        </w:numPr>
        <w:suppressAutoHyphens/>
      </w:pPr>
      <w:r>
        <w:t xml:space="preserve">Look over the forms below, one more time. Make sure everything is correct. </w:t>
      </w:r>
    </w:p>
    <w:p xmlns:wp14="http://schemas.microsoft.com/office/word/2010/wordml" w:rsidR="006B59CA" w:rsidP="65D35C0C" w:rsidRDefault="006B59CA" w14:paraId="71D02A78" wp14:textId="20EBAA04">
      <w:pPr>
        <w:pStyle w:val="NumberedList"/>
        <w:numPr>
          <w:ilvl w:val="0"/>
          <w:numId w:val="8"/>
        </w:numPr>
        <w:suppressAutoHyphens/>
        <w:rPr>
          <w:lang w:val="en-US"/>
        </w:rPr>
      </w:pPr>
      <w:r>
        <w:rPr>
          <w:lang w:val="en-US"/>
        </w:rPr>
        <w:t xml:space="preserve">Go to {{ trial_court }} to submit the forms to the clerk.</w:t>
      </w:r>
    </w:p>
    <w:p>
      <w:r>
        <w:t xml:space="preserve">{%p if defined('trial_court.address.address') %}</w:t>
      </w:r>
    </w:p>
    <w:p>
      <w:pPr>
        <w:pStyle w:val="NumberedList"/>
        <w:numPr>
          <w:ilvl w:val="0"/>
          <w:numId w:val="8"/>
        </w:numPr>
        <w:suppressAutoHyphens/>
        <w:rPr>
          <w:lang w:val="en-US"/>
        </w:rPr>
      </w:pPr>
      <w:r>
        <w:rPr>
          <w:lang w:val="en-US"/>
        </w:rPr>
        <w:t xml:space="preserve">The address is: {{ trial_court.address.on_one_line() }}.</w:t>
      </w:r>
    </w:p>
    <w:p>
      <w:r>
        <w:t xml:space="preserve">{%p endif %}</w:t>
      </w:r>
    </w:p>
    <w:p xmlns:wp14="http://schemas.microsoft.com/office/word/2010/wordml" w:rsidR="007C0BC4" w:rsidP="007C0BC4" w:rsidRDefault="007C0BC4" w14:paraId="447BE9BF" wp14:textId="77777777">
      <w:pPr>
        <w:pStyle w:val="Heading2"/>
      </w:pPr>
      <w:r>
        <w:t>Serving the other party</w:t>
      </w:r>
    </w:p>
    <w:p xmlns:wp14="http://schemas.microsoft.com/office/word/2010/wordml" w:rsidR="007C0BC4" w:rsidP="65D35C0C" w:rsidRDefault="00AF5CD7" w14:paraId="557A8B10" wp14:textId="77777777">
      <w:pPr>
        <w:pStyle w:val="NumberedList"/>
        <w:numPr>
          <w:ilvl w:val="0"/>
          <w:numId w:val="4"/>
        </w:numPr>
        <w:rPr>
          <w:rFonts w:ascii="Arial" w:hAnsi="Arial" w:cs="Arial"/>
          <w:lang w:val="en-US"/>
        </w:rPr>
      </w:pPr>
      <w:r>
        <w:rPr>
          <w:rFonts w:ascii="Arial" w:hAnsi="Arial" w:cs="Arial"/>
          <w:lang w:val="en-US"/>
        </w:rPr>
        <w:t xml:space="preserve">{{ other_parties }} must get a copy of your complaint and any order the court gives you. The court’s order, and any order of notice or summons, must be served on {{ other_parties }} by a sheriff or constable — you cannot serve it yourself. Keep a copy of everything for your records.</w:t>
      </w:r>
    </w:p>
    <w:p>
      <w:pPr>
        <w:pStyle w:val="Heading2"/>
      </w:pPr>
      <w:r>
        <w:t xml:space="preserve">What happens after you file?</w:t>
      </w:r>
    </w:p>
    <w:p>
      <w:r>
        <w:t xml:space="preserve">After you file, a judge will review your complaint. Because this is an emergency, the judge can act quickly. The court will tell you the date, time, and place of any hearing, so watch for the court’s order and notice.</w:t>
      </w:r>
    </w:p>
    <w:p>
      <w:r>
        <w:t xml:space="preserve">{%p if showifdef("issue_tro") %}</w:t>
      </w:r>
    </w:p>
    <w:p>
      <w:r>
        <w:rPr>
          <w:b/>
        </w:rPr>
        <w:t xml:space="preserve">If you asked for a Temporary Restraining Order (TRO): </w:t>
      </w:r>
      <w:r>
        <w:t xml:space="preserve">The judge can grant a TRO even if {{ other_parties }} is not there (“ex parte”). A TRO is a short-term order that lasts no more than 10 days. If the judge grants it, the court will set a hearing within 10 days to decide whether to continue the order. {{ other_parties }} can ask the court to change or end the TRO on 2 days’ notice.</w:t>
      </w:r>
    </w:p>
    <w:p>
      <w:r>
        <w:t xml:space="preserve">{%p endif %}</w:t>
      </w:r>
    </w:p>
    <w:p>
      <w:r>
        <w:t xml:space="preserve">{%p if showifdef("request_pi") %}</w:t>
      </w:r>
    </w:p>
    <w:p>
      <w:r>
        <w:rPr>
          <w:b/>
        </w:rPr>
        <w:t xml:space="preserve">If you asked for a Preliminary Injunction: </w:t>
      </w:r>
      <w:r>
        <w:t xml:space="preserve">A preliminary injunction can last longer than a TRO — often until your case is decided. The court cannot issue one without first giving {{ other_parties }} notice and a chance to be heard, so the court will hold a hearing where both you and {{ other_parties }} can appear.</w:t>
      </w:r>
    </w:p>
    <w:p>
      <w:r>
        <w:t xml:space="preserve">{%p endif %}</w:t>
      </w:r>
    </w:p>
    <w:p>
      <w:r>
        <w:t xml:space="preserve">{%p if showifdef("issue_son") %}</w:t>
      </w:r>
    </w:p>
    <w:p>
      <w:r>
        <w:rPr>
          <w:b/>
        </w:rPr>
        <w:t xml:space="preserve">If you asked for a Short Order of Notice: </w:t>
      </w:r>
      <w:r>
        <w:t xml:space="preserve">This shortens the time {{ other_parties }} would normally get before a hearing, so the court can hear your request sooner. If the judge allows it, the court will set an earlier hearing date and tell you how and by when to notify {{ other_parties }}.</w:t>
      </w:r>
    </w:p>
    <w:p>
      <w:r>
        <w:t xml:space="preserve">{%p endif %}</w:t>
      </w:r>
    </w:p>
    <w:p>
      <w:r>
        <w:t xml:space="preserve">Before it issues an order, the court may require you to post security (a “bond”), unless it waives that requirement.</w:t>
      </w:r>
    </w:p>
    <w:p xmlns:wp14="http://schemas.microsoft.com/office/word/2010/wordml" w:rsidRPr="007C0BC4" w:rsidR="006A09E7" w:rsidP="007C0BC4" w:rsidRDefault="006A09E7" w14:paraId="6A05A809" wp14:textId="77777777"/>
    <w:sectPr w:rsidRPr="007C0BC4" w:rsidR="006A09E7" w:rsidSect="00D71A5B">
      <w:type w:val="continuous"/>
      <w:pgSz w:w="12240" w:h="15840" w:orient="portrait"/>
      <w:pgMar w:top="720" w:right="720" w:bottom="720" w:left="720" w:header="720" w:footer="720" w:gutter="0"/>
      <w:cols w:space="720" w:num="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xmlns:wp14="http://schemas.microsoft.com/office/word/2010/wordml" w:rsidR="00DA0296" w:rsidP="00674A89" w:rsidRDefault="00DA0296" w14:paraId="72A3D3EC" wp14:textId="77777777">
      <w:pPr>
        <w:spacing w:after="0" w:line="240" w:lineRule="auto"/>
      </w:pPr>
      <w:r>
        <w:separator/>
      </w:r>
    </w:p>
  </w:endnote>
  <w:endnote w:type="continuationSeparator" w:id="0">
    <w:p xmlns:wp14="http://schemas.microsoft.com/office/word/2010/wordml" w:rsidR="00DA0296" w:rsidP="00674A89" w:rsidRDefault="00DA0296" w14:paraId="0D0B940D"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p14">
  <w:p xmlns:wp14="http://schemas.microsoft.com/office/word/2010/wordml" w:rsidR="00674A89" w:rsidRDefault="00674A89" w14:paraId="25029957" wp14:textId="77777777">
    <w:pPr>
      <w:pStyle w:val="Footer"/>
    </w:pPr>
    <w:r>
      <w:rPr>
        <w:noProof/>
      </w:rPr>
      <mc:AlternateContent>
        <mc:Choice Requires="wps">
          <w:drawing>
            <wp:inline xmlns:wp14="http://schemas.microsoft.com/office/word/2010/wordprocessingDrawing" distT="0" distB="0" distL="0" distR="0" wp14:anchorId="6E0D32D0" wp14:editId="0B633985">
              <wp:extent cx="6855460" cy="806450"/>
              <wp:effectExtent l="0" t="0" r="21590" b="12700"/>
              <wp:docPr id="1" name="Rounded Rectangle 6"/>
              <wp:cNvGraphicFramePr/>
              <a:graphic xmlns:a="http://schemas.openxmlformats.org/drawingml/2006/main">
                <a:graphicData uri="http://schemas.microsoft.com/office/word/2010/wordprocessingShape">
                  <wps:wsp>
                    <wps:cNvSpPr/>
                    <wps:spPr>
                      <a:xfrm>
                        <a:off x="0" y="0"/>
                        <a:ext cx="6855460" cy="806450"/>
                      </a:xfrm>
                      <a:prstGeom prst="roundRect">
                        <a:avLst>
                          <a:gd name="adj" fmla="val 16667"/>
                        </a:avLst>
                      </a:prstGeom>
                      <a:solidFill>
                        <a:schemeClr val="bg1">
                          <a:lumMod val="95000"/>
                        </a:schemeClr>
                      </a:solidFill>
                      <a:ln w="6480">
                        <a:solidFill>
                          <a:schemeClr val="bg1">
                            <a:lumMod val="75000"/>
                          </a:schemeClr>
                        </a:solidFill>
                      </a:ln>
                      <a:effectLst>
                        <a:softEdge rad="0"/>
                      </a:effectLst>
                    </wps:spPr>
                    <wps:style>
                      <a:lnRef idx="2">
                        <a:schemeClr val="accent1">
                          <a:shade val="50000"/>
                        </a:schemeClr>
                      </a:lnRef>
                      <a:fillRef idx="1">
                        <a:schemeClr val="accent1"/>
                      </a:fillRef>
                      <a:effectRef idx="0">
                        <a:schemeClr val="accent1"/>
                      </a:effectRef>
                      <a:fontRef idx="minor"/>
                    </wps:style>
                    <wps:txbx>
                      <w:txbxContent>
                        <w:p xmlns:wp14="http://schemas.microsoft.com/office/word/2010/wordml" w:rsidRPr="00D71A5B" w:rsidR="00674A89" w:rsidP="00674A89" w:rsidRDefault="00674A89" w14:paraId="22BCBB77" wp14:textId="77777777">
                          <w:pPr>
                            <w:pStyle w:val="FrameContents"/>
                            <w:rPr>
                              <w:rFonts w:ascii="Arial" w:hAnsi="Arial" w:cs="Arial"/>
                              <w:sz w:val="22"/>
                            </w:rPr>
                          </w:pPr>
                          <w:r w:rsidRPr="00D71A5B">
                            <w:rPr>
                              <w:rFonts w:ascii="Arial" w:hAnsi="Arial" w:cs="Arial"/>
                              <w:color w:val="000000" w:themeColor="text1"/>
                              <w:sz w:val="22"/>
                            </w:rPr>
                            <w:t xml:space="preserve">Find out more about what to do : </w:t>
                          </w:r>
                        </w:p>
                        <w:p xmlns:wp14="http://schemas.microsoft.com/office/word/2010/wordml" w:rsidR="00674A89" w:rsidP="00674A89" w:rsidRDefault="00674A89" w14:paraId="5A39BBE3" wp14:textId="77777777"/>
                      </w:txbxContent>
                    </wps:txbx>
                    <wps:bodyPr lIns="182880" tIns="182880" rIns="182880" bIns="182880" anchor="ctr">
                      <a:prstTxWarp prst="textNoShape">
                        <a:avLst/>
                      </a:prstTxWarp>
                      <a:noAutofit/>
                    </wps:bodyPr>
                  </wps:wsp>
                </a:graphicData>
              </a:graphic>
            </wp:inline>
          </w:drawing>
        </mc:Choice>
        <mc:Fallback>
          <w:pict w14:anchorId="07B2AE31">
            <v:roundrect id="Rounded Rectangle 6" style="width:539.8pt;height:63.5pt;visibility:visible;mso-wrap-style:square;mso-left-percent:-10001;mso-top-percent:-10001;mso-position-horizontal:absolute;mso-position-horizontal-relative:char;mso-position-vertical:absolute;mso-position-vertical-relative:line;mso-left-percent:-10001;mso-top-percent:-10001;v-text-anchor:middle" o:spid="_x0000_s1026" fillcolor="#f2f2f2 [3052]" strokecolor="#bfbfbf [2412]" strokeweight=".18mm" arcsize="10923f" w14:anchorId="6E0D32D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">
              <v:stroke joinstyle="miter"/>
              <v:textbox inset="14.4pt,14.4pt,14.4pt,14.4pt">
                <w:txbxContent>
                  <w:p w:rsidRPr="00D71A5B" w:rsidR="00674A89" w:rsidP="00674A89" w:rsidRDefault="00674A89" w14:paraId="12BD5622" wp14:textId="77777777">
                    <w:pPr>
                      <w:pStyle w:val="FrameContents"/>
                      <w:rPr>
                        <w:rFonts w:ascii="Arial" w:hAnsi="Arial" w:cs="Arial"/>
                        <w:sz w:val="22"/>
                      </w:rPr>
                    </w:pPr>
                    <w:r w:rsidRPr="00D71A5B">
                      <w:rPr>
                        <w:rFonts w:ascii="Arial" w:hAnsi="Arial" w:cs="Arial"/>
                        <w:color w:val="000000" w:themeColor="text1"/>
                        <w:sz w:val="22"/>
                      </w:rPr>
                      <w:t xml:space="preserve">Find out more about what to do : </w:t>
                    </w:r>
                  </w:p>
                  <w:p w:rsidR="00674A89" w:rsidP="00674A89" w:rsidRDefault="00674A89" w14:paraId="41C8F396" wp14:textId="77777777"/>
                </w:txbxContent>
              </v:textbox>
              <w10:anchorlock/>
            </v:round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xmlns:wp14="http://schemas.microsoft.com/office/word/2010/wordml" w:rsidR="00DA0296" w:rsidP="00674A89" w:rsidRDefault="00DA0296" w14:paraId="0E27B00A" wp14:textId="77777777">
      <w:pPr>
        <w:spacing w:after="0" w:line="240" w:lineRule="auto"/>
      </w:pPr>
      <w:r>
        <w:separator/>
      </w:r>
    </w:p>
  </w:footnote>
  <w:footnote w:type="continuationSeparator" w:id="0">
    <w:p xmlns:wp14="http://schemas.microsoft.com/office/word/2010/wordml" w:rsidR="00DA0296" w:rsidP="00674A89" w:rsidRDefault="00DA0296" w14:paraId="60061E4C" wp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FE4542"/>
    <w:multiLevelType w:val="multilevel"/>
    <w:tmpl w:val="5D88A13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hint="default" w:ascii="Wingdings 2" w:hAnsi="Wingdings 2" w:cs="Wingdings 2"/>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44C6AAF"/>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hint="default" w:ascii="Wingdings 2" w:hAnsi="Wingdings 2" w:cs="Wingdings 2"/>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hint="default" w:ascii="Wingdings 2" w:hAnsi="Wingdings 2" w:cs="Wingdings 2"/>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15:restartNumberingAfterBreak="0">
    <w:nsid w:val="4BFA7C4D"/>
    <w:multiLevelType w:val="multilevel"/>
    <w:tmpl w:val="DBF4D2C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hint="default" w:ascii="Wingdings 2" w:hAnsi="Wingdings 2" w:cs="Wingdings 2"/>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F25434"/>
    <w:multiLevelType w:val="multilevel"/>
    <w:tmpl w:val="452AA8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hint="default" w:ascii="Wingdings 2" w:hAnsi="Wingdings 2" w:cs="Wingdings 2"/>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15:restartNumberingAfterBreak="0">
    <w:nsid w:val="620B1BB7"/>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hint="default" w:ascii="Wingdings 2" w:hAnsi="Wingdings 2" w:cs="Wingdings 2"/>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DC9770E"/>
    <w:multiLevelType w:val="hybridMultilevel"/>
    <w:tmpl w:val="42E80F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hint="default" w:ascii="Wingdings 2" w:hAnsi="Wingdings 2" w:cs="Wingdings 2"/>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9"/>
  </w:num>
  <w:num w:numId="2">
    <w:abstractNumId w:val="2"/>
  </w:num>
  <w:num w:numId="3">
    <w:abstractNumId w:val="8"/>
  </w:num>
  <w:num w:numId="4">
    <w:abstractNumId w:val="7"/>
  </w:num>
  <w:num w:numId="5">
    <w:abstractNumId w:val="4"/>
  </w:num>
  <w:num w:numId="6">
    <w:abstractNumId w:val="1"/>
  </w:num>
  <w:num w:numId="7">
    <w:abstractNumId w:val="3"/>
  </w:num>
  <w:num w:numId="8">
    <w:abstractNumId w:val="6"/>
  </w:num>
  <w:num w:numId="9">
    <w:abstractNumId w:val="0"/>
  </w:num>
  <w:num w:numId="10">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p14">
  <w:zoom w:percent="100"/>
  <w:trackRevisions w:val="false"/>
  <w:defaultTabStop w:val="720"/>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979"/>
    <w:rsid w:val="00077979"/>
    <w:rsid w:val="00083AFD"/>
    <w:rsid w:val="00085884"/>
    <w:rsid w:val="000E51A1"/>
    <w:rsid w:val="00103D6B"/>
    <w:rsid w:val="001535EB"/>
    <w:rsid w:val="001B0529"/>
    <w:rsid w:val="001D7AB0"/>
    <w:rsid w:val="002066FB"/>
    <w:rsid w:val="00375ABA"/>
    <w:rsid w:val="00390617"/>
    <w:rsid w:val="003B6086"/>
    <w:rsid w:val="003B6F30"/>
    <w:rsid w:val="003D2CA8"/>
    <w:rsid w:val="00427E5E"/>
    <w:rsid w:val="00430125"/>
    <w:rsid w:val="004319AE"/>
    <w:rsid w:val="004901B7"/>
    <w:rsid w:val="004C3A40"/>
    <w:rsid w:val="00535B5F"/>
    <w:rsid w:val="00552F10"/>
    <w:rsid w:val="005E325E"/>
    <w:rsid w:val="00601CBE"/>
    <w:rsid w:val="00674A89"/>
    <w:rsid w:val="006A09E7"/>
    <w:rsid w:val="006B59CA"/>
    <w:rsid w:val="007769F4"/>
    <w:rsid w:val="007C0BC4"/>
    <w:rsid w:val="008C4EFC"/>
    <w:rsid w:val="00936787"/>
    <w:rsid w:val="0097045C"/>
    <w:rsid w:val="009B2BE9"/>
    <w:rsid w:val="009E2CB3"/>
    <w:rsid w:val="00A109AF"/>
    <w:rsid w:val="00A121A8"/>
    <w:rsid w:val="00AF5CD7"/>
    <w:rsid w:val="00AF7BC8"/>
    <w:rsid w:val="00B429AC"/>
    <w:rsid w:val="00B5081B"/>
    <w:rsid w:val="00B6163D"/>
    <w:rsid w:val="00BF6E97"/>
    <w:rsid w:val="00C272AE"/>
    <w:rsid w:val="00C8353E"/>
    <w:rsid w:val="00CA4E16"/>
    <w:rsid w:val="00D406B7"/>
    <w:rsid w:val="00D71A5B"/>
    <w:rsid w:val="00D8053F"/>
    <w:rsid w:val="00DA0296"/>
    <w:rsid w:val="00DB55AC"/>
    <w:rsid w:val="00DD12B5"/>
    <w:rsid w:val="00EE09DE"/>
    <w:rsid w:val="00EF3FED"/>
    <w:rsid w:val="00F3764C"/>
    <w:rsid w:val="00F52EF1"/>
    <w:rsid w:val="00F617D3"/>
    <w:rsid w:val="00F76351"/>
    <w:rsid w:val="055413B8"/>
    <w:rsid w:val="1F9EDC28"/>
    <w:rsid w:val="24515F94"/>
    <w:rsid w:val="2B8228C9"/>
    <w:rsid w:val="38005957"/>
    <w:rsid w:val="3ECBC355"/>
    <w:rsid w:val="48D24AAE"/>
    <w:rsid w:val="5938C126"/>
    <w:rsid w:val="65D35C0C"/>
    <w:rsid w:val="70F4B780"/>
    <w:rsid w:val="7C6A4B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797D254C"/>
  <w15:chartTrackingRefBased/>
  <w15:docId w15:val="{EC199B76-6653-4A75-BC9A-81567E4C8DB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D8053F"/>
    <w:rPr>
      <w:rFonts w:ascii="Arial" w:hAnsi="Arial"/>
      <w:sz w:val="20"/>
    </w:rPr>
  </w:style>
  <w:style w:type="paragraph" w:styleId="Heading2">
    <w:name w:val="heading 2"/>
    <w:basedOn w:val="Normal"/>
    <w:next w:val="Normal"/>
    <w:link w:val="Heading2Char"/>
    <w:uiPriority w:val="9"/>
    <w:unhideWhenUsed/>
    <w:qFormat/>
    <w:rsid w:val="001535EB"/>
    <w:pPr>
      <w:keepNext/>
      <w:keepLines/>
      <w:pBdr>
        <w:bottom w:val="single" w:color="0B5294" w:themeColor="accent1" w:themeShade="BF" w:sz="12" w:space="1"/>
      </w:pBdr>
      <w:spacing w:before="240" w:after="0"/>
      <w:outlineLvl w:val="1"/>
    </w:pPr>
    <w:rPr>
      <w:rFonts w:eastAsiaTheme="majorEastAsia" w:cstheme="majorBidi"/>
      <w:b/>
      <w:color w:val="0B5294" w:themeColor="accent1" w:themeShade="BF"/>
      <w:sz w:val="24"/>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39"/>
    <w:rsid w:val="0007797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2Char" w:customStyle="1">
    <w:name w:val="Heading 2 Char"/>
    <w:basedOn w:val="DefaultParagraphFont"/>
    <w:link w:val="Heading2"/>
    <w:uiPriority w:val="9"/>
    <w:rsid w:val="001535EB"/>
    <w:rPr>
      <w:rFonts w:ascii="Arial" w:hAnsi="Arial" w:eastAsiaTheme="majorEastAsia" w:cstheme="majorBidi"/>
      <w:b/>
      <w:color w:val="0B5294" w:themeColor="accent1" w:themeShade="BF"/>
      <w:sz w:val="24"/>
      <w:szCs w:val="26"/>
    </w:rPr>
  </w:style>
  <w:style w:type="paragraph" w:styleId="ListParagraph">
    <w:name w:val="List Paragraph"/>
    <w:basedOn w:val="Normal"/>
    <w:uiPriority w:val="34"/>
    <w:qFormat/>
    <w:rsid w:val="00430125"/>
    <w:pPr>
      <w:spacing w:after="80" w:line="240" w:lineRule="auto"/>
      <w:ind w:left="720"/>
      <w:contextualSpacing/>
    </w:pPr>
    <w:rPr>
      <w:rFonts w:asciiTheme="minorHAnsi" w:hAnsiTheme="minorHAnsi" w:eastAsiaTheme="minorEastAsia"/>
      <w:szCs w:val="20"/>
      <w:lang w:val="en"/>
    </w:rPr>
  </w:style>
  <w:style w:type="paragraph" w:styleId="NumberedList" w:customStyle="1">
    <w:name w:val="Numbered List"/>
    <w:qFormat/>
    <w:rsid w:val="00427E5E"/>
    <w:pPr>
      <w:snapToGrid w:val="0"/>
      <w:spacing w:after="80" w:line="240" w:lineRule="auto"/>
    </w:pPr>
    <w:rPr>
      <w:rFonts w:eastAsiaTheme="minorEastAsia"/>
      <w:sz w:val="20"/>
      <w:szCs w:val="20"/>
      <w:lang w:val="en"/>
    </w:rPr>
  </w:style>
  <w:style w:type="paragraph" w:styleId="FrameContents" w:customStyle="1">
    <w:name w:val="Frame Contents"/>
    <w:basedOn w:val="Normal"/>
    <w:qFormat/>
    <w:rsid w:val="00D71A5B"/>
    <w:pPr>
      <w:spacing w:after="80" w:line="240" w:lineRule="auto"/>
    </w:pPr>
    <w:rPr>
      <w:rFonts w:asciiTheme="minorHAnsi" w:hAnsiTheme="minorHAnsi" w:eastAsiaTheme="minorEastAsia"/>
      <w:szCs w:val="20"/>
      <w:lang w:val="en"/>
    </w:rPr>
  </w:style>
  <w:style w:type="paragraph" w:styleId="Header">
    <w:name w:val="header"/>
    <w:basedOn w:val="Normal"/>
    <w:link w:val="HeaderChar"/>
    <w:uiPriority w:val="99"/>
    <w:unhideWhenUsed/>
    <w:rsid w:val="00674A89"/>
    <w:pPr>
      <w:tabs>
        <w:tab w:val="center" w:pos="4680"/>
        <w:tab w:val="right" w:pos="9360"/>
      </w:tabs>
      <w:spacing w:after="0" w:line="240" w:lineRule="auto"/>
    </w:pPr>
  </w:style>
  <w:style w:type="character" w:styleId="HeaderChar" w:customStyle="1">
    <w:name w:val="Header Char"/>
    <w:basedOn w:val="DefaultParagraphFont"/>
    <w:link w:val="Header"/>
    <w:uiPriority w:val="99"/>
    <w:rsid w:val="00674A89"/>
    <w:rPr>
      <w:rFonts w:ascii="Arial" w:hAnsi="Arial"/>
      <w:sz w:val="20"/>
    </w:rPr>
  </w:style>
  <w:style w:type="paragraph" w:styleId="Footer">
    <w:name w:val="footer"/>
    <w:basedOn w:val="Normal"/>
    <w:link w:val="FooterChar"/>
    <w:uiPriority w:val="99"/>
    <w:unhideWhenUsed/>
    <w:rsid w:val="00674A89"/>
    <w:pPr>
      <w:tabs>
        <w:tab w:val="center" w:pos="4680"/>
        <w:tab w:val="right" w:pos="9360"/>
      </w:tabs>
      <w:spacing w:after="0" w:line="240" w:lineRule="auto"/>
    </w:pPr>
  </w:style>
  <w:style w:type="character" w:styleId="FooterChar" w:customStyle="1">
    <w:name w:val="Footer Char"/>
    <w:basedOn w:val="DefaultParagraphFont"/>
    <w:link w:val="Footer"/>
    <w:uiPriority w:val="99"/>
    <w:qFormat/>
    <w:rsid w:val="00674A89"/>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3052132">
      <w:bodyDiv w:val="1"/>
      <w:marLeft w:val="0"/>
      <w:marRight w:val="0"/>
      <w:marTop w:val="0"/>
      <w:marBottom w:val="0"/>
      <w:divBdr>
        <w:top w:val="none" w:sz="0" w:space="0" w:color="auto"/>
        <w:left w:val="none" w:sz="0" w:space="0" w:color="auto"/>
        <w:bottom w:val="none" w:sz="0" w:space="0" w:color="auto"/>
        <w:right w:val="none" w:sz="0" w:space="0" w:color="auto"/>
      </w:divBdr>
    </w:div>
    <w:div w:id="286933916">
      <w:bodyDiv w:val="1"/>
      <w:marLeft w:val="0"/>
      <w:marRight w:val="0"/>
      <w:marTop w:val="0"/>
      <w:marBottom w:val="0"/>
      <w:divBdr>
        <w:top w:val="none" w:sz="0" w:space="0" w:color="auto"/>
        <w:left w:val="none" w:sz="0" w:space="0" w:color="auto"/>
        <w:bottom w:val="none" w:sz="0" w:space="0" w:color="auto"/>
        <w:right w:val="none" w:sz="0" w:space="0" w:color="auto"/>
      </w:divBdr>
    </w:div>
    <w:div w:id="1443572325">
      <w:bodyDiv w:val="1"/>
      <w:marLeft w:val="0"/>
      <w:marRight w:val="0"/>
      <w:marTop w:val="0"/>
      <w:marBottom w:val="0"/>
      <w:divBdr>
        <w:top w:val="none" w:sz="0" w:space="0" w:color="auto"/>
        <w:left w:val="none" w:sz="0" w:space="0" w:color="auto"/>
        <w:bottom w:val="none" w:sz="0" w:space="0" w:color="auto"/>
        <w:right w:val="none" w:sz="0" w:space="0" w:color="auto"/>
      </w:divBdr>
    </w:div>
    <w:div w:id="1895659041">
      <w:bodyDiv w:val="1"/>
      <w:marLeft w:val="0"/>
      <w:marRight w:val="0"/>
      <w:marTop w:val="0"/>
      <w:marBottom w:val="0"/>
      <w:divBdr>
        <w:top w:val="none" w:sz="0" w:space="0" w:color="auto"/>
        <w:left w:val="none" w:sz="0" w:space="0" w:color="auto"/>
        <w:bottom w:val="none" w:sz="0" w:space="0" w:color="auto"/>
        <w:right w:val="none" w:sz="0" w:space="0" w:color="auto"/>
      </w:divBdr>
    </w:div>
    <w:div w:id="1909267190">
      <w:bodyDiv w:val="1"/>
      <w:marLeft w:val="0"/>
      <w:marRight w:val="0"/>
      <w:marTop w:val="0"/>
      <w:marBottom w:val="0"/>
      <w:divBdr>
        <w:top w:val="none" w:sz="0" w:space="0" w:color="auto"/>
        <w:left w:val="none" w:sz="0" w:space="0" w:color="auto"/>
        <w:bottom w:val="none" w:sz="0" w:space="0" w:color="auto"/>
        <w:right w:val="none" w:sz="0" w:space="0" w:color="auto"/>
      </w:divBdr>
      <w:divsChild>
        <w:div w:id="139545331">
          <w:marLeft w:val="0"/>
          <w:marRight w:val="0"/>
          <w:marTop w:val="0"/>
          <w:marBottom w:val="0"/>
          <w:divBdr>
            <w:top w:val="none" w:sz="0" w:space="0" w:color="auto"/>
            <w:left w:val="none" w:sz="0" w:space="0" w:color="auto"/>
            <w:bottom w:val="none" w:sz="0" w:space="0" w:color="auto"/>
            <w:right w:val="none" w:sz="0" w:space="0" w:color="auto"/>
          </w:divBdr>
          <w:divsChild>
            <w:div w:id="3524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Greater Boston Legal Services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Steenhuis, Quinten</dc:creator>
  <keywords/>
  <dc:description/>
  <lastModifiedBy>Barbosa, Pedro</lastModifiedBy>
  <revision>38</revision>
  <dcterms:created xsi:type="dcterms:W3CDTF">2021-05-19T19:33:00.0000000Z</dcterms:created>
  <dcterms:modified xsi:type="dcterms:W3CDTF">2026-07-13T18:12:32.6088455Z</dcterms:modified>
  <dc:identifier/>
  <dc:language/>
</coreProperties>
</file>