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Get a Informal record appendix form</w:t>
      </w:r>
    </w:p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Congratulations </w:t>
      </w:r>
      <w:r w:rsidR="008E5C94">
        <w:t>{{ users }}</w:t>
      </w:r>
      <w:r>
        <w:t xml:space="preserve">! You have finished all the forms you need to Get a Informal record appendix form. The rest of the pages in t</w:t>
      </w:r>
      <w:r w:rsidR="00A73AFC">
        <w:t xml:space="preserve">his packet are your completed .</w:t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>.</w:t>
      </w:r>
    </w:p>
    <w:p w:rsidR="005E2232" w:rsidRDefault="002C4D7C">
      <w:pPr>
        <w:pStyle w:val="Heading2"/>
      </w:pPr>
      <w:bookmarkStart w:id="2" w:name="_4szgtqe6ov1h"/>
      <w:bookmarkEnd w:id="2"/>
      <w:r>
        <w:t xml:space="preserve"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do?</w:t>
      </w:r>
    </w:p>
    <w:p w:rsidR="005E2232" w:rsidRDefault="00AC5308">
      <w:pPr>
        <w:pStyle w:val="Heading2"/>
      </w:pPr>
      <w:r>
        <w:t xml:space="preserve">What happens after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2C4D7C" w:rsidRDefault="002C4D7C" w:rsidP="002C4D7C">
      <w:r>
        <w:t xml:space="preserve">If the judge decides to grant your appeal: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 xml:space="preserve">Learn more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