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1A Divorce Agreement</w:t>
      </w:r>
    </w:p>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1A Divorce Agreement</w:t>
      </w:r>
      <w:r>
        <w:t xml:space="preserve">. The rest of the pages in this packet are your </w:t>
      </w:r>
      <w:r w:rsidR="006A09E7">
        <w:t xml:space="preserve">application/petition/complaint</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application/petition/complaint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71A5B" w:rsidRDefault="00D71A5B" w:rsidP="00D71A5B">
      <w:r>
        <w:rPr>
          <w:b/>
        </w:rPr>
        <w:t xml:space="preserve">Tell</w:t>
      </w:r>
      <w:r>
        <w:t xml:space="preserve"> the judge why you need a 1A Divorce Agreement.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 w:type="paragraph" w:customStyle="1" w:styleId="Title">
    <w:name w:val="Title"/>
    <w:pPr>
      <w:jc w:val="center"/>
      <w:shd w:val="clear" w:color="auto" w:fill="17406D"/>
      <w:pBdr>
        <w:top w:val="single" w:sz="48" w:space="1" w:color="17406D"/>
        <w:bottom w:val="single" w:sz="48" w:space="1" w:color="17406D"/>
      </w:pBd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