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lower_court_case.judgment_date }} which awarded possession of the premises to the plaintiff.  The judgment was entered by Judge {{ lower_court_case.judge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Pronouns: {{ users[0].get_pronouns() | comma_and_list }}</w:t>
      </w:r>
      <w:bookmarkStart w:id="0" w:name="_GoBack"/>
      <w:bookmarkEnd w:id="0"/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exhibit_doc.exhibits.has_exbihits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exhibit_doc.exhibits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exhibit.label }}: {{ exhibit.title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9</Pages>
  <Words>615</Words>
  <Characters>3597</Characters>
  <CharactersWithSpaces>4123</CharactersWithSpaces>
  <Paragraphs>85</Paragraphs>
  <Company>Suffolk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2023-06-21T15:22:17Z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Suffolk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