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F248A" w14:textId="703D9994" w:rsidR="005A2306" w:rsidRPr="003B5EE7" w:rsidRDefault="005A2306" w:rsidP="005A2306">
      <w:pPr>
        <w:jc w:val="center"/>
        <w:rPr>
          <w:rFonts w:ascii="Times New Roman" w:hAnsi="Times New Roman"/>
          <w:b/>
          <w:bCs/>
          <w:sz w:val="24"/>
          <w:szCs w:val="24"/>
        </w:rPr>
      </w:pPr>
      <w:r w:rsidRPr="003B5EE7">
        <w:rPr>
          <w:rFonts w:ascii="Times New Roman" w:hAnsi="Times New Roman"/>
          <w:b/>
          <w:bCs/>
          <w:sz w:val="24"/>
          <w:szCs w:val="24"/>
          <w:lang w:val="en-CA"/>
        </w:rPr>
        <w:fldChar w:fldCharType="begin"/>
      </w:r>
      <w:r w:rsidRPr="003B5EE7">
        <w:rPr>
          <w:rFonts w:ascii="Times New Roman" w:hAnsi="Times New Roman"/>
          <w:b/>
          <w:bCs/>
          <w:sz w:val="24"/>
          <w:szCs w:val="24"/>
          <w:lang w:val="en-CA"/>
        </w:rPr>
        <w:instrText xml:space="preserve"> SEQ CHAPTER \h \r 1</w:instrText>
      </w:r>
      <w:r w:rsidRPr="003B5EE7">
        <w:rPr>
          <w:rFonts w:ascii="Times New Roman" w:hAnsi="Times New Roman"/>
          <w:b/>
          <w:bCs/>
          <w:sz w:val="24"/>
          <w:szCs w:val="24"/>
          <w:lang w:val="en-CA"/>
        </w:rPr>
        <w:fldChar w:fldCharType="end"/>
      </w:r>
      <w:r w:rsidR="00EB6335" w:rsidRPr="003B5EE7">
        <w:rPr>
          <w:rFonts w:ascii="Times New Roman" w:hAnsi="Times New Roman"/>
          <w:b/>
          <w:bCs/>
          <w:sz w:val="24"/>
          <w:szCs w:val="24"/>
        </w:rPr>
        <w:t>COMMONWEALTH OF MASSACHUSETTS</w:t>
      </w:r>
    </w:p>
    <w:p w14:paraId="0639BACE" w14:textId="6126F713" w:rsidR="00EB6335" w:rsidRPr="003B5EE7" w:rsidRDefault="00EB6335" w:rsidP="005A2306">
      <w:pPr>
        <w:jc w:val="center"/>
        <w:rPr>
          <w:rFonts w:ascii="Times New Roman" w:hAnsi="Times New Roman"/>
          <w:b/>
          <w:bCs/>
          <w:sz w:val="24"/>
          <w:szCs w:val="24"/>
        </w:rPr>
      </w:pPr>
      <w:r w:rsidRPr="003B5EE7">
        <w:rPr>
          <w:rFonts w:ascii="Times New Roman" w:hAnsi="Times New Roman"/>
          <w:b/>
          <w:bCs/>
          <w:sz w:val="24"/>
          <w:szCs w:val="24"/>
        </w:rPr>
        <w:t>TRIAL COURT</w:t>
      </w:r>
    </w:p>
    <w:p w14:paraId="32ED3037" w14:textId="77777777" w:rsidR="00EB6335" w:rsidRPr="003B5EE7" w:rsidRDefault="00EB6335" w:rsidP="005A2306">
      <w:pPr>
        <w:jc w:val="center"/>
        <w:rPr>
          <w:rFonts w:ascii="Times New Roman" w:hAnsi="Times New Roman"/>
          <w:b/>
          <w:bCs/>
          <w:sz w:val="24"/>
          <w:szCs w:val="24"/>
        </w:rPr>
      </w:pPr>
      <w:r w:rsidRPr="003B5EE7">
        <w:rPr>
          <w:rFonts w:ascii="Times New Roman" w:hAnsi="Times New Roman"/>
          <w:b/>
          <w:bCs/>
          <w:sz w:val="24"/>
          <w:szCs w:val="24"/>
        </w:rPr>
        <w:t>DEFENDANT’S MOTION TO DISMISS OR IN THE</w:t>
      </w:r>
    </w:p>
    <w:p w14:paraId="08C7CB2E" w14:textId="73CA4CB2" w:rsidR="00EB6335" w:rsidRPr="003B5EE7" w:rsidRDefault="00EB6335" w:rsidP="005A2306">
      <w:pPr>
        <w:jc w:val="center"/>
        <w:rPr>
          <w:rFonts w:ascii="Times New Roman" w:hAnsi="Times New Roman"/>
          <w:b/>
          <w:bCs/>
          <w:sz w:val="24"/>
          <w:szCs w:val="24"/>
        </w:rPr>
      </w:pPr>
      <w:r w:rsidRPr="003B5EE7">
        <w:rPr>
          <w:rFonts w:ascii="Times New Roman" w:hAnsi="Times New Roman"/>
          <w:b/>
          <w:bCs/>
          <w:sz w:val="24"/>
          <w:szCs w:val="24"/>
        </w:rPr>
        <w:t xml:space="preserve"> ALTERNANTIVE, FOR SUMMARY JUDGEMENT </w:t>
      </w:r>
    </w:p>
    <w:p w14:paraId="2EE17935" w14:textId="7F98176E" w:rsidR="00EB6335" w:rsidRPr="003B5EE7" w:rsidRDefault="00EB6335" w:rsidP="005A2306">
      <w:pPr>
        <w:jc w:val="center"/>
        <w:rPr>
          <w:rFonts w:ascii="Times New Roman" w:hAnsi="Times New Roman"/>
          <w:sz w:val="24"/>
          <w:szCs w:val="24"/>
        </w:rPr>
      </w:pPr>
      <w:r w:rsidRPr="003B5EE7">
        <w:rPr>
          <w:rFonts w:ascii="Times New Roman" w:hAnsi="Times New Roman"/>
          <w:sz w:val="24"/>
          <w:szCs w:val="24"/>
        </w:rPr>
        <w:t>(Reinstatement of Tenancy)</w:t>
      </w:r>
    </w:p>
    <w:p w14:paraId="0DFDD1B6" w14:textId="77777777" w:rsidR="00EB6335" w:rsidRPr="003B5EE7" w:rsidRDefault="00EB6335" w:rsidP="005A2306">
      <w:pPr>
        <w:jc w:val="center"/>
        <w:rPr>
          <w:rFonts w:ascii="Times New Roman" w:hAnsi="Times New Roman"/>
          <w:sz w:val="24"/>
          <w:szCs w:val="24"/>
        </w:rPr>
      </w:pPr>
    </w:p>
    <w:p w14:paraId="046972B1" w14:textId="77777777" w:rsidR="005A2306" w:rsidRPr="003B5EE7" w:rsidRDefault="005A2306" w:rsidP="005A2306">
      <w:pP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EB6335" w:rsidRPr="003B5EE7" w14:paraId="20670024" w14:textId="77777777" w:rsidTr="00306CD4">
        <w:tc>
          <w:tcPr>
            <w:tcW w:w="4675" w:type="dxa"/>
          </w:tcPr>
          <w:p w14:paraId="1F5306D4" w14:textId="77777777" w:rsidR="00EB6335" w:rsidRPr="003B5EE7" w:rsidRDefault="00EB6335" w:rsidP="00306CD4">
            <w:pPr>
              <w:autoSpaceDE/>
              <w:autoSpaceDN/>
              <w:adjustRightInd/>
              <w:rPr>
                <w:rFonts w:ascii="Times New Roman" w:hAnsi="Times New Roman"/>
                <w:sz w:val="24"/>
                <w:szCs w:val="24"/>
              </w:rPr>
            </w:pPr>
            <w:proofErr w:type="gramStart"/>
            <w:r w:rsidRPr="003B5EE7">
              <w:rPr>
                <w:rFonts w:ascii="Times New Roman" w:hAnsi="Times New Roman"/>
                <w:b/>
                <w:bCs/>
                <w:sz w:val="24"/>
                <w:szCs w:val="24"/>
              </w:rPr>
              <w:t xml:space="preserve">{{ </w:t>
            </w:r>
            <w:r w:rsidRPr="003B5EE7">
              <w:rPr>
                <w:rFonts w:ascii="Times New Roman" w:hAnsi="Times New Roman"/>
                <w:color w:val="1D1C1D"/>
                <w:sz w:val="24"/>
                <w:szCs w:val="24"/>
                <w:shd w:val="clear" w:color="auto" w:fill="F8F8F8"/>
              </w:rPr>
              <w:t>courts</w:t>
            </w:r>
            <w:proofErr w:type="gramEnd"/>
            <w:r w:rsidRPr="003B5EE7">
              <w:rPr>
                <w:rFonts w:ascii="Times New Roman" w:hAnsi="Times New Roman"/>
                <w:color w:val="1D1C1D"/>
                <w:sz w:val="24"/>
                <w:szCs w:val="24"/>
                <w:shd w:val="clear" w:color="auto" w:fill="F8F8F8"/>
              </w:rPr>
              <w:t>[0].</w:t>
            </w:r>
            <w:proofErr w:type="spellStart"/>
            <w:r w:rsidRPr="003B5EE7">
              <w:rPr>
                <w:rFonts w:ascii="Times New Roman" w:hAnsi="Times New Roman"/>
                <w:color w:val="1D1C1D"/>
                <w:sz w:val="24"/>
                <w:szCs w:val="24"/>
                <w:shd w:val="clear" w:color="auto" w:fill="F8F8F8"/>
              </w:rPr>
              <w:t>address.county</w:t>
            </w:r>
            <w:proofErr w:type="spellEnd"/>
            <w:r w:rsidRPr="003B5EE7">
              <w:rPr>
                <w:rFonts w:ascii="Times New Roman" w:hAnsi="Times New Roman"/>
                <w:color w:val="1D1C1D"/>
                <w:sz w:val="24"/>
                <w:szCs w:val="24"/>
                <w:shd w:val="clear" w:color="auto" w:fill="F8F8F8"/>
              </w:rPr>
              <w:t xml:space="preserve"> </w:t>
            </w:r>
            <w:r w:rsidRPr="003B5EE7">
              <w:rPr>
                <w:rFonts w:ascii="Times New Roman" w:hAnsi="Times New Roman"/>
                <w:b/>
                <w:bCs/>
                <w:sz w:val="24"/>
                <w:szCs w:val="24"/>
              </w:rPr>
              <w:t>}}, SS</w:t>
            </w:r>
          </w:p>
        </w:tc>
        <w:tc>
          <w:tcPr>
            <w:tcW w:w="4325" w:type="dxa"/>
          </w:tcPr>
          <w:p w14:paraId="4F39AFDB" w14:textId="77777777" w:rsidR="00EB6335" w:rsidRPr="003B5EE7" w:rsidRDefault="00EB6335" w:rsidP="00306CD4">
            <w:pPr>
              <w:autoSpaceDE/>
              <w:autoSpaceDN/>
              <w:adjustRightInd/>
              <w:jc w:val="both"/>
              <w:rPr>
                <w:rFonts w:ascii="Times New Roman" w:hAnsi="Times New Roman"/>
                <w:sz w:val="24"/>
                <w:szCs w:val="24"/>
              </w:rPr>
            </w:pPr>
            <w:proofErr w:type="gramStart"/>
            <w:r w:rsidRPr="003B5EE7">
              <w:rPr>
                <w:rFonts w:ascii="Times New Roman" w:hAnsi="Times New Roman"/>
                <w:sz w:val="24"/>
                <w:szCs w:val="24"/>
              </w:rPr>
              <w:t>{{ courts</w:t>
            </w:r>
            <w:proofErr w:type="gramEnd"/>
            <w:r w:rsidRPr="003B5EE7">
              <w:rPr>
                <w:rFonts w:ascii="Times New Roman" w:hAnsi="Times New Roman"/>
                <w:sz w:val="24"/>
                <w:szCs w:val="24"/>
              </w:rPr>
              <w:t>[0] }}</w:t>
            </w:r>
          </w:p>
          <w:p w14:paraId="731C5147"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6A1F1EBD" w14:textId="77777777" w:rsidTr="00306CD4">
        <w:tc>
          <w:tcPr>
            <w:tcW w:w="4675" w:type="dxa"/>
          </w:tcPr>
          <w:p w14:paraId="2A7D158F"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1BB0D66F" w14:textId="6A2802D9" w:rsidR="00EB6335" w:rsidRPr="003B5EE7" w:rsidRDefault="00EB6335" w:rsidP="00306CD4">
            <w:pPr>
              <w:autoSpaceDE/>
              <w:autoSpaceDN/>
              <w:adjustRightInd/>
              <w:jc w:val="both"/>
              <w:rPr>
                <w:rFonts w:ascii="Times New Roman" w:hAnsi="Times New Roman"/>
                <w:sz w:val="24"/>
                <w:szCs w:val="24"/>
              </w:rPr>
            </w:pPr>
            <w:r w:rsidRPr="003B5EE7">
              <w:rPr>
                <w:rFonts w:ascii="Times New Roman" w:hAnsi="Times New Roman"/>
                <w:sz w:val="24"/>
                <w:szCs w:val="24"/>
              </w:rPr>
              <w:t>Docket Number</w:t>
            </w:r>
            <w:proofErr w:type="gramStart"/>
            <w:r w:rsidRPr="003B5EE7">
              <w:rPr>
                <w:rFonts w:ascii="Times New Roman" w:hAnsi="Times New Roman"/>
                <w:sz w:val="24"/>
                <w:szCs w:val="24"/>
              </w:rPr>
              <w:t>:  {</w:t>
            </w:r>
            <w:proofErr w:type="gramEnd"/>
            <w:r w:rsidRPr="003B5EE7">
              <w:rPr>
                <w:rFonts w:ascii="Times New Roman" w:hAnsi="Times New Roman"/>
                <w:sz w:val="24"/>
                <w:szCs w:val="24"/>
              </w:rPr>
              <w:t xml:space="preserve">{ </w:t>
            </w:r>
            <w:proofErr w:type="spellStart"/>
            <w:r w:rsidRPr="003B5EE7">
              <w:rPr>
                <w:rFonts w:ascii="Times New Roman" w:hAnsi="Times New Roman"/>
                <w:sz w:val="24"/>
                <w:szCs w:val="24"/>
              </w:rPr>
              <w:t>docket</w:t>
            </w:r>
            <w:r w:rsidR="00A4016E" w:rsidRPr="003B5EE7">
              <w:rPr>
                <w:rFonts w:ascii="Times New Roman" w:hAnsi="Times New Roman"/>
                <w:sz w:val="24"/>
                <w:szCs w:val="24"/>
              </w:rPr>
              <w:t>_</w:t>
            </w:r>
            <w:r w:rsidRPr="003B5EE7">
              <w:rPr>
                <w:rFonts w:ascii="Times New Roman" w:hAnsi="Times New Roman"/>
                <w:sz w:val="24"/>
                <w:szCs w:val="24"/>
              </w:rPr>
              <w:t>number</w:t>
            </w:r>
            <w:proofErr w:type="spellEnd"/>
            <w:r w:rsidRPr="003B5EE7">
              <w:rPr>
                <w:rFonts w:ascii="Times New Roman" w:hAnsi="Times New Roman"/>
                <w:sz w:val="24"/>
                <w:szCs w:val="24"/>
              </w:rPr>
              <w:t xml:space="preserve"> }}</w:t>
            </w:r>
          </w:p>
        </w:tc>
      </w:tr>
      <w:tr w:rsidR="00EB6335" w:rsidRPr="003B5EE7" w14:paraId="7FBD8434" w14:textId="77777777" w:rsidTr="00306CD4">
        <w:tc>
          <w:tcPr>
            <w:tcW w:w="4675" w:type="dxa"/>
          </w:tcPr>
          <w:p w14:paraId="46EB1E43"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44F4D5DE"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204BFDB0" w14:textId="77777777" w:rsidTr="00306CD4">
        <w:tc>
          <w:tcPr>
            <w:tcW w:w="4675" w:type="dxa"/>
          </w:tcPr>
          <w:p w14:paraId="2485C7F0" w14:textId="77777777" w:rsidR="00EB6335" w:rsidRPr="003B5EE7" w:rsidRDefault="00EB6335" w:rsidP="00306CD4">
            <w:pPr>
              <w:autoSpaceDE/>
              <w:autoSpaceDN/>
              <w:adjustRightInd/>
              <w:jc w:val="both"/>
              <w:rPr>
                <w:rFonts w:ascii="Times New Roman" w:hAnsi="Times New Roman"/>
                <w:sz w:val="24"/>
                <w:szCs w:val="24"/>
              </w:rPr>
            </w:pPr>
            <w:proofErr w:type="gramStart"/>
            <w:r w:rsidRPr="003B5EE7">
              <w:rPr>
                <w:rFonts w:ascii="Times New Roman" w:hAnsi="Times New Roman"/>
                <w:sz w:val="24"/>
                <w:szCs w:val="24"/>
              </w:rPr>
              <w:t>{{ plaintiffs</w:t>
            </w:r>
            <w:proofErr w:type="gramEnd"/>
            <w:r w:rsidRPr="003B5EE7">
              <w:rPr>
                <w:rFonts w:ascii="Times New Roman" w:hAnsi="Times New Roman"/>
                <w:sz w:val="24"/>
                <w:szCs w:val="24"/>
              </w:rPr>
              <w:t xml:space="preserve"> }}</w:t>
            </w:r>
          </w:p>
        </w:tc>
        <w:tc>
          <w:tcPr>
            <w:tcW w:w="4325" w:type="dxa"/>
          </w:tcPr>
          <w:p w14:paraId="3B53FE35"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45972C8D" w14:textId="77777777" w:rsidTr="00306CD4">
        <w:tc>
          <w:tcPr>
            <w:tcW w:w="4675" w:type="dxa"/>
          </w:tcPr>
          <w:p w14:paraId="1E5018E3"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01D78F0A"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201043E2" w14:textId="77777777" w:rsidTr="00306CD4">
        <w:tc>
          <w:tcPr>
            <w:tcW w:w="4675" w:type="dxa"/>
          </w:tcPr>
          <w:p w14:paraId="539506B9" w14:textId="77777777" w:rsidR="00EB6335" w:rsidRPr="003B5EE7" w:rsidRDefault="00EB6335" w:rsidP="00306CD4">
            <w:pPr>
              <w:autoSpaceDE/>
              <w:autoSpaceDN/>
              <w:adjustRightInd/>
              <w:jc w:val="both"/>
              <w:rPr>
                <w:rFonts w:ascii="Times New Roman" w:hAnsi="Times New Roman"/>
                <w:sz w:val="24"/>
                <w:szCs w:val="24"/>
              </w:rPr>
            </w:pPr>
            <w:r w:rsidRPr="003B5EE7">
              <w:rPr>
                <w:rFonts w:ascii="Times New Roman" w:hAnsi="Times New Roman"/>
                <w:sz w:val="24"/>
                <w:szCs w:val="24"/>
              </w:rPr>
              <w:t>v.</w:t>
            </w:r>
          </w:p>
        </w:tc>
        <w:tc>
          <w:tcPr>
            <w:tcW w:w="4325" w:type="dxa"/>
          </w:tcPr>
          <w:p w14:paraId="172FCE76"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2EF3548C" w14:textId="77777777" w:rsidTr="00306CD4">
        <w:tc>
          <w:tcPr>
            <w:tcW w:w="4675" w:type="dxa"/>
          </w:tcPr>
          <w:p w14:paraId="2B0905BA" w14:textId="77777777" w:rsidR="00EB6335" w:rsidRPr="003B5EE7" w:rsidRDefault="00EB6335" w:rsidP="00306CD4">
            <w:pPr>
              <w:autoSpaceDE/>
              <w:autoSpaceDN/>
              <w:adjustRightInd/>
              <w:jc w:val="both"/>
              <w:rPr>
                <w:rFonts w:ascii="Times New Roman" w:hAnsi="Times New Roman"/>
                <w:sz w:val="24"/>
                <w:szCs w:val="24"/>
              </w:rPr>
            </w:pPr>
          </w:p>
        </w:tc>
        <w:tc>
          <w:tcPr>
            <w:tcW w:w="4325" w:type="dxa"/>
          </w:tcPr>
          <w:p w14:paraId="142D7522" w14:textId="77777777" w:rsidR="00EB6335" w:rsidRPr="003B5EE7" w:rsidRDefault="00EB6335" w:rsidP="00306CD4">
            <w:pPr>
              <w:autoSpaceDE/>
              <w:autoSpaceDN/>
              <w:adjustRightInd/>
              <w:jc w:val="both"/>
              <w:rPr>
                <w:rFonts w:ascii="Times New Roman" w:hAnsi="Times New Roman"/>
                <w:sz w:val="24"/>
                <w:szCs w:val="24"/>
              </w:rPr>
            </w:pPr>
          </w:p>
        </w:tc>
      </w:tr>
      <w:tr w:rsidR="00EB6335" w:rsidRPr="003B5EE7" w14:paraId="6B63A0A0" w14:textId="77777777" w:rsidTr="00306CD4">
        <w:tc>
          <w:tcPr>
            <w:tcW w:w="4675" w:type="dxa"/>
          </w:tcPr>
          <w:p w14:paraId="47FF455E" w14:textId="77777777" w:rsidR="00EB6335" w:rsidRPr="003B5EE7" w:rsidRDefault="00EB6335" w:rsidP="00306CD4">
            <w:pPr>
              <w:autoSpaceDE/>
              <w:autoSpaceDN/>
              <w:adjustRightInd/>
              <w:jc w:val="both"/>
              <w:rPr>
                <w:rFonts w:ascii="Times New Roman" w:hAnsi="Times New Roman"/>
                <w:sz w:val="24"/>
                <w:szCs w:val="24"/>
              </w:rPr>
            </w:pPr>
            <w:proofErr w:type="gramStart"/>
            <w:r w:rsidRPr="003B5EE7">
              <w:rPr>
                <w:rFonts w:ascii="Times New Roman" w:hAnsi="Times New Roman"/>
                <w:sz w:val="24"/>
                <w:szCs w:val="24"/>
              </w:rPr>
              <w:t>{{ defendants</w:t>
            </w:r>
            <w:proofErr w:type="gramEnd"/>
            <w:r w:rsidRPr="003B5EE7">
              <w:rPr>
                <w:rFonts w:ascii="Times New Roman" w:hAnsi="Times New Roman"/>
                <w:sz w:val="24"/>
                <w:szCs w:val="24"/>
              </w:rPr>
              <w:t xml:space="preserve"> }}</w:t>
            </w:r>
          </w:p>
        </w:tc>
        <w:tc>
          <w:tcPr>
            <w:tcW w:w="4325" w:type="dxa"/>
          </w:tcPr>
          <w:p w14:paraId="2714FE11" w14:textId="77777777" w:rsidR="00EB6335" w:rsidRPr="003B5EE7" w:rsidRDefault="00EB6335" w:rsidP="00306CD4">
            <w:pPr>
              <w:autoSpaceDE/>
              <w:autoSpaceDN/>
              <w:adjustRightInd/>
              <w:jc w:val="both"/>
              <w:rPr>
                <w:rFonts w:ascii="Times New Roman" w:hAnsi="Times New Roman"/>
                <w:sz w:val="24"/>
                <w:szCs w:val="24"/>
              </w:rPr>
            </w:pPr>
          </w:p>
        </w:tc>
      </w:tr>
    </w:tbl>
    <w:p w14:paraId="6815FAC8" w14:textId="77777777" w:rsidR="00EB6335" w:rsidRPr="003B5EE7" w:rsidRDefault="00EB6335" w:rsidP="00EB6335">
      <w:pPr>
        <w:tabs>
          <w:tab w:val="left" w:pos="1080"/>
          <w:tab w:val="left" w:pos="5040"/>
        </w:tabs>
        <w:jc w:val="both"/>
        <w:rPr>
          <w:rFonts w:ascii="Times New Roman" w:hAnsi="Times New Roman"/>
          <w:sz w:val="24"/>
          <w:szCs w:val="24"/>
        </w:rPr>
      </w:pPr>
    </w:p>
    <w:p w14:paraId="2B1CD3CE" w14:textId="77777777" w:rsidR="005A2306" w:rsidRPr="003B5EE7" w:rsidRDefault="005A2306" w:rsidP="005A2306">
      <w:pPr>
        <w:tabs>
          <w:tab w:val="left" w:pos="1080"/>
          <w:tab w:val="left" w:pos="5040"/>
        </w:tabs>
        <w:rPr>
          <w:rFonts w:ascii="Times New Roman" w:hAnsi="Times New Roman"/>
          <w:sz w:val="24"/>
          <w:szCs w:val="24"/>
        </w:rPr>
      </w:pPr>
    </w:p>
    <w:p w14:paraId="0BF64321" w14:textId="77777777" w:rsidR="005A2306" w:rsidRPr="003B5EE7" w:rsidRDefault="005A2306" w:rsidP="005A2306">
      <w:pPr>
        <w:tabs>
          <w:tab w:val="left" w:pos="1080"/>
          <w:tab w:val="left" w:pos="5040"/>
        </w:tabs>
        <w:rPr>
          <w:rFonts w:ascii="Times New Roman" w:hAnsi="Times New Roman"/>
          <w:sz w:val="24"/>
          <w:szCs w:val="24"/>
        </w:rPr>
      </w:pPr>
    </w:p>
    <w:p w14:paraId="017A12CC"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r w:rsidRPr="003B5EE7">
        <w:rPr>
          <w:rFonts w:ascii="Times New Roman" w:hAnsi="Times New Roman"/>
          <w:sz w:val="24"/>
          <w:szCs w:val="24"/>
        </w:rPr>
        <w:tab/>
        <w:t>The Defendant ("Tenant") moves that this action be dismissed pursuant to Rule 12(b)(1) of the Mass. Rules of Civil Procedure. The Defendant moves pursuant to Rule 56 of the Massachusetts Rules of Civil Procedure for summary judgment in his/her favor on the issue of possession in this action. In support of this motion, the Tenant states the following:</w:t>
      </w:r>
    </w:p>
    <w:p w14:paraId="432FCC5D"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p>
    <w:p w14:paraId="1BBFE4BB"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sectPr w:rsidR="005A2306" w:rsidRPr="003B5EE7" w:rsidSect="005A2306">
          <w:footerReference w:type="even" r:id="rId7"/>
          <w:footerReference w:type="default" r:id="rId8"/>
          <w:pgSz w:w="12240" w:h="15840"/>
          <w:pgMar w:top="1440" w:right="1440" w:bottom="1440" w:left="1440" w:header="1440" w:footer="1440" w:gutter="0"/>
          <w:cols w:space="720"/>
          <w:noEndnote/>
        </w:sectPr>
      </w:pPr>
    </w:p>
    <w:p w14:paraId="2BB689D0" w14:textId="77777777" w:rsidR="006E3B9F" w:rsidRPr="003B5EE7" w:rsidRDefault="005A2306" w:rsidP="006E3B9F">
      <w:p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 xml:space="preserve">1. </w:t>
      </w:r>
      <w:r w:rsidRPr="003B5EE7">
        <w:rPr>
          <w:rFonts w:ascii="Times New Roman" w:hAnsi="Times New Roman"/>
          <w:sz w:val="24"/>
          <w:szCs w:val="24"/>
        </w:rPr>
        <w:tab/>
        <w:t xml:space="preserve">A tenancy may be reinstated or re-created notwithstanding its termination where there is payment and acceptance of rent in advance after service of a notice to quit without proper reservation of rights, or where the owner has taken other action which is inconsistent with the termination of the tenancy.   See  </w:t>
      </w:r>
      <w:r w:rsidRPr="003B5EE7">
        <w:rPr>
          <w:rFonts w:ascii="Times New Roman" w:hAnsi="Times New Roman"/>
          <w:sz w:val="24"/>
          <w:szCs w:val="24"/>
          <w:u w:val="single"/>
        </w:rPr>
        <w:t>Collins v. Canty</w:t>
      </w:r>
      <w:r w:rsidRPr="003B5EE7">
        <w:rPr>
          <w:rFonts w:ascii="Times New Roman" w:hAnsi="Times New Roman"/>
          <w:sz w:val="24"/>
          <w:szCs w:val="24"/>
        </w:rPr>
        <w:t xml:space="preserve">, 60 Mass. (6 Cush.) 415 (1850);  </w:t>
      </w:r>
      <w:r w:rsidRPr="003B5EE7">
        <w:rPr>
          <w:rFonts w:ascii="Times New Roman" w:hAnsi="Times New Roman"/>
          <w:sz w:val="24"/>
          <w:szCs w:val="24"/>
          <w:u w:val="single"/>
        </w:rPr>
        <w:t>Jones v. Webb</w:t>
      </w:r>
      <w:r w:rsidRPr="003B5EE7">
        <w:rPr>
          <w:rFonts w:ascii="Times New Roman" w:hAnsi="Times New Roman"/>
          <w:sz w:val="24"/>
          <w:szCs w:val="24"/>
        </w:rPr>
        <w:t xml:space="preserve">, 320 Mass. 702, 71 N.E.2d 216 (1947); </w:t>
      </w:r>
      <w:proofErr w:type="spellStart"/>
      <w:r w:rsidRPr="003B5EE7">
        <w:rPr>
          <w:rFonts w:ascii="Times New Roman" w:hAnsi="Times New Roman"/>
          <w:sz w:val="24"/>
          <w:szCs w:val="24"/>
          <w:u w:val="single"/>
        </w:rPr>
        <w:t>Mastrullo</w:t>
      </w:r>
      <w:proofErr w:type="spellEnd"/>
      <w:r w:rsidRPr="003B5EE7">
        <w:rPr>
          <w:rFonts w:ascii="Times New Roman" w:hAnsi="Times New Roman"/>
          <w:sz w:val="24"/>
          <w:szCs w:val="24"/>
          <w:u w:val="single"/>
        </w:rPr>
        <w:t xml:space="preserve"> v. Ryan</w:t>
      </w:r>
      <w:r w:rsidRPr="003B5EE7">
        <w:rPr>
          <w:rFonts w:ascii="Times New Roman" w:hAnsi="Times New Roman"/>
          <w:sz w:val="24"/>
          <w:szCs w:val="24"/>
        </w:rPr>
        <w:t xml:space="preserve">, 328 Mass. 621, 105 N.E.2d 469 (1952); </w:t>
      </w:r>
      <w:r w:rsidRPr="003B5EE7">
        <w:rPr>
          <w:rFonts w:ascii="Times New Roman" w:hAnsi="Times New Roman"/>
          <w:sz w:val="24"/>
          <w:szCs w:val="24"/>
          <w:u w:val="single"/>
        </w:rPr>
        <w:t>Brockton Housing Authority v. Williams</w:t>
      </w:r>
      <w:r w:rsidRPr="003B5EE7">
        <w:rPr>
          <w:rFonts w:ascii="Times New Roman" w:hAnsi="Times New Roman"/>
          <w:sz w:val="24"/>
          <w:szCs w:val="24"/>
        </w:rPr>
        <w:t xml:space="preserve">, 14 Mass. App. Ct. 955, 437 N.E.2d 1085 (1982); </w:t>
      </w:r>
      <w:r w:rsidRPr="003B5EE7">
        <w:rPr>
          <w:rFonts w:ascii="Times New Roman" w:hAnsi="Times New Roman"/>
          <w:sz w:val="24"/>
          <w:szCs w:val="24"/>
          <w:u w:val="single"/>
        </w:rPr>
        <w:t>Martins v. O’Neill</w:t>
      </w:r>
      <w:r w:rsidRPr="003B5EE7">
        <w:rPr>
          <w:rFonts w:ascii="Times New Roman" w:hAnsi="Times New Roman"/>
          <w:sz w:val="24"/>
          <w:szCs w:val="24"/>
        </w:rPr>
        <w:t xml:space="preserve">, Southeast Housing Court No. 02-SP-00415 (Chaplin, J., Jan. 31, 2003); </w:t>
      </w:r>
      <w:r w:rsidRPr="003B5EE7">
        <w:rPr>
          <w:rFonts w:ascii="Times New Roman" w:hAnsi="Times New Roman"/>
          <w:sz w:val="24"/>
          <w:szCs w:val="24"/>
          <w:u w:val="single"/>
        </w:rPr>
        <w:t xml:space="preserve">Bell v. </w:t>
      </w:r>
      <w:proofErr w:type="spellStart"/>
      <w:r w:rsidRPr="003B5EE7">
        <w:rPr>
          <w:rFonts w:ascii="Times New Roman" w:hAnsi="Times New Roman"/>
          <w:sz w:val="24"/>
          <w:szCs w:val="24"/>
          <w:u w:val="single"/>
        </w:rPr>
        <w:t>Blankney</w:t>
      </w:r>
      <w:proofErr w:type="spellEnd"/>
      <w:r w:rsidRPr="003B5EE7">
        <w:rPr>
          <w:rFonts w:ascii="Times New Roman" w:hAnsi="Times New Roman"/>
          <w:sz w:val="24"/>
          <w:szCs w:val="24"/>
        </w:rPr>
        <w:t xml:space="preserve">, Boston Housing Court No. 02-SP-01024 (Chaplin, J., May 13, 2002); </w:t>
      </w:r>
      <w:r w:rsidRPr="003B5EE7">
        <w:rPr>
          <w:rFonts w:ascii="Times New Roman" w:hAnsi="Times New Roman"/>
          <w:sz w:val="24"/>
          <w:szCs w:val="24"/>
          <w:u w:val="single"/>
        </w:rPr>
        <w:t>Holland v. Aquino</w:t>
      </w:r>
      <w:r w:rsidRPr="003B5EE7">
        <w:rPr>
          <w:rFonts w:ascii="Times New Roman" w:hAnsi="Times New Roman"/>
          <w:sz w:val="24"/>
          <w:szCs w:val="24"/>
        </w:rPr>
        <w:t>, Boston Housing Court No. 98-SP-02602 (Daher, C.J., July 1, 1998).</w:t>
      </w:r>
    </w:p>
    <w:p w14:paraId="14D1CD07"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p>
    <w:p w14:paraId="4FB33E90" w14:textId="77777777" w:rsidR="005A2306" w:rsidRPr="003B5EE7"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sectPr w:rsidR="005A2306" w:rsidRPr="003B5EE7">
          <w:type w:val="continuous"/>
          <w:pgSz w:w="12240" w:h="15840"/>
          <w:pgMar w:top="1440" w:right="1440" w:bottom="1440" w:left="1440" w:header="1440" w:footer="1440" w:gutter="0"/>
          <w:cols w:space="720"/>
          <w:noEndnote/>
        </w:sectPr>
      </w:pPr>
    </w:p>
    <w:p w14:paraId="2A73FCEB" w14:textId="77777777" w:rsidR="005A2306" w:rsidRPr="003B5EE7" w:rsidRDefault="005A2306" w:rsidP="005A2306">
      <w:pPr>
        <w:pStyle w:val="Level1"/>
        <w:numPr>
          <w:ilvl w:val="0"/>
          <w:numId w:val="1"/>
        </w:numPr>
        <w:tabs>
          <w:tab w:val="left" w:pos="-720"/>
          <w:tab w:val="left" w:leader="dot" w:pos="0"/>
          <w:tab w:val="left" w:pos="720"/>
          <w:tab w:val="left" w:pos="1440"/>
          <w:tab w:val="left" w:pos="2160"/>
          <w:tab w:val="left" w:pos="2880"/>
        </w:tabs>
        <w:ind w:left="720" w:hanging="720"/>
        <w:rPr>
          <w:rFonts w:ascii="Times New Roman" w:hAnsi="Times New Roman"/>
        </w:rPr>
      </w:pPr>
      <w:r w:rsidRPr="003B5EE7">
        <w:rPr>
          <w:rFonts w:ascii="Times New Roman" w:hAnsi="Times New Roman"/>
        </w:rPr>
        <w:t xml:space="preserve">In the present case, the Plaintiff (“Landlord”) has acted or failed to act in the following ways, and by so doing the parties’ conduct has reinstated the tenancy, and/or a new tenancy has been created </w:t>
      </w:r>
      <w:r w:rsidRPr="003B5EE7">
        <w:rPr>
          <w:rFonts w:ascii="Times New Roman" w:hAnsi="Times New Roman"/>
          <w:i/>
          <w:iCs/>
        </w:rPr>
        <w:t>[check all that apply</w:t>
      </w:r>
      <w:r w:rsidRPr="003B5EE7">
        <w:rPr>
          <w:rFonts w:ascii="Times New Roman" w:hAnsi="Times New Roman"/>
        </w:rPr>
        <w:t>]:</w:t>
      </w:r>
    </w:p>
    <w:p w14:paraId="3EBA9EB6" w14:textId="77777777" w:rsidR="005A2306" w:rsidRPr="003B5EE7" w:rsidRDefault="005A2306" w:rsidP="005A2306">
      <w:pPr>
        <w:spacing w:line="2" w:lineRule="exact"/>
        <w:rPr>
          <w:rFonts w:ascii="Times New Roman" w:hAnsi="Times New Roman"/>
          <w:sz w:val="24"/>
          <w:szCs w:val="24"/>
        </w:rPr>
      </w:pPr>
    </w:p>
    <w:p w14:paraId="3469B4CB" w14:textId="77777777" w:rsidR="00D02CEB" w:rsidRPr="003B5EE7" w:rsidRDefault="005A2306" w:rsidP="00D02CEB">
      <w:pPr>
        <w:pStyle w:val="HTMLPreformatted"/>
        <w:rPr>
          <w:rFonts w:ascii="Times New Roman" w:hAnsi="Times New Roman" w:cs="Times New Roman"/>
          <w:sz w:val="24"/>
          <w:szCs w:val="24"/>
        </w:rPr>
      </w:pPr>
      <w:r w:rsidRPr="003B5EE7">
        <w:rPr>
          <w:rFonts w:ascii="Times New Roman" w:hAnsi="Times New Roman" w:cs="Times New Roman"/>
          <w:sz w:val="24"/>
          <w:szCs w:val="24"/>
        </w:rPr>
        <w:tab/>
      </w:r>
    </w:p>
    <w:p w14:paraId="2A481C48" w14:textId="4FDD88FE" w:rsidR="00D02CEB" w:rsidRPr="003B5EE7" w:rsidRDefault="00070EA4" w:rsidP="00D02CEB">
      <w:pPr>
        <w:pStyle w:val="HTMLPreformatted"/>
        <w:rPr>
          <w:rFonts w:ascii="Times New Roman" w:hAnsi="Times New Roman" w:cs="Times New Roman"/>
          <w:color w:val="404040"/>
          <w:sz w:val="24"/>
          <w:szCs w:val="24"/>
        </w:rPr>
      </w:pPr>
      <w:r w:rsidRPr="003B5EE7">
        <w:rPr>
          <w:rFonts w:ascii="Times New Roman" w:hAnsi="Times New Roman" w:cs="Times New Roman"/>
          <w:color w:val="404040"/>
          <w:sz w:val="24"/>
          <w:szCs w:val="24"/>
        </w:rPr>
        <w:t xml:space="preserve">       </w:t>
      </w:r>
      <w:r w:rsidR="0088266A">
        <w:rPr>
          <w:rFonts w:ascii="Times New Roman" w:hAnsi="Times New Roman" w:cs="Times New Roman"/>
          <w:color w:val="404040"/>
          <w:sz w:val="24"/>
          <w:szCs w:val="24"/>
        </w:rPr>
        <w:t xml:space="preserve">     </w:t>
      </w:r>
      <w:r w:rsidR="00AD5BEE" w:rsidRPr="003B5EE7">
        <w:rPr>
          <w:rStyle w:val="p"/>
          <w:rFonts w:ascii="Times New Roman" w:hAnsi="Times New Roman" w:cs="Times New Roman"/>
          <w:color w:val="404040"/>
          <w:sz w:val="24"/>
          <w:szCs w:val="24"/>
        </w:rPr>
        <w:t>{</w:t>
      </w:r>
      <w:r w:rsidR="00AD5BEE" w:rsidRPr="003B5EE7">
        <w:rPr>
          <w:rStyle w:val="o"/>
          <w:rFonts w:ascii="Times New Roman" w:hAnsi="Times New Roman" w:cs="Times New Roman"/>
          <w:color w:val="666666"/>
          <w:sz w:val="24"/>
          <w:szCs w:val="24"/>
        </w:rPr>
        <w:t>%</w:t>
      </w:r>
      <w:r w:rsidR="00AD5BEE" w:rsidRPr="003B5EE7">
        <w:rPr>
          <w:rStyle w:val="n"/>
          <w:rFonts w:ascii="Times New Roman" w:hAnsi="Times New Roman" w:cs="Times New Roman"/>
          <w:color w:val="404040"/>
          <w:sz w:val="24"/>
          <w:szCs w:val="24"/>
        </w:rPr>
        <w:t>p</w:t>
      </w:r>
      <w:r w:rsidR="0096695D">
        <w:rPr>
          <w:rFonts w:ascii="Times New Roman" w:hAnsi="Times New Roman" w:cs="Times New Roman"/>
          <w:color w:val="404040"/>
          <w:sz w:val="24"/>
          <w:szCs w:val="24"/>
        </w:rPr>
        <w:t xml:space="preserve"> if </w:t>
      </w:r>
      <w:proofErr w:type="spellStart"/>
      <w:r w:rsidR="00D0681D" w:rsidRPr="00D0681D">
        <w:rPr>
          <w:rFonts w:ascii="Times New Roman" w:hAnsi="Times New Roman" w:cs="Times New Roman"/>
          <w:color w:val="404040"/>
          <w:sz w:val="24"/>
          <w:szCs w:val="24"/>
        </w:rPr>
        <w:t>reservation_rights</w:t>
      </w:r>
      <w:proofErr w:type="spellEnd"/>
      <w:r w:rsidR="00D0681D">
        <w:rPr>
          <w:rFonts w:ascii="Times New Roman" w:hAnsi="Times New Roman" w:cs="Times New Roman"/>
          <w:color w:val="404040"/>
          <w:sz w:val="24"/>
          <w:szCs w:val="24"/>
        </w:rPr>
        <w:t xml:space="preserve"> and </w:t>
      </w:r>
      <w:proofErr w:type="spellStart"/>
      <w:r w:rsidR="00F00C61" w:rsidRPr="00B16B25">
        <w:rPr>
          <w:rStyle w:val="n"/>
          <w:rFonts w:ascii="Times New Roman" w:hAnsi="Times New Roman" w:cs="Times New Roman"/>
          <w:color w:val="404040"/>
          <w:sz w:val="24"/>
          <w:szCs w:val="24"/>
        </w:rPr>
        <w:t>continue</w:t>
      </w:r>
      <w:r w:rsidR="00F00C61">
        <w:rPr>
          <w:rStyle w:val="n"/>
          <w:rFonts w:ascii="Times New Roman" w:hAnsi="Times New Roman" w:cs="Times New Roman"/>
          <w:color w:val="404040"/>
          <w:sz w:val="24"/>
          <w:szCs w:val="24"/>
        </w:rPr>
        <w:t>_</w:t>
      </w:r>
      <w:r w:rsidR="00F00C61" w:rsidRPr="00B16B25">
        <w:rPr>
          <w:rStyle w:val="n"/>
          <w:rFonts w:ascii="Times New Roman" w:hAnsi="Times New Roman" w:cs="Times New Roman"/>
          <w:color w:val="404040"/>
          <w:sz w:val="24"/>
          <w:szCs w:val="24"/>
        </w:rPr>
        <w:t>payments</w:t>
      </w:r>
      <w:proofErr w:type="spellEnd"/>
      <w:r w:rsidR="0096695D">
        <w:rPr>
          <w:rStyle w:val="n"/>
          <w:rFonts w:ascii="Times New Roman" w:hAnsi="Times New Roman" w:cs="Times New Roman"/>
          <w:color w:val="404040"/>
          <w:sz w:val="24"/>
          <w:szCs w:val="24"/>
        </w:rPr>
        <w:t xml:space="preserve"> </w:t>
      </w:r>
      <w:r w:rsidR="00AD5BEE" w:rsidRPr="003B5EE7">
        <w:rPr>
          <w:rStyle w:val="o"/>
          <w:rFonts w:ascii="Times New Roman" w:hAnsi="Times New Roman" w:cs="Times New Roman"/>
          <w:color w:val="666666"/>
          <w:sz w:val="24"/>
          <w:szCs w:val="24"/>
        </w:rPr>
        <w:t>%</w:t>
      </w:r>
      <w:r w:rsidR="00AD5BEE" w:rsidRPr="003B5EE7">
        <w:rPr>
          <w:rStyle w:val="p"/>
          <w:rFonts w:ascii="Times New Roman" w:hAnsi="Times New Roman" w:cs="Times New Roman"/>
          <w:color w:val="404040"/>
          <w:sz w:val="24"/>
          <w:szCs w:val="24"/>
        </w:rPr>
        <w:t>}</w:t>
      </w:r>
    </w:p>
    <w:p w14:paraId="53352016" w14:textId="733762C0" w:rsidR="005A2306" w:rsidRPr="003B5EE7" w:rsidRDefault="00D02CEB"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iCs/>
          <w:sz w:val="24"/>
          <w:szCs w:val="24"/>
        </w:rPr>
      </w:pPr>
      <w:r w:rsidRPr="003B5EE7">
        <w:rPr>
          <w:rFonts w:ascii="Times New Roman" w:hAnsi="Times New Roman"/>
          <w:sz w:val="24"/>
          <w:szCs w:val="24"/>
        </w:rPr>
        <w:tab/>
      </w:r>
      <w:r w:rsidR="005A2306" w:rsidRPr="003B5EE7">
        <w:rPr>
          <w:rFonts w:ascii="Times New Roman" w:hAnsi="Times New Roman"/>
          <w:sz w:val="24"/>
          <w:szCs w:val="24"/>
        </w:rPr>
        <w:t>The notice to quit served on the Tenant and filed in this court as a basis for this action has no language reserving future monies received from the Tenant as use and occupancy and not as rent (see notice to quit, a copy of which is attached). The Landlord has accepted rent for the month(s) of</w:t>
      </w:r>
      <w:r w:rsidR="003C4931" w:rsidRPr="003B5EE7">
        <w:rPr>
          <w:rFonts w:ascii="Times New Roman" w:hAnsi="Times New Roman"/>
          <w:sz w:val="24"/>
          <w:szCs w:val="24"/>
        </w:rPr>
        <w:t xml:space="preserve"> {{</w:t>
      </w:r>
      <w:proofErr w:type="spellStart"/>
      <w:r w:rsidR="003C4931" w:rsidRPr="003B5EE7">
        <w:rPr>
          <w:rFonts w:ascii="Times New Roman" w:hAnsi="Times New Roman"/>
          <w:sz w:val="24"/>
          <w:szCs w:val="24"/>
        </w:rPr>
        <w:t>rent_month</w:t>
      </w:r>
      <w:proofErr w:type="spellEnd"/>
      <w:r w:rsidR="003C4931" w:rsidRPr="003B5EE7">
        <w:rPr>
          <w:rFonts w:ascii="Times New Roman" w:hAnsi="Times New Roman"/>
          <w:sz w:val="24"/>
          <w:szCs w:val="24"/>
        </w:rPr>
        <w:t>}}</w:t>
      </w:r>
      <w:r w:rsidR="00DC7D7F" w:rsidRPr="003B5EE7">
        <w:rPr>
          <w:rFonts w:ascii="Times New Roman" w:hAnsi="Times New Roman"/>
          <w:sz w:val="24"/>
          <w:szCs w:val="24"/>
        </w:rPr>
        <w:t xml:space="preserve"> </w:t>
      </w:r>
      <w:r w:rsidR="005A2306" w:rsidRPr="003B5EE7">
        <w:rPr>
          <w:rFonts w:ascii="Times New Roman" w:hAnsi="Times New Roman"/>
          <w:sz w:val="24"/>
          <w:szCs w:val="24"/>
        </w:rPr>
        <w:t xml:space="preserve">subsequent to the expiration of the notice to quit, without any reservation of rights. </w:t>
      </w:r>
      <w:r w:rsidR="005A2306" w:rsidRPr="003B5EE7">
        <w:rPr>
          <w:rFonts w:ascii="Times New Roman" w:hAnsi="Times New Roman"/>
          <w:i/>
          <w:iCs/>
          <w:sz w:val="24"/>
          <w:szCs w:val="24"/>
        </w:rPr>
        <w:t xml:space="preserve">[Attach any proof of rent payments and manner of </w:t>
      </w:r>
      <w:r w:rsidR="005A2306" w:rsidRPr="003B5EE7">
        <w:rPr>
          <w:rFonts w:ascii="Times New Roman" w:hAnsi="Times New Roman"/>
          <w:i/>
          <w:iCs/>
          <w:sz w:val="24"/>
          <w:szCs w:val="24"/>
        </w:rPr>
        <w:lastRenderedPageBreak/>
        <w:t>acceptance that the Tenant may have.]</w:t>
      </w:r>
      <w:r w:rsidR="006E3B9F" w:rsidRPr="003B5EE7">
        <w:rPr>
          <w:rFonts w:ascii="Times New Roman" w:hAnsi="Times New Roman"/>
          <w:i/>
          <w:iCs/>
          <w:sz w:val="24"/>
          <w:szCs w:val="24"/>
        </w:rPr>
        <w:t xml:space="preserve">  </w:t>
      </w:r>
      <w:r w:rsidR="006E3B9F" w:rsidRPr="003B5EE7">
        <w:rPr>
          <w:rFonts w:ascii="Times New Roman" w:hAnsi="Times New Roman"/>
          <w:iCs/>
          <w:sz w:val="24"/>
          <w:szCs w:val="24"/>
        </w:rPr>
        <w:t xml:space="preserve">See </w:t>
      </w:r>
      <w:proofErr w:type="spellStart"/>
      <w:r w:rsidR="006E3B9F" w:rsidRPr="003B5EE7">
        <w:rPr>
          <w:rFonts w:ascii="Times New Roman" w:hAnsi="Times New Roman"/>
          <w:iCs/>
          <w:sz w:val="24"/>
          <w:szCs w:val="24"/>
          <w:u w:val="single"/>
        </w:rPr>
        <w:t>Tokar</w:t>
      </w:r>
      <w:proofErr w:type="spellEnd"/>
      <w:r w:rsidR="006E3B9F" w:rsidRPr="003B5EE7">
        <w:rPr>
          <w:rFonts w:ascii="Times New Roman" w:hAnsi="Times New Roman"/>
          <w:iCs/>
          <w:sz w:val="24"/>
          <w:szCs w:val="24"/>
          <w:u w:val="single"/>
        </w:rPr>
        <w:t xml:space="preserve"> v. </w:t>
      </w:r>
      <w:proofErr w:type="spellStart"/>
      <w:r w:rsidR="006E3B9F" w:rsidRPr="003B5EE7">
        <w:rPr>
          <w:rFonts w:ascii="Times New Roman" w:hAnsi="Times New Roman"/>
          <w:iCs/>
          <w:sz w:val="24"/>
          <w:szCs w:val="24"/>
          <w:u w:val="single"/>
        </w:rPr>
        <w:t>Goffigan</w:t>
      </w:r>
      <w:proofErr w:type="spellEnd"/>
      <w:r w:rsidR="006E3B9F" w:rsidRPr="003B5EE7">
        <w:rPr>
          <w:rFonts w:ascii="Times New Roman" w:hAnsi="Times New Roman"/>
          <w:iCs/>
          <w:sz w:val="24"/>
          <w:szCs w:val="24"/>
        </w:rPr>
        <w:t>, Boston Housing Court Docket No. 08-SP-0486 (Muirhead, J., March 12, 2008) (owner accepted rent after notice to quit and did not reserve rights in either notice to quit or at time rent was accepted).</w:t>
      </w:r>
    </w:p>
    <w:p w14:paraId="6B15A1DB" w14:textId="01CC27B8" w:rsidR="00AD5BEE" w:rsidRPr="003B5EE7" w:rsidRDefault="00AD5BEE" w:rsidP="00AD5BEE">
      <w:pPr>
        <w:pStyle w:val="HTMLPreformatted"/>
        <w:rPr>
          <w:rFonts w:ascii="Times New Roman" w:hAnsi="Times New Roman" w:cs="Times New Roman"/>
          <w:color w:val="404040"/>
          <w:sz w:val="24"/>
          <w:szCs w:val="24"/>
        </w:rPr>
      </w:pPr>
      <w:r w:rsidRPr="003B5EE7">
        <w:rPr>
          <w:rFonts w:ascii="Times New Roman" w:hAnsi="Times New Roman" w:cs="Times New Roman"/>
          <w:iCs/>
          <w:sz w:val="24"/>
          <w:szCs w:val="24"/>
        </w:rPr>
        <w:t xml:space="preserve">            </w:t>
      </w:r>
    </w:p>
    <w:p w14:paraId="01F23CC2" w14:textId="2D7539F6" w:rsidR="003B5EE7" w:rsidRPr="003B5EE7" w:rsidRDefault="003B5EE7" w:rsidP="00AD5BEE">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 xml:space="preserve"> </w:t>
      </w:r>
    </w:p>
    <w:p w14:paraId="4240352A" w14:textId="101C5E97" w:rsidR="005A2306"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ab/>
        <w:t xml:space="preserve">The Tenant continued to tender rent payments by check to the Landlord after the expiration of the notice to quit.  The Landlord only reserved rights regarding how such payment was being accepted on the back of the checks that the Tenant used to pay his/her rent, and such reservation is not sufficient because it does not give the Tenant seasonable notice of such reservation.  See </w:t>
      </w:r>
      <w:r w:rsidRPr="003B5EE7">
        <w:rPr>
          <w:rFonts w:ascii="Times New Roman" w:hAnsi="Times New Roman"/>
          <w:sz w:val="24"/>
          <w:szCs w:val="24"/>
          <w:u w:val="single"/>
        </w:rPr>
        <w:t>Whitehouse Restaurant v. Hoffman</w:t>
      </w:r>
      <w:r w:rsidRPr="003B5EE7">
        <w:rPr>
          <w:rFonts w:ascii="Times New Roman" w:hAnsi="Times New Roman"/>
          <w:sz w:val="24"/>
          <w:szCs w:val="24"/>
        </w:rPr>
        <w:t xml:space="preserve">, 320 Mass. 183, 68 N.E.2d 686 (1946); </w:t>
      </w:r>
      <w:r w:rsidRPr="003B5EE7">
        <w:rPr>
          <w:rFonts w:ascii="Times New Roman" w:hAnsi="Times New Roman"/>
          <w:sz w:val="24"/>
          <w:szCs w:val="24"/>
          <w:u w:val="single"/>
        </w:rPr>
        <w:t>Armstrong v. Appel</w:t>
      </w:r>
      <w:r w:rsidRPr="003B5EE7">
        <w:rPr>
          <w:rFonts w:ascii="Times New Roman" w:hAnsi="Times New Roman"/>
          <w:sz w:val="24"/>
          <w:szCs w:val="24"/>
        </w:rPr>
        <w:t>, Boston Housing Court No. 96-SP-002</w:t>
      </w:r>
      <w:r w:rsidR="000A17E4" w:rsidRPr="003B5EE7">
        <w:rPr>
          <w:rFonts w:ascii="Times New Roman" w:hAnsi="Times New Roman"/>
          <w:sz w:val="24"/>
          <w:szCs w:val="24"/>
        </w:rPr>
        <w:t xml:space="preserve">76 (Daher, C.J., May 29, 1996); </w:t>
      </w:r>
      <w:r w:rsidR="000A17E4" w:rsidRPr="003B5EE7">
        <w:rPr>
          <w:rFonts w:ascii="Times New Roman" w:hAnsi="Times New Roman"/>
          <w:sz w:val="24"/>
          <w:szCs w:val="24"/>
          <w:u w:val="single"/>
        </w:rPr>
        <w:t>Palmer v. Miles</w:t>
      </w:r>
      <w:r w:rsidR="000A17E4" w:rsidRPr="003B5EE7">
        <w:rPr>
          <w:rFonts w:ascii="Times New Roman" w:hAnsi="Times New Roman"/>
          <w:sz w:val="24"/>
          <w:szCs w:val="24"/>
        </w:rPr>
        <w:t>, Eastern Housing Court No. 17-H84-SP-5097 (Theophilis, J., Jan. 26, 2018).</w:t>
      </w:r>
    </w:p>
    <w:p w14:paraId="2B6588CC" w14:textId="291C7B84" w:rsidR="003B5EE7" w:rsidRPr="003B5EE7" w:rsidRDefault="003B5EE7"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Pr>
          <w:rFonts w:ascii="Times New Roman" w:hAnsi="Times New Roman"/>
          <w:sz w:val="24"/>
          <w:szCs w:val="24"/>
        </w:rPr>
        <w:tab/>
      </w:r>
      <w:r w:rsidRPr="003B5EE7">
        <w:rPr>
          <w:rStyle w:val="p"/>
          <w:rFonts w:ascii="Times New Roman" w:hAnsi="Times New Roman"/>
          <w:color w:val="404040"/>
          <w:sz w:val="24"/>
          <w:szCs w:val="24"/>
        </w:rPr>
        <w:t>{</w:t>
      </w:r>
      <w:r w:rsidRPr="003B5EE7">
        <w:rPr>
          <w:rStyle w:val="o"/>
          <w:rFonts w:ascii="Times New Roman" w:hAnsi="Times New Roman"/>
          <w:color w:val="666666"/>
          <w:sz w:val="24"/>
          <w:szCs w:val="24"/>
        </w:rPr>
        <w:t>%</w:t>
      </w:r>
      <w:r w:rsidRPr="003B5EE7">
        <w:rPr>
          <w:rStyle w:val="n"/>
          <w:rFonts w:ascii="Times New Roman" w:hAnsi="Times New Roman"/>
          <w:color w:val="404040"/>
          <w:sz w:val="24"/>
          <w:szCs w:val="24"/>
        </w:rPr>
        <w:t>p</w:t>
      </w:r>
      <w:r w:rsidRPr="003B5EE7">
        <w:rPr>
          <w:rFonts w:ascii="Times New Roman" w:hAnsi="Times New Roman"/>
          <w:color w:val="404040"/>
          <w:sz w:val="24"/>
          <w:szCs w:val="24"/>
        </w:rPr>
        <w:t xml:space="preserve"> </w:t>
      </w:r>
      <w:proofErr w:type="gramStart"/>
      <w:r w:rsidRPr="003B5EE7">
        <w:rPr>
          <w:rStyle w:val="n"/>
          <w:rFonts w:ascii="Times New Roman" w:hAnsi="Times New Roman"/>
          <w:color w:val="404040"/>
          <w:sz w:val="24"/>
          <w:szCs w:val="24"/>
        </w:rPr>
        <w:t>endif</w:t>
      </w:r>
      <w:r w:rsidR="0014764A">
        <w:rPr>
          <w:rStyle w:val="n"/>
          <w:rFonts w:ascii="Times New Roman" w:hAnsi="Times New Roman"/>
          <w:color w:val="404040"/>
          <w:sz w:val="24"/>
          <w:szCs w:val="24"/>
        </w:rPr>
        <w:t xml:space="preserve"> </w:t>
      </w:r>
      <w:r w:rsidRPr="003B5EE7">
        <w:rPr>
          <w:rFonts w:ascii="Times New Roman" w:hAnsi="Times New Roman"/>
          <w:color w:val="404040"/>
          <w:sz w:val="24"/>
          <w:szCs w:val="24"/>
        </w:rPr>
        <w:t xml:space="preserve"> </w:t>
      </w:r>
      <w:r w:rsidRPr="003B5EE7">
        <w:rPr>
          <w:rStyle w:val="o"/>
          <w:rFonts w:ascii="Times New Roman" w:hAnsi="Times New Roman"/>
          <w:color w:val="666666"/>
          <w:sz w:val="24"/>
          <w:szCs w:val="24"/>
        </w:rPr>
        <w:t>%</w:t>
      </w:r>
      <w:proofErr w:type="gramEnd"/>
      <w:r w:rsidRPr="003B5EE7">
        <w:rPr>
          <w:rStyle w:val="p"/>
          <w:rFonts w:ascii="Times New Roman" w:hAnsi="Times New Roman"/>
          <w:color w:val="404040"/>
          <w:sz w:val="24"/>
          <w:szCs w:val="24"/>
        </w:rPr>
        <w:t>}</w:t>
      </w:r>
    </w:p>
    <w:p w14:paraId="34446220" w14:textId="55C94D41" w:rsidR="005A2306" w:rsidRPr="003B5EE7" w:rsidRDefault="003B5EE7"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r w:rsidRPr="003B5EE7">
        <w:rPr>
          <w:rFonts w:ascii="Times New Roman" w:hAnsi="Times New Roman"/>
          <w:sz w:val="24"/>
          <w:szCs w:val="24"/>
        </w:rPr>
        <w:tab/>
      </w:r>
    </w:p>
    <w:p w14:paraId="26A58883" w14:textId="571646D4" w:rsidR="003B5EE7" w:rsidRPr="003B5EE7" w:rsidRDefault="003B5EE7" w:rsidP="0088266A">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ab/>
        <w:t>{%p if</w:t>
      </w:r>
      <w:r w:rsidR="00065608">
        <w:rPr>
          <w:rFonts w:ascii="Times New Roman" w:hAnsi="Times New Roman"/>
          <w:sz w:val="24"/>
          <w:szCs w:val="24"/>
        </w:rPr>
        <w:t xml:space="preserve"> </w:t>
      </w:r>
      <w:proofErr w:type="spellStart"/>
      <w:r w:rsidR="00065608">
        <w:rPr>
          <w:rFonts w:ascii="Times New Roman" w:hAnsi="Times New Roman"/>
          <w:sz w:val="24"/>
          <w:szCs w:val="24"/>
        </w:rPr>
        <w:t>effective_after_notice</w:t>
      </w:r>
      <w:proofErr w:type="spellEnd"/>
      <w:r w:rsidR="00065608">
        <w:rPr>
          <w:rFonts w:ascii="Times New Roman" w:hAnsi="Times New Roman"/>
          <w:sz w:val="24"/>
          <w:szCs w:val="24"/>
        </w:rPr>
        <w:t xml:space="preserve"> </w:t>
      </w:r>
      <w:r w:rsidR="0014764A">
        <w:rPr>
          <w:rFonts w:ascii="Times New Roman" w:hAnsi="Times New Roman"/>
          <w:sz w:val="24"/>
          <w:szCs w:val="24"/>
        </w:rPr>
        <w:t>%}</w:t>
      </w:r>
    </w:p>
    <w:p w14:paraId="3E75459C" w14:textId="2994535B" w:rsidR="005A2306"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ab/>
        <w:t xml:space="preserve">The Landlord entered into a new lease or executed lease renewal or extension documents effective after service of the notice to quit. </w:t>
      </w:r>
      <w:r w:rsidRPr="003B5EE7">
        <w:rPr>
          <w:rFonts w:ascii="Times New Roman" w:hAnsi="Times New Roman"/>
          <w:i/>
          <w:iCs/>
          <w:sz w:val="24"/>
          <w:szCs w:val="24"/>
        </w:rPr>
        <w:t>[Attach copies of any such documents.]</w:t>
      </w:r>
      <w:r w:rsidRPr="003B5EE7">
        <w:rPr>
          <w:rFonts w:ascii="Times New Roman" w:hAnsi="Times New Roman"/>
          <w:sz w:val="24"/>
          <w:szCs w:val="24"/>
        </w:rPr>
        <w:t xml:space="preserve"> See </w:t>
      </w:r>
      <w:r w:rsidRPr="003B5EE7">
        <w:rPr>
          <w:rFonts w:ascii="Times New Roman" w:hAnsi="Times New Roman"/>
          <w:sz w:val="24"/>
          <w:szCs w:val="24"/>
          <w:u w:val="single"/>
        </w:rPr>
        <w:t xml:space="preserve">Grant Manor, LP c/o </w:t>
      </w:r>
      <w:proofErr w:type="spellStart"/>
      <w:r w:rsidRPr="003B5EE7">
        <w:rPr>
          <w:rFonts w:ascii="Times New Roman" w:hAnsi="Times New Roman"/>
          <w:sz w:val="24"/>
          <w:szCs w:val="24"/>
          <w:u w:val="single"/>
        </w:rPr>
        <w:t>Cornu</w:t>
      </w:r>
      <w:proofErr w:type="spellEnd"/>
      <w:r w:rsidRPr="003B5EE7">
        <w:rPr>
          <w:rFonts w:ascii="Times New Roman" w:hAnsi="Times New Roman"/>
          <w:sz w:val="24"/>
          <w:szCs w:val="24"/>
          <w:u w:val="single"/>
        </w:rPr>
        <w:t xml:space="preserve"> Mgt. v. </w:t>
      </w:r>
      <w:proofErr w:type="spellStart"/>
      <w:r w:rsidRPr="003B5EE7">
        <w:rPr>
          <w:rFonts w:ascii="Times New Roman" w:hAnsi="Times New Roman"/>
          <w:sz w:val="24"/>
          <w:szCs w:val="24"/>
          <w:u w:val="single"/>
        </w:rPr>
        <w:t>Gerena</w:t>
      </w:r>
      <w:proofErr w:type="spellEnd"/>
      <w:r w:rsidRPr="003B5EE7">
        <w:rPr>
          <w:rFonts w:ascii="Times New Roman" w:hAnsi="Times New Roman"/>
          <w:sz w:val="24"/>
          <w:szCs w:val="24"/>
        </w:rPr>
        <w:t xml:space="preserve">, Boston Housing Court No. 04-SP-02581 (Nasif, J., December 23, 2004); </w:t>
      </w:r>
      <w:r w:rsidRPr="003B5EE7">
        <w:rPr>
          <w:rFonts w:ascii="Times New Roman" w:hAnsi="Times New Roman"/>
          <w:sz w:val="24"/>
          <w:szCs w:val="24"/>
          <w:u w:val="single"/>
        </w:rPr>
        <w:t>Chestnut Hill Realty Corp. v. Mahoney</w:t>
      </w:r>
      <w:r w:rsidRPr="003B5EE7">
        <w:rPr>
          <w:rFonts w:ascii="Times New Roman" w:hAnsi="Times New Roman"/>
          <w:sz w:val="24"/>
          <w:szCs w:val="24"/>
        </w:rPr>
        <w:t xml:space="preserve">, Boston Housing Court No. 94-SP-05358 (Winik, J., September 13, 1996); </w:t>
      </w:r>
      <w:proofErr w:type="spellStart"/>
      <w:r w:rsidRPr="003B5EE7">
        <w:rPr>
          <w:rFonts w:ascii="Times New Roman" w:hAnsi="Times New Roman"/>
          <w:sz w:val="24"/>
          <w:szCs w:val="24"/>
          <w:u w:val="single"/>
        </w:rPr>
        <w:t>Elad</w:t>
      </w:r>
      <w:proofErr w:type="spellEnd"/>
      <w:r w:rsidRPr="003B5EE7">
        <w:rPr>
          <w:rFonts w:ascii="Times New Roman" w:hAnsi="Times New Roman"/>
          <w:sz w:val="24"/>
          <w:szCs w:val="24"/>
          <w:u w:val="single"/>
        </w:rPr>
        <w:t xml:space="preserve"> v. Tenants Development Corp</w:t>
      </w:r>
      <w:r w:rsidRPr="003B5EE7">
        <w:rPr>
          <w:rFonts w:ascii="Times New Roman" w:hAnsi="Times New Roman"/>
          <w:sz w:val="24"/>
          <w:szCs w:val="24"/>
        </w:rPr>
        <w:t xml:space="preserve">., Boston Housing Court Civil Action No. 24891 (Daher, C.J., May 27, 1998); </w:t>
      </w:r>
      <w:r w:rsidRPr="003B5EE7">
        <w:rPr>
          <w:rFonts w:ascii="Times New Roman" w:hAnsi="Times New Roman"/>
          <w:sz w:val="24"/>
          <w:szCs w:val="24"/>
          <w:u w:val="single"/>
        </w:rPr>
        <w:t xml:space="preserve">Burbank v. </w:t>
      </w:r>
      <w:proofErr w:type="spellStart"/>
      <w:r w:rsidRPr="003B5EE7">
        <w:rPr>
          <w:rFonts w:ascii="Times New Roman" w:hAnsi="Times New Roman"/>
          <w:sz w:val="24"/>
          <w:szCs w:val="24"/>
          <w:u w:val="single"/>
        </w:rPr>
        <w:t>Werman</w:t>
      </w:r>
      <w:proofErr w:type="spellEnd"/>
      <w:r w:rsidRPr="003B5EE7">
        <w:rPr>
          <w:rFonts w:ascii="Times New Roman" w:hAnsi="Times New Roman"/>
          <w:sz w:val="24"/>
          <w:szCs w:val="24"/>
        </w:rPr>
        <w:t xml:space="preserve">, Boston Housing Court Civil Action No. 06432 (King, J., August 4, 1977); </w:t>
      </w:r>
      <w:r w:rsidRPr="003B5EE7">
        <w:rPr>
          <w:rFonts w:ascii="Times New Roman" w:hAnsi="Times New Roman"/>
          <w:sz w:val="24"/>
          <w:szCs w:val="24"/>
          <w:u w:val="single"/>
        </w:rPr>
        <w:t>Montgomery Gateway East I v. Herrera</w:t>
      </w:r>
      <w:r w:rsidRPr="003B5EE7">
        <w:rPr>
          <w:rFonts w:ascii="Times New Roman" w:hAnsi="Times New Roman"/>
          <w:sz w:val="24"/>
          <w:szCs w:val="24"/>
        </w:rPr>
        <w:t xml:space="preserve">, 261 N.J. Super. 235, 241, 618 A.2d 865, 867 (1992).  See also </w:t>
      </w:r>
      <w:r w:rsidRPr="003B5EE7">
        <w:rPr>
          <w:rFonts w:ascii="Times New Roman" w:hAnsi="Times New Roman"/>
          <w:sz w:val="24"/>
          <w:szCs w:val="24"/>
          <w:u w:val="single"/>
        </w:rPr>
        <w:t xml:space="preserve">Chillicothe Metro. </w:t>
      </w:r>
      <w:proofErr w:type="spellStart"/>
      <w:r w:rsidRPr="003B5EE7">
        <w:rPr>
          <w:rFonts w:ascii="Times New Roman" w:hAnsi="Times New Roman"/>
          <w:sz w:val="24"/>
          <w:szCs w:val="24"/>
          <w:u w:val="single"/>
        </w:rPr>
        <w:t>Hous</w:t>
      </w:r>
      <w:proofErr w:type="spellEnd"/>
      <w:r w:rsidRPr="003B5EE7">
        <w:rPr>
          <w:rFonts w:ascii="Times New Roman" w:hAnsi="Times New Roman"/>
          <w:sz w:val="24"/>
          <w:szCs w:val="24"/>
          <w:u w:val="single"/>
        </w:rPr>
        <w:t>. Auth. v. Anderson</w:t>
      </w:r>
      <w:r w:rsidRPr="003B5EE7">
        <w:rPr>
          <w:rFonts w:ascii="Times New Roman" w:hAnsi="Times New Roman"/>
          <w:sz w:val="24"/>
          <w:szCs w:val="24"/>
        </w:rPr>
        <w:t xml:space="preserve">, 1988 Ohio App. LEXIS 2552, 1988 WL 69118 (Ohio App. 4 Dist.); </w:t>
      </w:r>
      <w:r w:rsidRPr="003B5EE7">
        <w:rPr>
          <w:rFonts w:ascii="Times New Roman" w:hAnsi="Times New Roman"/>
          <w:sz w:val="24"/>
          <w:szCs w:val="24"/>
          <w:u w:val="single"/>
        </w:rPr>
        <w:t xml:space="preserve">Gallatin Housing Authority v. </w:t>
      </w:r>
      <w:proofErr w:type="spellStart"/>
      <w:r w:rsidRPr="003B5EE7">
        <w:rPr>
          <w:rFonts w:ascii="Times New Roman" w:hAnsi="Times New Roman"/>
          <w:sz w:val="24"/>
          <w:szCs w:val="24"/>
          <w:u w:val="single"/>
        </w:rPr>
        <w:t>Montesillo</w:t>
      </w:r>
      <w:proofErr w:type="spellEnd"/>
      <w:r w:rsidRPr="003B5EE7">
        <w:rPr>
          <w:rFonts w:ascii="Times New Roman" w:hAnsi="Times New Roman"/>
          <w:sz w:val="24"/>
          <w:szCs w:val="24"/>
        </w:rPr>
        <w:t xml:space="preserve">, 2002 Tenn. App. LEXIS 574, 2002 WL 1800968 (Tenn. Ct. App.); </w:t>
      </w:r>
      <w:r w:rsidRPr="003B5EE7">
        <w:rPr>
          <w:rFonts w:ascii="Times New Roman" w:hAnsi="Times New Roman"/>
          <w:sz w:val="24"/>
          <w:szCs w:val="24"/>
          <w:u w:val="single"/>
        </w:rPr>
        <w:t>Superior Housing Authority  v. Foote</w:t>
      </w:r>
      <w:r w:rsidRPr="003B5EE7">
        <w:rPr>
          <w:rFonts w:ascii="Times New Roman" w:hAnsi="Times New Roman"/>
          <w:sz w:val="24"/>
          <w:szCs w:val="24"/>
        </w:rPr>
        <w:t>, 158 Wisc.2d 732, 463 N.W.2d 882 (table), 1990 WL 19817</w:t>
      </w:r>
      <w:r w:rsidR="00820A0D" w:rsidRPr="003B5EE7">
        <w:rPr>
          <w:rFonts w:ascii="Times New Roman" w:hAnsi="Times New Roman"/>
          <w:sz w:val="24"/>
          <w:szCs w:val="24"/>
        </w:rPr>
        <w:t>3 (Wisc. App. 1990)</w:t>
      </w:r>
      <w:r w:rsidR="00086477" w:rsidRPr="003B5EE7">
        <w:rPr>
          <w:rFonts w:ascii="Times New Roman" w:hAnsi="Times New Roman"/>
          <w:sz w:val="24"/>
          <w:szCs w:val="24"/>
        </w:rPr>
        <w:t xml:space="preserve">; </w:t>
      </w:r>
      <w:r w:rsidR="00086477" w:rsidRPr="003B5EE7">
        <w:rPr>
          <w:rFonts w:ascii="Times New Roman" w:hAnsi="Times New Roman"/>
          <w:sz w:val="24"/>
          <w:szCs w:val="24"/>
          <w:u w:val="single"/>
        </w:rPr>
        <w:t>Millennia Housing Mgt. v. Williams</w:t>
      </w:r>
      <w:r w:rsidR="00086477" w:rsidRPr="003B5EE7">
        <w:rPr>
          <w:rFonts w:ascii="Times New Roman" w:hAnsi="Times New Roman"/>
          <w:sz w:val="24"/>
          <w:szCs w:val="24"/>
        </w:rPr>
        <w:t>, 2015 WL 1276464 (Ohio App. 8 Dist.).</w:t>
      </w:r>
    </w:p>
    <w:p w14:paraId="3A4E9477" w14:textId="3684D4FC" w:rsidR="00607AAB" w:rsidRPr="003B5EE7" w:rsidRDefault="00607AAB"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color w:val="0000CC"/>
          <w:sz w:val="24"/>
          <w:szCs w:val="24"/>
        </w:rPr>
      </w:pPr>
      <w:r>
        <w:rPr>
          <w:rFonts w:ascii="Times New Roman" w:hAnsi="Times New Roman"/>
          <w:sz w:val="24"/>
          <w:szCs w:val="24"/>
        </w:rPr>
        <w:tab/>
      </w:r>
      <w:r w:rsidRPr="003B5EE7">
        <w:rPr>
          <w:rStyle w:val="p"/>
          <w:rFonts w:ascii="Times New Roman" w:hAnsi="Times New Roman"/>
          <w:color w:val="404040"/>
          <w:sz w:val="24"/>
          <w:szCs w:val="24"/>
        </w:rPr>
        <w:t>{</w:t>
      </w:r>
      <w:r w:rsidRPr="003B5EE7">
        <w:rPr>
          <w:rStyle w:val="o"/>
          <w:rFonts w:ascii="Times New Roman" w:hAnsi="Times New Roman"/>
          <w:color w:val="666666"/>
          <w:sz w:val="24"/>
          <w:szCs w:val="24"/>
        </w:rPr>
        <w:t>%</w:t>
      </w:r>
      <w:r w:rsidRPr="003B5EE7">
        <w:rPr>
          <w:rStyle w:val="n"/>
          <w:rFonts w:ascii="Times New Roman" w:hAnsi="Times New Roman"/>
          <w:color w:val="404040"/>
          <w:sz w:val="24"/>
          <w:szCs w:val="24"/>
        </w:rPr>
        <w:t>p</w:t>
      </w:r>
      <w:r w:rsidRPr="003B5EE7">
        <w:rPr>
          <w:rFonts w:ascii="Times New Roman" w:hAnsi="Times New Roman"/>
          <w:color w:val="404040"/>
          <w:sz w:val="24"/>
          <w:szCs w:val="24"/>
        </w:rPr>
        <w:t xml:space="preserve"> </w:t>
      </w:r>
      <w:proofErr w:type="gramStart"/>
      <w:r w:rsidRPr="003B5EE7">
        <w:rPr>
          <w:rStyle w:val="n"/>
          <w:rFonts w:ascii="Times New Roman" w:hAnsi="Times New Roman"/>
          <w:color w:val="404040"/>
          <w:sz w:val="24"/>
          <w:szCs w:val="24"/>
        </w:rPr>
        <w:t>endif</w:t>
      </w:r>
      <w:r>
        <w:rPr>
          <w:rStyle w:val="n"/>
          <w:rFonts w:ascii="Times New Roman" w:hAnsi="Times New Roman"/>
          <w:color w:val="404040"/>
          <w:sz w:val="24"/>
          <w:szCs w:val="24"/>
        </w:rPr>
        <w:t xml:space="preserve"> </w:t>
      </w:r>
      <w:r w:rsidRPr="003B5EE7">
        <w:rPr>
          <w:rFonts w:ascii="Times New Roman" w:hAnsi="Times New Roman"/>
          <w:color w:val="404040"/>
          <w:sz w:val="24"/>
          <w:szCs w:val="24"/>
        </w:rPr>
        <w:t xml:space="preserve"> </w:t>
      </w:r>
      <w:r w:rsidRPr="003B5EE7">
        <w:rPr>
          <w:rStyle w:val="o"/>
          <w:rFonts w:ascii="Times New Roman" w:hAnsi="Times New Roman"/>
          <w:color w:val="666666"/>
          <w:sz w:val="24"/>
          <w:szCs w:val="24"/>
        </w:rPr>
        <w:t>%</w:t>
      </w:r>
      <w:proofErr w:type="gramEnd"/>
      <w:r w:rsidRPr="003B5EE7">
        <w:rPr>
          <w:rStyle w:val="p"/>
          <w:rFonts w:ascii="Times New Roman" w:hAnsi="Times New Roman"/>
          <w:color w:val="404040"/>
          <w:sz w:val="24"/>
          <w:szCs w:val="24"/>
        </w:rPr>
        <w:t>}</w:t>
      </w:r>
    </w:p>
    <w:p w14:paraId="0F690A85" w14:textId="77777777" w:rsidR="00911F71" w:rsidRPr="003B5EE7" w:rsidRDefault="00911F71"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p>
    <w:p w14:paraId="664F6BCE" w14:textId="2EB305B4" w:rsidR="00F20EDD" w:rsidRDefault="00607AAB"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Pr>
          <w:rFonts w:ascii="Times New Roman" w:hAnsi="Times New Roman"/>
          <w:sz w:val="24"/>
          <w:szCs w:val="24"/>
        </w:rPr>
        <w:tab/>
      </w:r>
      <w:r w:rsidR="00F20EDD">
        <w:rPr>
          <w:rFonts w:ascii="Times New Roman" w:hAnsi="Times New Roman"/>
          <w:sz w:val="24"/>
          <w:szCs w:val="24"/>
        </w:rPr>
        <w:t xml:space="preserve">{%p </w:t>
      </w:r>
      <w:r w:rsidR="007B346C">
        <w:rPr>
          <w:rFonts w:ascii="Times New Roman" w:hAnsi="Times New Roman"/>
          <w:sz w:val="24"/>
          <w:szCs w:val="24"/>
        </w:rPr>
        <w:t xml:space="preserve">if </w:t>
      </w:r>
      <w:proofErr w:type="spellStart"/>
      <w:r w:rsidR="00DA4E87">
        <w:rPr>
          <w:rFonts w:ascii="Times New Roman" w:hAnsi="Times New Roman"/>
          <w:sz w:val="24"/>
          <w:szCs w:val="24"/>
        </w:rPr>
        <w:t>other_reasons</w:t>
      </w:r>
      <w:proofErr w:type="spellEnd"/>
      <w:r w:rsidR="00F20EDD">
        <w:rPr>
          <w:rFonts w:ascii="Times New Roman" w:hAnsi="Times New Roman"/>
          <w:sz w:val="24"/>
          <w:szCs w:val="24"/>
        </w:rPr>
        <w:t xml:space="preserve"> %}</w:t>
      </w:r>
    </w:p>
    <w:p w14:paraId="6F152757" w14:textId="6B2BBFB2" w:rsidR="005A2306" w:rsidRPr="003B5EE7" w:rsidRDefault="00F20EDD"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Pr>
          <w:rFonts w:ascii="Times New Roman" w:hAnsi="Times New Roman"/>
          <w:sz w:val="24"/>
          <w:szCs w:val="24"/>
        </w:rPr>
        <w:tab/>
      </w:r>
      <w:r w:rsidR="005A2306" w:rsidRPr="003B5EE7">
        <w:rPr>
          <w:rFonts w:ascii="Times New Roman" w:hAnsi="Times New Roman"/>
          <w:sz w:val="24"/>
          <w:szCs w:val="24"/>
        </w:rPr>
        <w:t>Other [please describe]:</w:t>
      </w:r>
      <w:r w:rsidR="00EB6335" w:rsidRPr="003B5EE7">
        <w:rPr>
          <w:rFonts w:ascii="Times New Roman" w:hAnsi="Times New Roman"/>
          <w:sz w:val="24"/>
          <w:szCs w:val="24"/>
        </w:rPr>
        <w:t xml:space="preserve"> </w:t>
      </w:r>
      <w:proofErr w:type="gramStart"/>
      <w:r w:rsidR="001A77C6" w:rsidRPr="003B5EE7">
        <w:rPr>
          <w:rFonts w:ascii="Times New Roman" w:hAnsi="Times New Roman"/>
          <w:sz w:val="24"/>
          <w:szCs w:val="24"/>
        </w:rPr>
        <w:t>{{</w:t>
      </w:r>
      <w:r w:rsidR="0088266A">
        <w:rPr>
          <w:rFonts w:ascii="Times New Roman" w:hAnsi="Times New Roman"/>
          <w:sz w:val="24"/>
          <w:szCs w:val="24"/>
        </w:rPr>
        <w:t xml:space="preserve"> </w:t>
      </w:r>
      <w:proofErr w:type="spellStart"/>
      <w:r w:rsidR="001A77C6" w:rsidRPr="003B5EE7">
        <w:rPr>
          <w:rFonts w:ascii="Times New Roman" w:hAnsi="Times New Roman"/>
          <w:sz w:val="24"/>
          <w:szCs w:val="24"/>
        </w:rPr>
        <w:t>dismissal</w:t>
      </w:r>
      <w:proofErr w:type="gramEnd"/>
      <w:r w:rsidR="001A77C6" w:rsidRPr="003B5EE7">
        <w:rPr>
          <w:rFonts w:ascii="Times New Roman" w:hAnsi="Times New Roman"/>
          <w:sz w:val="24"/>
          <w:szCs w:val="24"/>
        </w:rPr>
        <w:t>_reasons</w:t>
      </w:r>
      <w:proofErr w:type="spellEnd"/>
      <w:r w:rsidR="0088266A">
        <w:rPr>
          <w:rFonts w:ascii="Times New Roman" w:hAnsi="Times New Roman"/>
          <w:sz w:val="24"/>
          <w:szCs w:val="24"/>
        </w:rPr>
        <w:t xml:space="preserve"> </w:t>
      </w:r>
      <w:r w:rsidR="001A77C6" w:rsidRPr="003B5EE7">
        <w:rPr>
          <w:rFonts w:ascii="Times New Roman" w:hAnsi="Times New Roman"/>
          <w:sz w:val="24"/>
          <w:szCs w:val="24"/>
        </w:rPr>
        <w:t>}}</w:t>
      </w:r>
    </w:p>
    <w:p w14:paraId="1993218E" w14:textId="7B0EA59D" w:rsidR="005A2306" w:rsidRPr="003B5EE7"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r w:rsidRPr="003B5EE7">
        <w:rPr>
          <w:rFonts w:ascii="Times New Roman" w:hAnsi="Times New Roman"/>
          <w:sz w:val="24"/>
          <w:szCs w:val="24"/>
        </w:rPr>
        <w:tab/>
      </w:r>
      <w:r w:rsidR="00F20EDD">
        <w:rPr>
          <w:rFonts w:ascii="Times New Roman" w:hAnsi="Times New Roman"/>
          <w:sz w:val="24"/>
          <w:szCs w:val="24"/>
        </w:rPr>
        <w:t>{</w:t>
      </w:r>
      <w:r w:rsidR="0088266A">
        <w:rPr>
          <w:rFonts w:ascii="Times New Roman" w:hAnsi="Times New Roman"/>
          <w:sz w:val="24"/>
          <w:szCs w:val="24"/>
        </w:rPr>
        <w:t>%p endif %}</w:t>
      </w:r>
    </w:p>
    <w:p w14:paraId="3C7AFC42" w14:textId="77777777" w:rsidR="005A2306" w:rsidRPr="003B5EE7"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552C483E" w14:textId="77777777" w:rsidR="005A2306" w:rsidRPr="003B5EE7"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3B5EE7">
        <w:rPr>
          <w:rFonts w:ascii="Times New Roman" w:hAnsi="Times New Roman"/>
          <w:sz w:val="24"/>
          <w:szCs w:val="24"/>
        </w:rPr>
        <w:t xml:space="preserve">3.  </w:t>
      </w:r>
      <w:r w:rsidRPr="003B5EE7">
        <w:rPr>
          <w:rFonts w:ascii="Times New Roman" w:hAnsi="Times New Roman"/>
          <w:sz w:val="24"/>
          <w:szCs w:val="24"/>
        </w:rPr>
        <w:tab/>
        <w:t>As described above, the parties by their conduct created a new tenancy and such tenancy has not been terminated.  The Tenant is therefore entitled to judgment in his/her favor on the issue of possession as a matter of law.</w:t>
      </w:r>
    </w:p>
    <w:p w14:paraId="1EDC4B51" w14:textId="77777777" w:rsidR="005A2306" w:rsidRPr="003B5EE7"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2B864869" w14:textId="77777777" w:rsidR="00EB6335" w:rsidRPr="003B5EE7" w:rsidRDefault="00EB6335" w:rsidP="00EB6335">
      <w:pPr>
        <w:tabs>
          <w:tab w:val="left" w:pos="0"/>
          <w:tab w:val="left" w:pos="600"/>
        </w:tabs>
        <w:ind w:left="600"/>
        <w:rPr>
          <w:rFonts w:ascii="Times New Roman" w:hAnsi="Times New Roman"/>
          <w:sz w:val="24"/>
          <w:szCs w:val="24"/>
        </w:rPr>
      </w:pPr>
      <w:r w:rsidRPr="003B5EE7">
        <w:rPr>
          <w:rFonts w:ascii="Times New Roman" w:hAnsi="Times New Roman"/>
          <w:sz w:val="24"/>
          <w:szCs w:val="24"/>
        </w:rPr>
        <w:t>Wherefore, the Defendant respectfully requests that this Court dismiss the Plaintiff's case because the Plaintiff failed to terminate the tenancy.</w:t>
      </w:r>
    </w:p>
    <w:p w14:paraId="5994AA20" w14:textId="77777777" w:rsidR="00EB6335" w:rsidRPr="003B5EE7" w:rsidRDefault="00EB6335" w:rsidP="00EB6335">
      <w:pPr>
        <w:tabs>
          <w:tab w:val="left" w:pos="0"/>
          <w:tab w:val="left" w:pos="4599"/>
          <w:tab w:val="left" w:pos="6999"/>
        </w:tabs>
        <w:ind w:firstLine="4599"/>
        <w:rPr>
          <w:rFonts w:ascii="Times New Roman" w:hAnsi="Times New Roman"/>
          <w:sz w:val="24"/>
          <w:szCs w:val="24"/>
        </w:rPr>
      </w:pPr>
    </w:p>
    <w:p w14:paraId="374F807E" w14:textId="77777777" w:rsidR="00EB6335" w:rsidRPr="003B5EE7" w:rsidRDefault="00EB6335" w:rsidP="00EB6335">
      <w:pPr>
        <w:autoSpaceDE/>
        <w:autoSpaceDN/>
        <w:adjustRightInd/>
        <w:ind w:firstLine="720"/>
        <w:rPr>
          <w:rFonts w:ascii="Times New Roman" w:hAnsi="Times New Roman"/>
          <w:sz w:val="24"/>
          <w:szCs w:val="24"/>
        </w:rPr>
      </w:pPr>
      <w:r w:rsidRPr="003B5EE7">
        <w:rPr>
          <w:rFonts w:ascii="Times New Roman" w:hAnsi="Times New Roman"/>
          <w:sz w:val="24"/>
          <w:szCs w:val="24"/>
        </w:rPr>
        <w:t>Respectfully submitted,</w:t>
      </w:r>
    </w:p>
    <w:p w14:paraId="000126B6" w14:textId="77777777" w:rsidR="00EB6335" w:rsidRPr="003B5EE7" w:rsidRDefault="00EB6335" w:rsidP="00EB6335">
      <w:pPr>
        <w:autoSpaceDE/>
        <w:autoSpaceDN/>
        <w:adjustRightInd/>
        <w:ind w:firstLine="720"/>
        <w:rPr>
          <w:rFonts w:ascii="Times New Roman" w:hAnsi="Times New Roman"/>
          <w:sz w:val="24"/>
          <w:szCs w:val="24"/>
        </w:rPr>
      </w:pP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proofErr w:type="gramStart"/>
      <w:r w:rsidRPr="003B5EE7">
        <w:rPr>
          <w:rFonts w:ascii="Times New Roman" w:hAnsi="Times New Roman"/>
          <w:sz w:val="24"/>
          <w:szCs w:val="24"/>
        </w:rPr>
        <w:t xml:space="preserve">{{ </w:t>
      </w:r>
      <w:proofErr w:type="spellStart"/>
      <w:r w:rsidRPr="003B5EE7">
        <w:rPr>
          <w:rFonts w:ascii="Times New Roman" w:hAnsi="Times New Roman"/>
          <w:sz w:val="24"/>
          <w:szCs w:val="24"/>
        </w:rPr>
        <w:t>signature</w:t>
      </w:r>
      <w:proofErr w:type="gramEnd"/>
      <w:r w:rsidRPr="003B5EE7">
        <w:rPr>
          <w:rFonts w:ascii="Times New Roman" w:hAnsi="Times New Roman"/>
          <w:sz w:val="24"/>
          <w:szCs w:val="24"/>
        </w:rPr>
        <w:t>_date</w:t>
      </w:r>
      <w:proofErr w:type="spellEnd"/>
      <w:r w:rsidRPr="003B5EE7">
        <w:rPr>
          <w:rFonts w:ascii="Times New Roman" w:hAnsi="Times New Roman"/>
          <w:sz w:val="24"/>
          <w:szCs w:val="24"/>
        </w:rPr>
        <w:t xml:space="preserve"> }}</w:t>
      </w:r>
    </w:p>
    <w:p w14:paraId="4736CBCA" w14:textId="77777777" w:rsidR="00EB6335" w:rsidRPr="003B5EE7" w:rsidRDefault="00EB6335" w:rsidP="00EB6335">
      <w:pPr>
        <w:autoSpaceDE/>
        <w:autoSpaceDN/>
        <w:adjustRightInd/>
        <w:ind w:firstLine="720"/>
        <w:rPr>
          <w:rFonts w:ascii="Times New Roman" w:hAnsi="Times New Roman"/>
          <w:sz w:val="24"/>
          <w:szCs w:val="24"/>
        </w:rPr>
      </w:pPr>
    </w:p>
    <w:p w14:paraId="1C34DCA7" w14:textId="77777777" w:rsidR="00EB6335" w:rsidRPr="003B5EE7" w:rsidRDefault="00EB6335" w:rsidP="00EB6335">
      <w:pPr>
        <w:autoSpaceDE/>
        <w:autoSpaceDN/>
        <w:adjustRightInd/>
        <w:rPr>
          <w:rFonts w:ascii="Times New Roman" w:hAnsi="Times New Roman"/>
          <w:sz w:val="24"/>
          <w:szCs w:val="24"/>
        </w:rPr>
      </w:pP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t xml:space="preserve">{%p if </w:t>
      </w:r>
      <w:proofErr w:type="spellStart"/>
      <w:r w:rsidRPr="003B5EE7">
        <w:rPr>
          <w:rFonts w:ascii="Times New Roman" w:hAnsi="Times New Roman"/>
          <w:sz w:val="24"/>
          <w:szCs w:val="24"/>
        </w:rPr>
        <w:t>i</w:t>
      </w:r>
      <w:proofErr w:type="spellEnd"/>
      <w:r w:rsidRPr="003B5EE7">
        <w:rPr>
          <w:rFonts w:ascii="Times New Roman" w:hAnsi="Times New Roman"/>
          <w:sz w:val="24"/>
          <w:szCs w:val="24"/>
        </w:rPr>
        <w:t xml:space="preserve"> == 'final' %}</w:t>
      </w:r>
    </w:p>
    <w:p w14:paraId="3301B2F5" w14:textId="77777777" w:rsidR="00EB6335" w:rsidRPr="003B5EE7" w:rsidRDefault="00EB6335" w:rsidP="00EB6335">
      <w:pPr>
        <w:autoSpaceDE/>
        <w:autoSpaceDN/>
        <w:adjustRightInd/>
        <w:ind w:left="4320" w:firstLine="72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[0].signature }}</w:t>
      </w:r>
    </w:p>
    <w:p w14:paraId="633B34FF" w14:textId="77777777" w:rsidR="00EB6335" w:rsidRPr="003B5EE7" w:rsidRDefault="00EB6335" w:rsidP="00EB6335">
      <w:pPr>
        <w:autoSpaceDE/>
        <w:autoSpaceDN/>
        <w:adjustRightInd/>
        <w:ind w:left="4320" w:firstLine="720"/>
        <w:rPr>
          <w:rFonts w:ascii="Times New Roman" w:hAnsi="Times New Roman"/>
          <w:sz w:val="24"/>
          <w:szCs w:val="24"/>
        </w:rPr>
      </w:pPr>
      <w:r w:rsidRPr="003B5EE7">
        <w:rPr>
          <w:rFonts w:ascii="Times New Roman" w:hAnsi="Times New Roman"/>
          <w:sz w:val="24"/>
          <w:szCs w:val="24"/>
        </w:rPr>
        <w:t>{%p endif %}</w:t>
      </w:r>
    </w:p>
    <w:p w14:paraId="716D0C3A" w14:textId="77777777" w:rsidR="00EB6335" w:rsidRPr="003B5EE7" w:rsidRDefault="00EB6335" w:rsidP="00EB6335">
      <w:pPr>
        <w:autoSpaceDE/>
        <w:autoSpaceDN/>
        <w:adjustRightInd/>
        <w:rPr>
          <w:rFonts w:ascii="Times New Roman" w:hAnsi="Times New Roman"/>
          <w:sz w:val="24"/>
          <w:szCs w:val="24"/>
        </w:rPr>
      </w:pP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t>__________________________________</w:t>
      </w:r>
    </w:p>
    <w:p w14:paraId="7F7AF4FE" w14:textId="77777777" w:rsidR="00EB6335" w:rsidRPr="003B5EE7" w:rsidRDefault="00EB6335" w:rsidP="00EB6335">
      <w:pPr>
        <w:autoSpaceDE/>
        <w:autoSpaceDN/>
        <w:adjustRightInd/>
        <w:ind w:left="504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w:t>
      </w:r>
      <w:proofErr w:type="spellStart"/>
      <w:r w:rsidRPr="003B5EE7">
        <w:rPr>
          <w:rFonts w:ascii="Times New Roman" w:hAnsi="Times New Roman"/>
          <w:sz w:val="24"/>
          <w:szCs w:val="24"/>
        </w:rPr>
        <w:t>address_block</w:t>
      </w:r>
      <w:proofErr w:type="spellEnd"/>
      <w:r w:rsidRPr="003B5EE7">
        <w:rPr>
          <w:rFonts w:ascii="Times New Roman" w:hAnsi="Times New Roman"/>
          <w:sz w:val="24"/>
          <w:szCs w:val="24"/>
        </w:rPr>
        <w:t>() }}</w:t>
      </w:r>
    </w:p>
    <w:p w14:paraId="2B15B214" w14:textId="77777777" w:rsidR="00EB6335" w:rsidRPr="003B5EE7" w:rsidRDefault="00EB6335" w:rsidP="00EB6335">
      <w:pPr>
        <w:autoSpaceDE/>
        <w:autoSpaceDN/>
        <w:adjustRightInd/>
        <w:ind w:left="504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w:t>
      </w:r>
      <w:proofErr w:type="spellStart"/>
      <w:r w:rsidRPr="003B5EE7">
        <w:rPr>
          <w:rFonts w:ascii="Times New Roman" w:hAnsi="Times New Roman"/>
          <w:sz w:val="24"/>
          <w:szCs w:val="24"/>
        </w:rPr>
        <w:t>phone_number</w:t>
      </w:r>
      <w:proofErr w:type="spellEnd"/>
      <w:r w:rsidRPr="003B5EE7">
        <w:rPr>
          <w:rFonts w:ascii="Times New Roman" w:hAnsi="Times New Roman"/>
          <w:sz w:val="24"/>
          <w:szCs w:val="24"/>
        </w:rPr>
        <w:t xml:space="preserve"> }}</w:t>
      </w:r>
    </w:p>
    <w:p w14:paraId="7A5D8234" w14:textId="77777777" w:rsidR="00EB6335" w:rsidRPr="003B5EE7" w:rsidRDefault="00EB6335" w:rsidP="00EB6335">
      <w:pPr>
        <w:autoSpaceDE/>
        <w:autoSpaceDN/>
        <w:adjustRightInd/>
        <w:spacing w:line="480" w:lineRule="auto"/>
        <w:ind w:left="504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[0].email }}</w:t>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r w:rsidRPr="003B5EE7">
        <w:rPr>
          <w:rFonts w:ascii="Times New Roman" w:hAnsi="Times New Roman"/>
          <w:sz w:val="24"/>
          <w:szCs w:val="24"/>
        </w:rPr>
        <w:tab/>
      </w:r>
    </w:p>
    <w:p w14:paraId="7058F608"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FE3758A"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I hereby certify that a</w:t>
      </w:r>
      <w:r w:rsidRPr="003B5EE7">
        <w:rPr>
          <w:rFonts w:ascii="Times New Roman" w:hAnsi="Times New Roman"/>
          <w:sz w:val="24"/>
          <w:szCs w:val="24"/>
        </w:rPr>
        <w:tab/>
        <w:t xml:space="preserve"> </w:t>
      </w:r>
    </w:p>
    <w:p w14:paraId="7420E082"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true copy of the above</w:t>
      </w:r>
      <w:r w:rsidRPr="003B5EE7">
        <w:rPr>
          <w:rFonts w:ascii="Times New Roman" w:hAnsi="Times New Roman"/>
          <w:sz w:val="24"/>
          <w:szCs w:val="24"/>
        </w:rPr>
        <w:tab/>
      </w:r>
    </w:p>
    <w:p w14:paraId="2C51CFF7"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document was served upon</w:t>
      </w:r>
      <w:r w:rsidRPr="003B5EE7">
        <w:rPr>
          <w:rFonts w:ascii="Times New Roman" w:hAnsi="Times New Roman"/>
          <w:sz w:val="24"/>
          <w:szCs w:val="24"/>
        </w:rPr>
        <w:tab/>
      </w:r>
    </w:p>
    <w:p w14:paraId="59A41091"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 xml:space="preserve">Plaintiff (or Attorney, </w:t>
      </w:r>
      <w:r w:rsidRPr="003B5EE7">
        <w:rPr>
          <w:rFonts w:ascii="Times New Roman" w:hAnsi="Times New Roman"/>
          <w:sz w:val="24"/>
          <w:szCs w:val="24"/>
        </w:rPr>
        <w:tab/>
      </w:r>
    </w:p>
    <w:p w14:paraId="061C82B7"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if represented) by mail on</w:t>
      </w:r>
      <w:r w:rsidRPr="003B5EE7">
        <w:rPr>
          <w:rFonts w:ascii="Times New Roman" w:hAnsi="Times New Roman"/>
          <w:sz w:val="24"/>
          <w:szCs w:val="24"/>
        </w:rPr>
        <w:tab/>
      </w:r>
    </w:p>
    <w:p w14:paraId="0ECF5983"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____________ (date) by</w:t>
      </w:r>
    </w:p>
    <w:p w14:paraId="43A99E74"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5D3093E4"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2BA6842C"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u w:val="single"/>
        </w:rPr>
        <w:t>VERIFICATION</w:t>
      </w:r>
    </w:p>
    <w:p w14:paraId="2E294681"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00829763"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2CF6603F"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02D71BF8"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 xml:space="preserve">Signed under penalty of perjury on </w:t>
      </w:r>
      <w:proofErr w:type="gramStart"/>
      <w:r w:rsidRPr="003B5EE7">
        <w:rPr>
          <w:rFonts w:ascii="Times New Roman" w:hAnsi="Times New Roman"/>
          <w:sz w:val="24"/>
          <w:szCs w:val="24"/>
        </w:rPr>
        <w:t xml:space="preserve">{{ </w:t>
      </w:r>
      <w:proofErr w:type="spellStart"/>
      <w:r w:rsidRPr="003B5EE7">
        <w:rPr>
          <w:rFonts w:ascii="Times New Roman" w:hAnsi="Times New Roman"/>
          <w:sz w:val="24"/>
          <w:szCs w:val="24"/>
        </w:rPr>
        <w:t>signature</w:t>
      </w:r>
      <w:proofErr w:type="gramEnd"/>
      <w:r w:rsidRPr="003B5EE7">
        <w:rPr>
          <w:rFonts w:ascii="Times New Roman" w:hAnsi="Times New Roman"/>
          <w:sz w:val="24"/>
          <w:szCs w:val="24"/>
        </w:rPr>
        <w:t>_date</w:t>
      </w:r>
      <w:proofErr w:type="spellEnd"/>
      <w:r w:rsidRPr="003B5EE7">
        <w:rPr>
          <w:rFonts w:ascii="Times New Roman" w:hAnsi="Times New Roman"/>
          <w:sz w:val="24"/>
          <w:szCs w:val="24"/>
        </w:rPr>
        <w:t xml:space="preserve"> }}.</w:t>
      </w:r>
    </w:p>
    <w:p w14:paraId="1158B839" w14:textId="77777777" w:rsidR="00EB6335" w:rsidRPr="003B5EE7"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3B5EE7">
        <w:rPr>
          <w:rFonts w:ascii="Times New Roman" w:hAnsi="Times New Roman"/>
          <w:sz w:val="24"/>
          <w:szCs w:val="24"/>
        </w:rPr>
        <w:tab/>
        <w:t xml:space="preserve">{%p if </w:t>
      </w:r>
      <w:proofErr w:type="spellStart"/>
      <w:r w:rsidRPr="003B5EE7">
        <w:rPr>
          <w:rFonts w:ascii="Times New Roman" w:hAnsi="Times New Roman"/>
          <w:sz w:val="24"/>
          <w:szCs w:val="24"/>
        </w:rPr>
        <w:t>i</w:t>
      </w:r>
      <w:proofErr w:type="spellEnd"/>
      <w:r w:rsidRPr="003B5EE7">
        <w:rPr>
          <w:rFonts w:ascii="Times New Roman" w:hAnsi="Times New Roman"/>
          <w:sz w:val="24"/>
          <w:szCs w:val="24"/>
        </w:rPr>
        <w:t xml:space="preserve"> == 'final' %}</w:t>
      </w:r>
    </w:p>
    <w:p w14:paraId="13A02A9B" w14:textId="77777777" w:rsidR="00EB6335" w:rsidRPr="003B5EE7" w:rsidRDefault="00EB6335" w:rsidP="00EB6335">
      <w:pPr>
        <w:autoSpaceDE/>
        <w:autoSpaceDN/>
        <w:adjustRightInd/>
        <w:ind w:left="4320" w:firstLine="720"/>
        <w:rPr>
          <w:rFonts w:ascii="Times New Roman" w:hAnsi="Times New Roman"/>
          <w:sz w:val="24"/>
          <w:szCs w:val="24"/>
        </w:rPr>
      </w:pPr>
      <w:proofErr w:type="gramStart"/>
      <w:r w:rsidRPr="003B5EE7">
        <w:rPr>
          <w:rFonts w:ascii="Times New Roman" w:hAnsi="Times New Roman"/>
          <w:sz w:val="24"/>
          <w:szCs w:val="24"/>
        </w:rPr>
        <w:t>{{ users</w:t>
      </w:r>
      <w:proofErr w:type="gramEnd"/>
      <w:r w:rsidRPr="003B5EE7">
        <w:rPr>
          <w:rFonts w:ascii="Times New Roman" w:hAnsi="Times New Roman"/>
          <w:sz w:val="24"/>
          <w:szCs w:val="24"/>
        </w:rPr>
        <w:t>[0].signature }}</w:t>
      </w:r>
    </w:p>
    <w:p w14:paraId="028F3E83" w14:textId="77777777" w:rsidR="00EB6335" w:rsidRPr="003B5EE7" w:rsidRDefault="00EB6335" w:rsidP="00EB6335">
      <w:pPr>
        <w:autoSpaceDE/>
        <w:autoSpaceDN/>
        <w:adjustRightInd/>
        <w:ind w:left="4320" w:firstLine="720"/>
        <w:rPr>
          <w:rFonts w:ascii="Times New Roman" w:hAnsi="Times New Roman"/>
          <w:sz w:val="24"/>
          <w:szCs w:val="24"/>
        </w:rPr>
      </w:pPr>
      <w:r w:rsidRPr="003B5EE7">
        <w:rPr>
          <w:rFonts w:ascii="Times New Roman" w:hAnsi="Times New Roman"/>
          <w:sz w:val="24"/>
          <w:szCs w:val="24"/>
        </w:rPr>
        <w:t>{%p endif %}</w:t>
      </w:r>
    </w:p>
    <w:p w14:paraId="4C5DDA47" w14:textId="77777777" w:rsidR="00EB6335" w:rsidRPr="003B5EE7" w:rsidRDefault="00EB6335" w:rsidP="00EB6335">
      <w:pPr>
        <w:autoSpaceDE/>
        <w:autoSpaceDN/>
        <w:adjustRightInd/>
        <w:ind w:left="4320" w:firstLine="720"/>
        <w:rPr>
          <w:rFonts w:ascii="Times New Roman" w:hAnsi="Times New Roman"/>
          <w:sz w:val="24"/>
          <w:szCs w:val="24"/>
        </w:rPr>
      </w:pPr>
      <w:r w:rsidRPr="003B5EE7">
        <w:rPr>
          <w:rFonts w:ascii="Times New Roman" w:hAnsi="Times New Roman"/>
          <w:sz w:val="24"/>
          <w:szCs w:val="24"/>
        </w:rPr>
        <w:t>_________________________________</w:t>
      </w:r>
    </w:p>
    <w:p w14:paraId="478BBE35" w14:textId="77777777" w:rsidR="00EB6335" w:rsidRPr="003B5EE7" w:rsidRDefault="00EB6335" w:rsidP="00EB6335">
      <w:pPr>
        <w:autoSpaceDE/>
        <w:autoSpaceDN/>
        <w:adjustRightInd/>
        <w:ind w:left="4320" w:firstLine="720"/>
        <w:rPr>
          <w:rFonts w:ascii="Times New Roman" w:hAnsi="Times New Roman"/>
          <w:sz w:val="24"/>
          <w:szCs w:val="24"/>
        </w:rPr>
      </w:pPr>
      <w:proofErr w:type="gramStart"/>
      <w:r w:rsidRPr="003B5EE7">
        <w:rPr>
          <w:rFonts w:ascii="Times New Roman" w:hAnsi="Times New Roman"/>
          <w:sz w:val="24"/>
          <w:szCs w:val="24"/>
        </w:rPr>
        <w:t>{{ defendants</w:t>
      </w:r>
      <w:proofErr w:type="gramEnd"/>
      <w:r w:rsidRPr="003B5EE7">
        <w:rPr>
          <w:rFonts w:ascii="Times New Roman" w:hAnsi="Times New Roman"/>
          <w:sz w:val="24"/>
          <w:szCs w:val="24"/>
        </w:rPr>
        <w:t xml:space="preserve"> }}</w:t>
      </w:r>
    </w:p>
    <w:p w14:paraId="77B6606C" w14:textId="77777777" w:rsidR="005A2306" w:rsidRPr="003B5EE7" w:rsidRDefault="005A2306" w:rsidP="005A2306">
      <w:pPr>
        <w:numPr>
          <w:ilvl w:val="12"/>
          <w:numId w:val="0"/>
        </w:numPr>
        <w:tabs>
          <w:tab w:val="left" w:pos="0"/>
          <w:tab w:val="left" w:pos="4599"/>
          <w:tab w:val="left" w:pos="6999"/>
        </w:tabs>
        <w:rPr>
          <w:rFonts w:ascii="Times New Roman" w:hAnsi="Times New Roman"/>
          <w:sz w:val="24"/>
          <w:szCs w:val="24"/>
        </w:rPr>
      </w:pPr>
    </w:p>
    <w:p w14:paraId="520BCB27" w14:textId="77777777" w:rsidR="00536295" w:rsidRPr="003B5EE7" w:rsidRDefault="00536295">
      <w:pPr>
        <w:rPr>
          <w:rFonts w:ascii="Times New Roman" w:hAnsi="Times New Roman"/>
          <w:sz w:val="24"/>
          <w:szCs w:val="24"/>
        </w:rPr>
      </w:pPr>
    </w:p>
    <w:sectPr w:rsidR="00536295" w:rsidRPr="003B5EE7" w:rsidSect="005A2306">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FC6EF" w14:textId="77777777" w:rsidR="00971A87" w:rsidRDefault="00971A87">
      <w:r>
        <w:separator/>
      </w:r>
    </w:p>
  </w:endnote>
  <w:endnote w:type="continuationSeparator" w:id="0">
    <w:p w14:paraId="2BFA2C5B" w14:textId="77777777" w:rsidR="00971A87" w:rsidRDefault="0097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F17DA" w14:textId="77777777" w:rsidR="00820A0D" w:rsidRDefault="00820A0D" w:rsidP="005A23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521">
      <w:rPr>
        <w:rStyle w:val="PageNumber"/>
        <w:noProof/>
      </w:rPr>
      <w:t>3</w:t>
    </w:r>
    <w:r>
      <w:rPr>
        <w:rStyle w:val="PageNumber"/>
      </w:rPr>
      <w:fldChar w:fldCharType="end"/>
    </w:r>
  </w:p>
  <w:p w14:paraId="7012E14E" w14:textId="77777777" w:rsidR="00820A0D" w:rsidRDefault="00820A0D" w:rsidP="005A2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12127" w14:textId="77777777" w:rsidR="00820A0D" w:rsidRDefault="00820A0D" w:rsidP="005A23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7E4">
      <w:rPr>
        <w:rStyle w:val="PageNumber"/>
        <w:noProof/>
      </w:rPr>
      <w:t>1</w:t>
    </w:r>
    <w:r>
      <w:rPr>
        <w:rStyle w:val="PageNumber"/>
      </w:rPr>
      <w:fldChar w:fldCharType="end"/>
    </w:r>
  </w:p>
  <w:p w14:paraId="1111D719" w14:textId="5377CEB8" w:rsidR="00820A0D" w:rsidRPr="00EB6335" w:rsidRDefault="00EB6335" w:rsidP="005A2306">
    <w:pPr>
      <w:pStyle w:val="Footer"/>
      <w:ind w:right="360"/>
      <w:rPr>
        <w:rFonts w:ascii="Times New Roman" w:hAnsi="Times New Roman"/>
      </w:rPr>
    </w:pPr>
    <w:r>
      <w:rPr>
        <w:rFonts w:ascii="Times New Roman" w:hAnsi="Times New Roman"/>
      </w:rPr>
      <w:t>PRO</w:t>
    </w:r>
    <w:r w:rsidR="000A17E4" w:rsidRPr="00EB6335">
      <w:rPr>
        <w:rFonts w:ascii="Times New Roman" w:hAnsi="Times New Roman"/>
      </w:rPr>
      <w:t xml:space="preserve"> SE MOTION TO DISMISS, REINSTATEMENT OF TENANCY, NO RESERVATION OF RIGHTS, rev. 12-19     PREPARED WITH ASSISTANCE OF COUNSEL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BBFE0" w14:textId="77777777" w:rsidR="00971A87" w:rsidRDefault="00971A87">
      <w:r>
        <w:separator/>
      </w:r>
    </w:p>
  </w:footnote>
  <w:footnote w:type="continuationSeparator" w:id="0">
    <w:p w14:paraId="419BCACF" w14:textId="77777777" w:rsidR="00971A87" w:rsidRDefault="00971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65C68"/>
    <w:multiLevelType w:val="multilevel"/>
    <w:tmpl w:val="BC1296CE"/>
    <w:lvl w:ilvl="0">
      <w:start w:val="2"/>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06"/>
    <w:rsid w:val="00065608"/>
    <w:rsid w:val="00070EA4"/>
    <w:rsid w:val="00086477"/>
    <w:rsid w:val="000A17E4"/>
    <w:rsid w:val="000E774B"/>
    <w:rsid w:val="0014764A"/>
    <w:rsid w:val="001759E4"/>
    <w:rsid w:val="001A77C6"/>
    <w:rsid w:val="00244466"/>
    <w:rsid w:val="003B5EE7"/>
    <w:rsid w:val="003C361E"/>
    <w:rsid w:val="003C4931"/>
    <w:rsid w:val="004A756B"/>
    <w:rsid w:val="004F3255"/>
    <w:rsid w:val="00536295"/>
    <w:rsid w:val="005A2306"/>
    <w:rsid w:val="00607AAB"/>
    <w:rsid w:val="006841FC"/>
    <w:rsid w:val="006A7FB5"/>
    <w:rsid w:val="006E3B9F"/>
    <w:rsid w:val="00746A70"/>
    <w:rsid w:val="007724A0"/>
    <w:rsid w:val="007A7935"/>
    <w:rsid w:val="007B346C"/>
    <w:rsid w:val="00820A0D"/>
    <w:rsid w:val="008315E9"/>
    <w:rsid w:val="0088266A"/>
    <w:rsid w:val="009039E7"/>
    <w:rsid w:val="00911F71"/>
    <w:rsid w:val="00942806"/>
    <w:rsid w:val="0096695D"/>
    <w:rsid w:val="00971A87"/>
    <w:rsid w:val="009A65C0"/>
    <w:rsid w:val="00A23123"/>
    <w:rsid w:val="00A4016E"/>
    <w:rsid w:val="00AD5BEE"/>
    <w:rsid w:val="00B16B25"/>
    <w:rsid w:val="00BB52A8"/>
    <w:rsid w:val="00C52E91"/>
    <w:rsid w:val="00CA3171"/>
    <w:rsid w:val="00CB1877"/>
    <w:rsid w:val="00D02CEB"/>
    <w:rsid w:val="00D0681D"/>
    <w:rsid w:val="00D105C5"/>
    <w:rsid w:val="00D12FEC"/>
    <w:rsid w:val="00D4137D"/>
    <w:rsid w:val="00D65F0B"/>
    <w:rsid w:val="00DA4E87"/>
    <w:rsid w:val="00DC13E4"/>
    <w:rsid w:val="00DC7D7F"/>
    <w:rsid w:val="00DD3E0E"/>
    <w:rsid w:val="00E31521"/>
    <w:rsid w:val="00E62FA7"/>
    <w:rsid w:val="00EB6335"/>
    <w:rsid w:val="00EE227F"/>
    <w:rsid w:val="00EF5ADA"/>
    <w:rsid w:val="00F00C61"/>
    <w:rsid w:val="00F103E3"/>
    <w:rsid w:val="00F20EDD"/>
    <w:rsid w:val="00F63A77"/>
    <w:rsid w:val="00FD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65213"/>
  <w15:chartTrackingRefBased/>
  <w15:docId w15:val="{2FF7638F-BDFE-C14C-8939-64544F23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2306"/>
    <w:pPr>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5A2306"/>
    <w:pPr>
      <w:autoSpaceDE w:val="0"/>
      <w:autoSpaceDN w:val="0"/>
      <w:adjustRightInd w:val="0"/>
      <w:ind w:left="720"/>
    </w:pPr>
    <w:rPr>
      <w:rFonts w:ascii="Courier" w:hAnsi="Courier"/>
      <w:sz w:val="24"/>
      <w:szCs w:val="24"/>
    </w:rPr>
  </w:style>
  <w:style w:type="paragraph" w:styleId="Footer">
    <w:name w:val="footer"/>
    <w:basedOn w:val="Normal"/>
    <w:rsid w:val="005A2306"/>
    <w:pPr>
      <w:tabs>
        <w:tab w:val="center" w:pos="4320"/>
        <w:tab w:val="right" w:pos="8640"/>
      </w:tabs>
    </w:pPr>
  </w:style>
  <w:style w:type="character" w:styleId="PageNumber">
    <w:name w:val="page number"/>
    <w:basedOn w:val="DefaultParagraphFont"/>
    <w:rsid w:val="005A2306"/>
  </w:style>
  <w:style w:type="paragraph" w:styleId="BalloonText">
    <w:name w:val="Balloon Text"/>
    <w:basedOn w:val="Normal"/>
    <w:link w:val="BalloonTextChar"/>
    <w:rsid w:val="00E31521"/>
    <w:rPr>
      <w:rFonts w:ascii="Tahoma" w:hAnsi="Tahoma" w:cs="Tahoma"/>
      <w:sz w:val="16"/>
      <w:szCs w:val="16"/>
    </w:rPr>
  </w:style>
  <w:style w:type="character" w:customStyle="1" w:styleId="BalloonTextChar">
    <w:name w:val="Balloon Text Char"/>
    <w:link w:val="BalloonText"/>
    <w:rsid w:val="00E31521"/>
    <w:rPr>
      <w:rFonts w:ascii="Tahoma" w:hAnsi="Tahoma" w:cs="Tahoma"/>
      <w:sz w:val="16"/>
      <w:szCs w:val="16"/>
    </w:rPr>
  </w:style>
  <w:style w:type="paragraph" w:styleId="Header">
    <w:name w:val="header"/>
    <w:basedOn w:val="Normal"/>
    <w:link w:val="HeaderChar"/>
    <w:rsid w:val="000A17E4"/>
    <w:pPr>
      <w:tabs>
        <w:tab w:val="center" w:pos="4680"/>
        <w:tab w:val="right" w:pos="9360"/>
      </w:tabs>
    </w:pPr>
  </w:style>
  <w:style w:type="character" w:customStyle="1" w:styleId="HeaderChar">
    <w:name w:val="Header Char"/>
    <w:link w:val="Header"/>
    <w:rsid w:val="000A17E4"/>
    <w:rPr>
      <w:rFonts w:ascii="Courier" w:hAnsi="Courier"/>
    </w:rPr>
  </w:style>
  <w:style w:type="table" w:styleId="TableGrid">
    <w:name w:val="Table Grid"/>
    <w:basedOn w:val="TableNormal"/>
    <w:rsid w:val="00EB6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02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PreformattedChar">
    <w:name w:val="HTML Preformatted Char"/>
    <w:basedOn w:val="DefaultParagraphFont"/>
    <w:link w:val="HTMLPreformatted"/>
    <w:uiPriority w:val="99"/>
    <w:rsid w:val="00D02CEB"/>
    <w:rPr>
      <w:rFonts w:ascii="Courier New" w:hAnsi="Courier New" w:cs="Courier New"/>
    </w:rPr>
  </w:style>
  <w:style w:type="character" w:customStyle="1" w:styleId="p">
    <w:name w:val="p"/>
    <w:basedOn w:val="DefaultParagraphFont"/>
    <w:rsid w:val="00D02CEB"/>
  </w:style>
  <w:style w:type="character" w:customStyle="1" w:styleId="o">
    <w:name w:val="o"/>
    <w:basedOn w:val="DefaultParagraphFont"/>
    <w:rsid w:val="00D02CEB"/>
  </w:style>
  <w:style w:type="character" w:customStyle="1" w:styleId="n">
    <w:name w:val="n"/>
    <w:basedOn w:val="DefaultParagraphFont"/>
    <w:rsid w:val="00D02CEB"/>
  </w:style>
  <w:style w:type="character" w:customStyle="1" w:styleId="k">
    <w:name w:val="k"/>
    <w:basedOn w:val="DefaultParagraphFont"/>
    <w:rsid w:val="00D02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3273">
      <w:bodyDiv w:val="1"/>
      <w:marLeft w:val="0"/>
      <w:marRight w:val="0"/>
      <w:marTop w:val="0"/>
      <w:marBottom w:val="0"/>
      <w:divBdr>
        <w:top w:val="none" w:sz="0" w:space="0" w:color="auto"/>
        <w:left w:val="none" w:sz="0" w:space="0" w:color="auto"/>
        <w:bottom w:val="none" w:sz="0" w:space="0" w:color="auto"/>
        <w:right w:val="none" w:sz="0" w:space="0" w:color="auto"/>
      </w:divBdr>
    </w:div>
    <w:div w:id="809395626">
      <w:bodyDiv w:val="1"/>
      <w:marLeft w:val="0"/>
      <w:marRight w:val="0"/>
      <w:marTop w:val="0"/>
      <w:marBottom w:val="0"/>
      <w:divBdr>
        <w:top w:val="none" w:sz="0" w:space="0" w:color="auto"/>
        <w:left w:val="none" w:sz="0" w:space="0" w:color="auto"/>
        <w:bottom w:val="none" w:sz="0" w:space="0" w:color="auto"/>
        <w:right w:val="none" w:sz="0" w:space="0" w:color="auto"/>
      </w:divBdr>
    </w:div>
    <w:div w:id="2014214398">
      <w:bodyDiv w:val="1"/>
      <w:marLeft w:val="0"/>
      <w:marRight w:val="0"/>
      <w:marTop w:val="0"/>
      <w:marBottom w:val="0"/>
      <w:divBdr>
        <w:top w:val="none" w:sz="0" w:space="0" w:color="auto"/>
        <w:left w:val="none" w:sz="0" w:space="0" w:color="auto"/>
        <w:bottom w:val="none" w:sz="0" w:space="0" w:color="auto"/>
        <w:right w:val="none" w:sz="0" w:space="0" w:color="auto"/>
      </w:divBdr>
    </w:div>
    <w:div w:id="2079937472">
      <w:bodyDiv w:val="1"/>
      <w:marLeft w:val="0"/>
      <w:marRight w:val="0"/>
      <w:marTop w:val="0"/>
      <w:marBottom w:val="0"/>
      <w:divBdr>
        <w:top w:val="none" w:sz="0" w:space="0" w:color="auto"/>
        <w:left w:val="none" w:sz="0" w:space="0" w:color="auto"/>
        <w:bottom w:val="none" w:sz="0" w:space="0" w:color="auto"/>
        <w:right w:val="none" w:sz="0" w:space="0" w:color="auto"/>
      </w:divBdr>
      <w:divsChild>
        <w:div w:id="1794129352">
          <w:marLeft w:val="0"/>
          <w:marRight w:val="0"/>
          <w:marTop w:val="0"/>
          <w:marBottom w:val="0"/>
          <w:divBdr>
            <w:top w:val="none" w:sz="0" w:space="0" w:color="auto"/>
            <w:left w:val="none" w:sz="0" w:space="0" w:color="auto"/>
            <w:bottom w:val="none" w:sz="0" w:space="0" w:color="auto"/>
            <w:right w:val="none" w:sz="0" w:space="0" w:color="auto"/>
          </w:divBdr>
        </w:div>
        <w:div w:id="888616848">
          <w:marLeft w:val="0"/>
          <w:marRight w:val="0"/>
          <w:marTop w:val="0"/>
          <w:marBottom w:val="0"/>
          <w:divBdr>
            <w:top w:val="none" w:sz="0" w:space="0" w:color="auto"/>
            <w:left w:val="none" w:sz="0" w:space="0" w:color="auto"/>
            <w:bottom w:val="none" w:sz="0" w:space="0" w:color="auto"/>
            <w:right w:val="none" w:sz="0" w:space="0" w:color="auto"/>
          </w:divBdr>
        </w:div>
        <w:div w:id="492527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Greater Boston Legal Services</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Michael J Carroll</cp:lastModifiedBy>
  <cp:revision>2</cp:revision>
  <cp:lastPrinted>2015-03-25T13:18:00Z</cp:lastPrinted>
  <dcterms:created xsi:type="dcterms:W3CDTF">2020-10-28T18:48:00Z</dcterms:created>
  <dcterms:modified xsi:type="dcterms:W3CDTF">2020-10-28T18:48:00Z</dcterms:modified>
</cp:coreProperties>
</file>