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F181C" w14:textId="77777777" w:rsidR="004C0811" w:rsidRPr="00D90F25" w:rsidRDefault="004C0811">
      <w:pPr>
        <w:rPr>
          <w:rFonts w:ascii="Geneva" w:hAnsi="Geneva"/>
          <w:b/>
          <w:color w:val="000000"/>
          <w:u w:val="single"/>
        </w:rPr>
      </w:pPr>
    </w:p>
    <w:p w14:paraId="125CB03C" w14:textId="77777777" w:rsidR="005F7982" w:rsidRDefault="005F7982" w:rsidP="005F7982">
      <w:pPr>
        <w:jc w:val="center"/>
      </w:pPr>
      <w:r>
        <w:t>Notification of Tenant’s Right to Have Guests</w:t>
      </w:r>
    </w:p>
    <w:p w14:paraId="08E19AE8" w14:textId="77777777" w:rsidR="005F7982" w:rsidRDefault="005F7982" w:rsidP="005F7982">
      <w:pPr>
        <w:jc w:val="center"/>
      </w:pPr>
    </w:p>
    <w:p w14:paraId="52007718" w14:textId="77777777" w:rsidR="005F7982" w:rsidRDefault="00080D97" w:rsidP="005F7982">
      <w:fldSimple w:instr=" MERGEFIELD lname ">
        <w:r>
          <w:rPr>
            <w:noProof/>
          </w:rPr>
          <w:t>«lname»</w:t>
        </w:r>
      </w:fldSimple>
    </w:p>
    <w:p w14:paraId="76E5B220" w14:textId="77777777" w:rsidR="005F7982" w:rsidRDefault="00080D97" w:rsidP="005F7982">
      <w:fldSimple w:instr=" MERGEFIELD lstreet ">
        <w:r>
          <w:rPr>
            <w:noProof/>
          </w:rPr>
          <w:t>«lstreet»</w:t>
        </w:r>
      </w:fldSimple>
    </w:p>
    <w:p w14:paraId="64EF70BB" w14:textId="77777777" w:rsidR="005F7982" w:rsidRDefault="00080D97" w:rsidP="005F7982">
      <w:fldSimple w:instr=" MERGEFIELD laddress ">
        <w:r>
          <w:rPr>
            <w:noProof/>
          </w:rPr>
          <w:t>«laddress»</w:t>
        </w:r>
      </w:fldSimple>
    </w:p>
    <w:p w14:paraId="50C4A08E" w14:textId="77777777" w:rsidR="005F7982" w:rsidRDefault="005F7982" w:rsidP="005F7982"/>
    <w:p w14:paraId="225053A2" w14:textId="77777777" w:rsidR="005F7982" w:rsidRPr="007F2E49" w:rsidRDefault="00304AD4" w:rsidP="005F7982">
      <w:r>
        <w:t xml:space="preserve">I, </w:t>
      </w:r>
      <w:fldSimple w:instr=" MERGEFIELD tname1 ">
        <w:r w:rsidR="00080D97">
          <w:rPr>
            <w:noProof/>
          </w:rPr>
          <w:t>«tname1»</w:t>
        </w:r>
      </w:fldSimple>
      <w:r w:rsidR="005F7982">
        <w:t xml:space="preserve">, reside </w:t>
      </w:r>
      <w:r>
        <w:t xml:space="preserve">at your property located at </w:t>
      </w:r>
      <w:fldSimple w:instr=" MERGEFIELD tstreet ">
        <w:r w:rsidR="00080D97">
          <w:rPr>
            <w:noProof/>
          </w:rPr>
          <w:t>«tstreet»</w:t>
        </w:r>
      </w:fldSimple>
      <w:r w:rsidR="005F7982">
        <w:t xml:space="preserve"> </w:t>
      </w:r>
      <w:fldSimple w:instr=" MERGEFIELD taddress ">
        <w:r w:rsidR="00080D97">
          <w:rPr>
            <w:noProof/>
          </w:rPr>
          <w:t>«taddress»</w:t>
        </w:r>
      </w:fldSimple>
    </w:p>
    <w:p w14:paraId="7EA544D7" w14:textId="77777777" w:rsidR="004C0811" w:rsidRDefault="004C0811">
      <w:pPr>
        <w:rPr>
          <w:color w:val="000000"/>
        </w:rPr>
      </w:pPr>
    </w:p>
    <w:p w14:paraId="254EE7E4" w14:textId="77777777" w:rsidR="005F7982" w:rsidRPr="00B807A0" w:rsidRDefault="005F7982">
      <w:pPr>
        <w:rPr>
          <w:color w:val="000000"/>
        </w:rPr>
      </w:pPr>
    </w:p>
    <w:p w14:paraId="5F22CC00" w14:textId="77777777" w:rsidR="004C0811" w:rsidRPr="00B807A0" w:rsidRDefault="004C0811">
      <w:pPr>
        <w:rPr>
          <w:color w:val="000000"/>
        </w:rPr>
      </w:pPr>
      <w:r w:rsidRPr="00B807A0">
        <w:rPr>
          <w:color w:val="000000"/>
        </w:rPr>
        <w:t xml:space="preserve">I am writing to inform you that a landlord may not prohibit a tenant from having guests. </w:t>
      </w:r>
    </w:p>
    <w:p w14:paraId="54F9025A" w14:textId="77777777" w:rsidR="004C0811" w:rsidRPr="00B807A0" w:rsidRDefault="004C0811">
      <w:pPr>
        <w:rPr>
          <w:color w:val="000000"/>
        </w:rPr>
      </w:pPr>
    </w:p>
    <w:p w14:paraId="6FDC152D" w14:textId="77777777" w:rsidR="004C0811" w:rsidRPr="00B807A0" w:rsidRDefault="004C0811">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w:t>
      </w:r>
      <w:bookmarkStart w:id="0" w:name="_GoBack"/>
      <w:bookmarkEnd w:id="0"/>
      <w:r w:rsidRPr="00B807A0">
        <w:rPr>
          <w:color w:val="000000"/>
        </w:rPr>
        <w:t xml:space="preserve">d to socialize with me in the common areas that I myself can visit.  </w:t>
      </w:r>
    </w:p>
    <w:p w14:paraId="6925616C" w14:textId="77777777" w:rsidR="004C0811" w:rsidRPr="00B807A0" w:rsidRDefault="004C0811">
      <w:pPr>
        <w:rPr>
          <w:color w:val="000000"/>
        </w:rPr>
      </w:pPr>
    </w:p>
    <w:p w14:paraId="5A1752A9" w14:textId="77777777" w:rsidR="004C0811" w:rsidRPr="00B807A0" w:rsidRDefault="004C0811">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14:paraId="4BCB02D9" w14:textId="77777777" w:rsidR="004C0811" w:rsidRPr="00B807A0" w:rsidRDefault="004C0811">
      <w:pPr>
        <w:rPr>
          <w:color w:val="000000"/>
        </w:rPr>
      </w:pPr>
    </w:p>
    <w:p w14:paraId="4639166C" w14:textId="77777777" w:rsidR="004C0811" w:rsidRPr="00B807A0" w:rsidRDefault="004C0811">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14:paraId="171E140A" w14:textId="77777777" w:rsidR="004C0811" w:rsidRPr="00B807A0" w:rsidRDefault="004C0811">
      <w:pPr>
        <w:rPr>
          <w:color w:val="000000"/>
          <w:u w:val="single"/>
        </w:rPr>
      </w:pPr>
    </w:p>
    <w:p w14:paraId="77F37F33" w14:textId="77777777" w:rsidR="004C0811" w:rsidRPr="00B807A0" w:rsidRDefault="004C0811">
      <w:pPr>
        <w:rPr>
          <w:color w:val="000000"/>
        </w:rPr>
      </w:pPr>
      <w:r w:rsidRPr="00B807A0">
        <w:rPr>
          <w:color w:val="000000"/>
        </w:rPr>
        <w:t>Thank you for your prompt consideration of this matter.</w:t>
      </w:r>
    </w:p>
    <w:p w14:paraId="5363B0E0" w14:textId="77777777" w:rsidR="004C0811" w:rsidRPr="00B807A0" w:rsidRDefault="004C0811">
      <w:pPr>
        <w:rPr>
          <w:color w:val="000000"/>
        </w:rPr>
      </w:pPr>
    </w:p>
    <w:p w14:paraId="32856A33" w14:textId="77777777" w:rsidR="004C0811" w:rsidRPr="00FE1034" w:rsidRDefault="004C0811">
      <w:pPr>
        <w:rPr>
          <w:color w:val="000000"/>
        </w:rPr>
      </w:pPr>
    </w:p>
    <w:p w14:paraId="434804CA" w14:textId="77777777" w:rsidR="004C0811" w:rsidRPr="00281052" w:rsidRDefault="00080D97" w:rsidP="005F7982">
      <w:pPr>
        <w:rPr>
          <w:i/>
          <w:position w:val="6"/>
          <w:sz w:val="18"/>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sidR="00304AD4">
        <w:rPr>
          <w:color w:val="000000"/>
        </w:rPr>
        <w:tab/>
      </w:r>
      <w:r w:rsidR="00304AD4">
        <w:rPr>
          <w:color w:val="000000"/>
        </w:rPr>
        <w:tab/>
      </w:r>
      <w:r w:rsidR="00304AD4">
        <w:rPr>
          <w:color w:val="000000"/>
        </w:rPr>
        <w:tab/>
      </w:r>
      <w:r w:rsidR="00304AD4">
        <w:rPr>
          <w:color w:val="000000"/>
        </w:rPr>
        <w:tab/>
      </w:r>
      <w:r w:rsidR="00304AD4">
        <w:rPr>
          <w:color w:val="000000"/>
        </w:rPr>
        <w:tab/>
      </w:r>
      <w:r w:rsidR="00304AD4">
        <w:rPr>
          <w:color w:val="000000"/>
        </w:rPr>
        <w:tab/>
      </w:r>
      <w:r>
        <w:rPr>
          <w:color w:val="000000"/>
        </w:rPr>
        <w:t>March 20, 2018</w:t>
      </w:r>
      <w:r w:rsidR="00304AD4">
        <w:rPr>
          <w:color w:val="000000"/>
        </w:rPr>
        <w:tab/>
      </w:r>
      <w:r w:rsidR="00304AD4">
        <w:rPr>
          <w:color w:val="000000"/>
        </w:rPr>
        <w:tab/>
      </w:r>
      <w:r w:rsidR="004C0811" w:rsidRPr="00FE1034">
        <w:rPr>
          <w:color w:val="000000"/>
        </w:rPr>
        <w:tab/>
      </w:r>
      <w:r w:rsidR="004C0811" w:rsidRPr="00FE1034">
        <w:rPr>
          <w:color w:val="000000"/>
        </w:rPr>
        <w:tab/>
      </w:r>
    </w:p>
    <w:p w14:paraId="3CEC8031" w14:textId="77777777" w:rsidR="004C0811" w:rsidRPr="00FE1034" w:rsidRDefault="004C0811">
      <w:pPr>
        <w:rPr>
          <w:color w:val="000000"/>
        </w:rPr>
      </w:pPr>
    </w:p>
    <w:p w14:paraId="57FEA43A" w14:textId="77777777" w:rsidR="004C0811" w:rsidRPr="00B807A0" w:rsidRDefault="004C0811" w:rsidP="00DB1017"/>
    <w:sectPr w:rsidR="004C0811" w:rsidRPr="00B807A0" w:rsidSect="00DB10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080D97"/>
    <w:rsid w:val="00304AD4"/>
    <w:rsid w:val="004C0811"/>
    <w:rsid w:val="005F7982"/>
    <w:rsid w:val="007D1561"/>
    <w:rsid w:val="00BC706A"/>
    <w:rsid w:val="00BC7832"/>
    <w:rsid w:val="00DB1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8141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Anthony Metzler</cp:lastModifiedBy>
  <cp:revision>3</cp:revision>
  <dcterms:created xsi:type="dcterms:W3CDTF">2018-03-06T19:31:00Z</dcterms:created>
  <dcterms:modified xsi:type="dcterms:W3CDTF">2018-03-20T17:14:00Z</dcterms:modified>
</cp:coreProperties>
</file>