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20" w:before="0"/>
        <w:jc w:val="center"/>
      </w:pPr>
      <w:r>
        <w:rPr>
          <w:rFonts w:ascii="Arial" w:cs="Arial" w:eastAsia="Arial" w:hAnsi="Arial"/>
          <w:b/>
          <w:bCs/>
          <w:color w:val="1A237E"/>
          <w:sz w:val="52"/>
          <w:szCs w:val="52"/>
        </w:rPr>
        <w:t xml:space="preserve">📊 Economic Intelligence System</w:t>
      </w:r>
    </w:p>
    <w:p>
      <w:pPr>
        <w:spacing w:after="60" w:before="60"/>
        <w:jc w:val="center"/>
      </w:pPr>
      <w:r>
        <w:rPr>
          <w:rFonts w:ascii="Arial" w:cs="Arial" w:eastAsia="Arial" w:hAnsi="Arial"/>
          <w:b/>
          <w:bCs/>
          <w:color w:val="283593"/>
          <w:sz w:val="36"/>
          <w:szCs w:val="36"/>
        </w:rPr>
        <w:t xml:space="preserve">Project 1 + Project 2</w:t>
      </w:r>
    </w:p>
    <w:p>
      <w:pPr>
        <w:spacing w:after="400" w:before="60"/>
        <w:jc w:val="center"/>
      </w:pPr>
      <w:r>
        <w:rPr>
          <w:rFonts w:ascii="Arial" w:cs="Arial" w:eastAsia="Arial" w:hAnsi="Arial"/>
          <w:color w:val="546E7A"/>
          <w:sz w:val="28"/>
          <w:szCs w:val="28"/>
        </w:rPr>
        <w:t xml:space="preserve">Models, Methods &amp; Output Reference Guide</w:t>
      </w:r>
    </w:p>
    <w:p>
      <w:pPr>
        <w:pBdr>
          <w:bottom w:val="single" w:color="C5CAE9" w:sz="4" w:space="1"/>
        </w:pBdr>
        <w:spacing w:after="120" w:before="120"/>
      </w:pPr>
    </w:p>
    <w:p>
      <w:pPr>
        <w:spacing w:before="200"/>
      </w:pPr>
    </w:p>
    <w:p>
      <w:pPr>
        <w:jc w:val="center"/>
      </w:pPr>
      <w:r>
        <w:rPr>
          <w:rFonts w:ascii="Arial" w:cs="Arial" w:eastAsia="Arial" w:hAnsi="Arial"/>
          <w:color w:val="546E7A"/>
          <w:sz w:val="22"/>
          <w:szCs w:val="22"/>
        </w:rPr>
        <w:t xml:space="preserve">Complete explanation of every algorithm used — what it is, why it was chosen,</w:t>
      </w:r>
    </w:p>
    <w:p>
      <w:pPr>
        <w:jc w:val="center"/>
      </w:pPr>
      <w:r>
        <w:rPr>
          <w:rFonts w:ascii="Arial" w:cs="Arial" w:eastAsia="Arial" w:hAnsi="Arial"/>
          <w:color w:val="546E7A"/>
          <w:sz w:val="22"/>
          <w:szCs w:val="22"/>
        </w:rPr>
        <w:t xml:space="preserve">what alternatives were considered, and what every output means.</w:t>
      </w:r>
    </w:p>
    <w:p>
      <w:pPr>
        <w:spacing w:before="1800"/>
      </w:pPr>
    </w:p>
    <w:p>
      <w:pPr>
        <w:jc w:val="center"/>
      </w:pPr>
      <w:r>
        <w:rPr>
          <w:rFonts w:ascii="Arial" w:cs="Arial" w:eastAsia="Arial" w:hAnsi="Arial"/>
          <w:color w:val="9E9E9E"/>
          <w:sz w:val="20"/>
          <w:szCs w:val="20"/>
        </w:rPr>
        <w:t xml:space="preserve">PMF Project | India &amp; Multi-Country Economic Analysis</w:t>
      </w:r>
    </w:p>
    <w:p>
      <w:r>
        <w:br w:type="page"/>
      </w:r>
    </w:p>
    <w:p>
      <w:pPr>
        <w:pStyle w:val="Heading1"/>
        <w:spacing w:after="120" w:before="360"/>
      </w:pPr>
      <w:r>
        <w:rPr>
          <w:rFonts w:ascii="Arial" w:cs="Arial" w:eastAsia="Arial" w:hAnsi="Arial"/>
          <w:b/>
          <w:bCs/>
          <w:color w:val="1A237E"/>
          <w:sz w:val="36"/>
          <w:szCs w:val="36"/>
        </w:rPr>
        <w:t xml:space="preserve">Section 0 — Master Model Overview</w:t>
      </w:r>
    </w:p>
    <w:p>
      <w:pPr>
        <w:spacing w:after="100" w:before="60"/>
      </w:pPr>
      <w:r>
        <w:rPr>
          <w:rFonts w:ascii="Arial" w:cs="Arial" w:eastAsia="Arial" w:hAnsi="Arial"/>
          <w:b w:val="false"/>
          <w:bCs w:val="false"/>
          <w:color w:val="333333"/>
          <w:sz w:val="22"/>
          <w:szCs w:val="22"/>
        </w:rPr>
        <w:t xml:space="preserve">This table lists every model and algorithm used across the entire website (Project 1 + Project 2) at a glance, before the deep-dive sections.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3160"/>
        <w:gridCol w:w="1600"/>
      </w:tblGrid>
      <w:tr>
        <w:trPr>
          <w:tblHeader/>
        </w:trPr>
        <w:tc>
          <w:tcPr>
            <w:tcW w:type="dxa" w:w="26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 / Algorithm</w:t>
            </w:r>
          </w:p>
        </w:tc>
        <w:tc>
          <w:tcPr>
            <w:tcW w:type="dxa" w:w="20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316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Where Used</w:t>
            </w:r>
          </w:p>
        </w:tc>
        <w:tc>
          <w:tcPr>
            <w:tcW w:type="dxa" w:w="16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Tab</w:t>
            </w:r>
          </w:p>
        </w:tc>
      </w:tr>
      <w:tr>
        <w:tc>
          <w:tcPr>
            <w:tcW w:type="dxa" w:w="260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bCs/>
                <w:color w:val="000000"/>
                <w:sz w:val="20"/>
                <w:szCs w:val="20"/>
              </w:rPr>
              <w:t xml:space="preserve">ARIMA</w:t>
            </w:r>
          </w:p>
        </w:tc>
        <w:tc>
          <w:tcPr>
            <w:tcW w:type="dxa" w:w="200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1A237E"/>
                <w:sz w:val="20"/>
                <w:szCs w:val="20"/>
              </w:rPr>
              <w:t xml:space="preserve">Time Series</w:t>
            </w:r>
          </w:p>
        </w:tc>
        <w:tc>
          <w:tcPr>
            <w:tcW w:type="dxa" w:w="316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GDP / Inflation / Unemployment Forecast</w:t>
            </w:r>
          </w:p>
        </w:tc>
        <w:tc>
          <w:tcPr>
            <w:tcW w:type="dxa" w:w="160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P1 — Output 1</w:t>
            </w:r>
          </w:p>
        </w:tc>
      </w:tr>
      <w:tr>
        <w:tc>
          <w:tcPr>
            <w:tcW w:type="dxa" w:w="2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SARIMA</w:t>
            </w:r>
          </w:p>
        </w:tc>
        <w:tc>
          <w:tcPr>
            <w:tcW w:type="dxa" w:w="2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1A237E"/>
                <w:sz w:val="20"/>
                <w:szCs w:val="20"/>
              </w:rPr>
              <w:t xml:space="preserve">Time Series</w:t>
            </w:r>
          </w:p>
        </w:tc>
        <w:tc>
          <w:tcPr>
            <w:tcW w:type="dxa" w:w="31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Advanced GDP Forecast with seasonal cycles</w:t>
            </w:r>
          </w:p>
        </w:tc>
        <w:tc>
          <w:tcPr>
            <w:tcW w:type="dxa" w:w="1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P2 — Tab 3</w:t>
            </w:r>
          </w:p>
        </w:tc>
      </w:tr>
      <w:tr>
        <w:tc>
          <w:tcPr>
            <w:tcW w:type="dxa" w:w="260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bCs/>
                <w:color w:val="000000"/>
                <w:sz w:val="20"/>
                <w:szCs w:val="20"/>
              </w:rPr>
              <w:t xml:space="preserve">Prophet</w:t>
            </w:r>
          </w:p>
        </w:tc>
        <w:tc>
          <w:tcPr>
            <w:tcW w:type="dxa" w:w="200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1A237E"/>
                <w:sz w:val="20"/>
                <w:szCs w:val="20"/>
              </w:rPr>
              <w:t xml:space="preserve">Additive Regr.</w:t>
            </w:r>
          </w:p>
        </w:tc>
        <w:tc>
          <w:tcPr>
            <w:tcW w:type="dxa" w:w="316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Change-point-aware GDP Forecast</w:t>
            </w:r>
          </w:p>
        </w:tc>
        <w:tc>
          <w:tcPr>
            <w:tcW w:type="dxa" w:w="160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P2 — Tab 3</w:t>
            </w:r>
          </w:p>
        </w:tc>
      </w:tr>
      <w:tr>
        <w:tc>
          <w:tcPr>
            <w:tcW w:type="dxa" w:w="2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Random Forest Regressor</w:t>
            </w:r>
          </w:p>
        </w:tc>
        <w:tc>
          <w:tcPr>
            <w:tcW w:type="dxa" w:w="2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1A237E"/>
                <w:sz w:val="20"/>
                <w:szCs w:val="20"/>
              </w:rPr>
              <w:t xml:space="preserve">Ensemble ML</w:t>
            </w:r>
          </w:p>
        </w:tc>
        <w:tc>
          <w:tcPr>
            <w:tcW w:type="dxa" w:w="31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Predict GDP Growth from 8 indicators</w:t>
            </w:r>
          </w:p>
        </w:tc>
        <w:tc>
          <w:tcPr>
            <w:tcW w:type="dxa" w:w="1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P1 — Output 2</w:t>
            </w:r>
          </w:p>
        </w:tc>
      </w:tr>
      <w:tr>
        <w:tc>
          <w:tcPr>
            <w:tcW w:type="dxa" w:w="260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bCs/>
                <w:color w:val="000000"/>
                <w:sz w:val="20"/>
                <w:szCs w:val="20"/>
              </w:rPr>
              <w:t xml:space="preserve">XGBoost Regressor</w:t>
            </w:r>
          </w:p>
        </w:tc>
        <w:tc>
          <w:tcPr>
            <w:tcW w:type="dxa" w:w="200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1A237E"/>
                <w:sz w:val="20"/>
                <w:szCs w:val="20"/>
              </w:rPr>
              <w:t xml:space="preserve">Gradient Boost</w:t>
            </w:r>
          </w:p>
        </w:tc>
        <w:tc>
          <w:tcPr>
            <w:tcW w:type="dxa" w:w="316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Predict GDP Growth (high-accuracy alternative)</w:t>
            </w:r>
          </w:p>
        </w:tc>
        <w:tc>
          <w:tcPr>
            <w:tcW w:type="dxa" w:w="160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P1 — Output 2</w:t>
            </w:r>
          </w:p>
        </w:tc>
      </w:tr>
      <w:tr>
        <w:tc>
          <w:tcPr>
            <w:tcW w:type="dxa" w:w="2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Linear Regression</w:t>
            </w:r>
          </w:p>
        </w:tc>
        <w:tc>
          <w:tcPr>
            <w:tcW w:type="dxa" w:w="2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1A237E"/>
                <w:sz w:val="20"/>
                <w:szCs w:val="20"/>
              </w:rPr>
              <w:t xml:space="preserve">Statistical</w:t>
            </w:r>
          </w:p>
        </w:tc>
        <w:tc>
          <w:tcPr>
            <w:tcW w:type="dxa" w:w="31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GDP Growth prediction + coefficient interpretation</w:t>
            </w:r>
          </w:p>
        </w:tc>
        <w:tc>
          <w:tcPr>
            <w:tcW w:type="dxa" w:w="1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P1 — Output 2</w:t>
            </w:r>
          </w:p>
        </w:tc>
      </w:tr>
      <w:tr>
        <w:tc>
          <w:tcPr>
            <w:tcW w:type="dxa" w:w="260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bCs/>
                <w:color w:val="000000"/>
                <w:sz w:val="20"/>
                <w:szCs w:val="20"/>
              </w:rPr>
              <w:t xml:space="preserve">Economic Health Index</w:t>
            </w:r>
          </w:p>
        </w:tc>
        <w:tc>
          <w:tcPr>
            <w:tcW w:type="dxa" w:w="200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1A237E"/>
                <w:sz w:val="20"/>
                <w:szCs w:val="20"/>
              </w:rPr>
              <w:t xml:space="preserve">Custom Formula</w:t>
            </w:r>
          </w:p>
        </w:tc>
        <w:tc>
          <w:tcPr>
            <w:tcW w:type="dxa" w:w="316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Composite score per year (EHI 0–1)</w:t>
            </w:r>
          </w:p>
        </w:tc>
        <w:tc>
          <w:tcPr>
            <w:tcW w:type="dxa" w:w="160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P1 — Output 3 / P2 — Tab 1</w:t>
            </w:r>
          </w:p>
        </w:tc>
      </w:tr>
      <w:tr>
        <w:tc>
          <w:tcPr>
            <w:tcW w:type="dxa" w:w="2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Decision Tree Classifier</w:t>
            </w:r>
          </w:p>
        </w:tc>
        <w:tc>
          <w:tcPr>
            <w:tcW w:type="dxa" w:w="2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1A237E"/>
                <w:sz w:val="20"/>
                <w:szCs w:val="20"/>
              </w:rPr>
              <w:t xml:space="preserve">Rule-based ML</w:t>
            </w:r>
          </w:p>
        </w:tc>
        <w:tc>
          <w:tcPr>
            <w:tcW w:type="dxa" w:w="31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Classify year as Strong/Stable/Risky/Recession</w:t>
            </w:r>
          </w:p>
        </w:tc>
        <w:tc>
          <w:tcPr>
            <w:tcW w:type="dxa" w:w="1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P1 — Output 4</w:t>
            </w:r>
          </w:p>
        </w:tc>
      </w:tr>
      <w:tr>
        <w:tc>
          <w:tcPr>
            <w:tcW w:type="dxa" w:w="260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bCs/>
                <w:color w:val="000000"/>
                <w:sz w:val="20"/>
                <w:szCs w:val="20"/>
              </w:rPr>
              <w:t xml:space="preserve">Random Forest Classifier</w:t>
            </w:r>
          </w:p>
        </w:tc>
        <w:tc>
          <w:tcPr>
            <w:tcW w:type="dxa" w:w="200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1A237E"/>
                <w:sz w:val="20"/>
                <w:szCs w:val="20"/>
              </w:rPr>
              <w:t xml:space="preserve">Ensemble ML</w:t>
            </w:r>
          </w:p>
        </w:tc>
        <w:tc>
          <w:tcPr>
            <w:tcW w:type="dxa" w:w="316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Classify economic condition (best accuracy)</w:t>
            </w:r>
          </w:p>
        </w:tc>
        <w:tc>
          <w:tcPr>
            <w:tcW w:type="dxa" w:w="160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P1 — Output 4</w:t>
            </w:r>
          </w:p>
        </w:tc>
      </w:tr>
      <w:tr>
        <w:tc>
          <w:tcPr>
            <w:tcW w:type="dxa" w:w="2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Logistic Regression</w:t>
            </w:r>
          </w:p>
        </w:tc>
        <w:tc>
          <w:tcPr>
            <w:tcW w:type="dxa" w:w="2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1A237E"/>
                <w:sz w:val="20"/>
                <w:szCs w:val="20"/>
              </w:rPr>
              <w:t xml:space="preserve">Statistical</w:t>
            </w:r>
          </w:p>
        </w:tc>
        <w:tc>
          <w:tcPr>
            <w:tcW w:type="dxa" w:w="31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Probabilistic economic condition classifier</w:t>
            </w:r>
          </w:p>
        </w:tc>
        <w:tc>
          <w:tcPr>
            <w:tcW w:type="dxa" w:w="1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P1 — Output 4</w:t>
            </w:r>
          </w:p>
        </w:tc>
      </w:tr>
      <w:tr>
        <w:tc>
          <w:tcPr>
            <w:tcW w:type="dxa" w:w="260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bCs/>
                <w:color w:val="000000"/>
                <w:sz w:val="20"/>
                <w:szCs w:val="20"/>
              </w:rPr>
              <w:t xml:space="preserve">ADF Stationarity Test</w:t>
            </w:r>
          </w:p>
        </w:tc>
        <w:tc>
          <w:tcPr>
            <w:tcW w:type="dxa" w:w="200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1A237E"/>
                <w:sz w:val="20"/>
                <w:szCs w:val="20"/>
              </w:rPr>
              <w:t xml:space="preserve">Statistical Test</w:t>
            </w:r>
          </w:p>
        </w:tc>
        <w:tc>
          <w:tcPr>
            <w:tcW w:type="dxa" w:w="316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Check if time series needs differencing for ARIMA</w:t>
            </w:r>
          </w:p>
        </w:tc>
        <w:tc>
          <w:tcPr>
            <w:tcW w:type="dxa" w:w="160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P1 — Output 1</w:t>
            </w:r>
          </w:p>
        </w:tc>
      </w:tr>
      <w:tr>
        <w:tc>
          <w:tcPr>
            <w:tcW w:type="dxa" w:w="2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Pearson Correlation</w:t>
            </w:r>
          </w:p>
        </w:tc>
        <w:tc>
          <w:tcPr>
            <w:tcW w:type="dxa" w:w="2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1A237E"/>
                <w:sz w:val="20"/>
                <w:szCs w:val="20"/>
              </w:rPr>
              <w:t xml:space="preserve">Statistical</w:t>
            </w:r>
          </w:p>
        </w:tc>
        <w:tc>
          <w:tcPr>
            <w:tcW w:type="dxa" w:w="31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Correlation heatmap within India + cross-country</w:t>
            </w:r>
          </w:p>
        </w:tc>
        <w:tc>
          <w:tcPr>
            <w:tcW w:type="dxa" w:w="1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P1 — Output 6 / P2 — Tab 2</w:t>
            </w:r>
          </w:p>
        </w:tc>
      </w:tr>
      <w:tr>
        <w:tc>
          <w:tcPr>
            <w:tcW w:type="dxa" w:w="260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bCs/>
                <w:color w:val="000000"/>
                <w:sz w:val="20"/>
                <w:szCs w:val="20"/>
              </w:rPr>
              <w:t xml:space="preserve">Lag Cross-Correlation</w:t>
            </w:r>
          </w:p>
        </w:tc>
        <w:tc>
          <w:tcPr>
            <w:tcW w:type="dxa" w:w="200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1A237E"/>
                <w:sz w:val="20"/>
                <w:szCs w:val="20"/>
              </w:rPr>
              <w:t xml:space="preserve">Statistical</w:t>
            </w:r>
          </w:p>
        </w:tc>
        <w:tc>
          <w:tcPr>
            <w:tcW w:type="dxa" w:w="316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Does US GDP today predict India's GDP next year?</w:t>
            </w:r>
          </w:p>
        </w:tc>
        <w:tc>
          <w:tcPr>
            <w:tcW w:type="dxa" w:w="160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P2 — Tab 2</w:t>
            </w:r>
          </w:p>
        </w:tc>
      </w:tr>
      <w:tr>
        <w:tc>
          <w:tcPr>
            <w:tcW w:type="dxa" w:w="2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Granger Causality (VAR)</w:t>
            </w:r>
          </w:p>
        </w:tc>
        <w:tc>
          <w:tcPr>
            <w:tcW w:type="dxa" w:w="2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1A237E"/>
                <w:sz w:val="20"/>
                <w:szCs w:val="20"/>
              </w:rPr>
              <w:t xml:space="preserve">Statistical Test</w:t>
            </w:r>
          </w:p>
        </w:tc>
        <w:tc>
          <w:tcPr>
            <w:tcW w:type="dxa" w:w="31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Formal test: does X's past help forecast India?</w:t>
            </w:r>
          </w:p>
        </w:tc>
        <w:tc>
          <w:tcPr>
            <w:tcW w:type="dxa" w:w="1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P2 — Tab 2</w:t>
            </w:r>
          </w:p>
        </w:tc>
      </w:tr>
      <w:tr>
        <w:tc>
          <w:tcPr>
            <w:tcW w:type="dxa" w:w="260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bCs/>
                <w:color w:val="000000"/>
                <w:sz w:val="20"/>
                <w:szCs w:val="20"/>
              </w:rPr>
              <w:t xml:space="preserve">Linear Regression (OLS)</w:t>
            </w:r>
          </w:p>
        </w:tc>
        <w:tc>
          <w:tcPr>
            <w:tcW w:type="dxa" w:w="200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1A237E"/>
                <w:sz w:val="20"/>
                <w:szCs w:val="20"/>
              </w:rPr>
              <w:t xml:space="preserve">Statistical</w:t>
            </w:r>
          </w:p>
        </w:tc>
        <w:tc>
          <w:tcPr>
            <w:tcW w:type="dxa" w:w="316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Scenario: US inflation +2% → India GDP change</w:t>
            </w:r>
          </w:p>
        </w:tc>
        <w:tc>
          <w:tcPr>
            <w:tcW w:type="dxa" w:w="160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P2 — Tab 1</w:t>
            </w:r>
          </w:p>
        </w:tc>
      </w:tr>
      <w:tr>
        <w:tc>
          <w:tcPr>
            <w:tcW w:type="dxa" w:w="2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Proxy Sentiment Score</w:t>
            </w:r>
          </w:p>
        </w:tc>
        <w:tc>
          <w:tcPr>
            <w:tcW w:type="dxa" w:w="2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1A237E"/>
                <w:sz w:val="20"/>
                <w:szCs w:val="20"/>
              </w:rPr>
              <w:t xml:space="preserve">Custom Formula</w:t>
            </w:r>
          </w:p>
        </w:tc>
        <w:tc>
          <w:tcPr>
            <w:tcW w:type="dxa" w:w="31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Early-warning signal from rate-of-change signals</w:t>
            </w:r>
          </w:p>
        </w:tc>
        <w:tc>
          <w:tcPr>
            <w:tcW w:type="dxa" w:w="1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P2 — Tab 4</w:t>
            </w:r>
          </w:p>
        </w:tc>
      </w:tr>
      <w:tr>
        <w:tc>
          <w:tcPr>
            <w:tcW w:type="dxa" w:w="260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bCs/>
                <w:color w:val="000000"/>
                <w:sz w:val="20"/>
                <w:szCs w:val="20"/>
              </w:rPr>
              <w:t xml:space="preserve">Rule-Based Risk Engine</w:t>
            </w:r>
          </w:p>
        </w:tc>
        <w:tc>
          <w:tcPr>
            <w:tcW w:type="dxa" w:w="200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1A237E"/>
                <w:sz w:val="20"/>
                <w:szCs w:val="20"/>
              </w:rPr>
              <w:t xml:space="preserve">Rule System</w:t>
            </w:r>
          </w:p>
        </w:tc>
        <w:tc>
          <w:tcPr>
            <w:tcW w:type="dxa" w:w="316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Threshold alerts for inflation/unemployment/GDP</w:t>
            </w:r>
          </w:p>
        </w:tc>
        <w:tc>
          <w:tcPr>
            <w:tcW w:type="dxa" w:w="160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P1 — Output 5</w:t>
            </w:r>
          </w:p>
        </w:tc>
      </w:tr>
      <w:tr>
        <w:tc>
          <w:tcPr>
            <w:tcW w:type="dxa" w:w="2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Min-Max Scaler</w:t>
            </w:r>
          </w:p>
        </w:tc>
        <w:tc>
          <w:tcPr>
            <w:tcW w:type="dxa" w:w="2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1A237E"/>
                <w:sz w:val="20"/>
                <w:szCs w:val="20"/>
              </w:rPr>
              <w:t xml:space="preserve">Preprocessing</w:t>
            </w:r>
          </w:p>
        </w:tc>
        <w:tc>
          <w:tcPr>
            <w:tcW w:type="dxa" w:w="31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Normalise EHI, sentiment scores to 0–1 range</w:t>
            </w:r>
          </w:p>
        </w:tc>
        <w:tc>
          <w:tcPr>
            <w:tcW w:type="dxa" w:w="1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P1+P2 (utility)</w:t>
            </w:r>
          </w:p>
        </w:tc>
      </w:tr>
    </w:tbl>
    <w:p>
      <w:r>
        <w:br w:type="page"/>
      </w:r>
    </w:p>
    <w:p>
      <w:pPr>
        <w:pStyle w:val="Heading1"/>
        <w:spacing w:after="120" w:before="360"/>
      </w:pPr>
      <w:r>
        <w:rPr>
          <w:rFonts w:ascii="Arial" w:cs="Arial" w:eastAsia="Arial" w:hAnsi="Arial"/>
          <w:b/>
          <w:bCs/>
          <w:color w:val="1A237E"/>
          <w:sz w:val="36"/>
          <w:szCs w:val="36"/>
        </w:rPr>
        <w:t xml:space="preserve">Section 1 — Project 1: India 50-Year Analysis</w:t>
      </w:r>
    </w:p>
    <w:p>
      <w:pPr>
        <w:spacing w:after="100" w:before="60"/>
      </w:pPr>
      <w:r>
        <w:rPr>
          <w:rFonts w:ascii="Arial" w:cs="Arial" w:eastAsia="Arial" w:hAnsi="Arial"/>
          <w:b w:val="false"/>
          <w:bCs w:val="false"/>
          <w:color w:val="546E7A"/>
          <w:sz w:val="22"/>
          <w:szCs w:val="22"/>
        </w:rPr>
        <w:t xml:space="preserve">Project 1 is a single-country dashboard for India, covering 50 years of economic data. It has six output tabs.</w:t>
      </w:r>
    </w:p>
    <w:p>
      <w:r>
        <w:br w:type="page"/>
      </w:r>
    </w:p>
    <w:p>
      <w:pPr>
        <w:pStyle w:val="Heading2"/>
        <w:spacing w:after="100" w:before="280"/>
      </w:pPr>
      <w:r>
        <w:rPr>
          <w:rFonts w:ascii="Arial" w:cs="Arial" w:eastAsia="Arial" w:hAnsi="Arial"/>
          <w:b/>
          <w:bCs/>
          <w:color w:val="283593"/>
          <w:sz w:val="28"/>
          <w:szCs w:val="28"/>
        </w:rPr>
        <w:t xml:space="preserve">P1 — Output 1: Time Series Forecasting (ARIMA)</w:t>
      </w:r>
    </w:p>
    <w:p>
      <w:pPr>
        <w:pBdr>
          <w:bottom w:val="single" w:color="C5CAE9" w:sz="4" w:space="1"/>
        </w:pBdr>
        <w:spacing w:after="120" w:before="120"/>
      </w:pPr>
    </w:p>
    <w:p>
      <w:pPr>
        <w:pStyle w:val="Heading3"/>
        <w:spacing w:after="80" w:before="200"/>
      </w:pPr>
      <w:r>
        <w:rPr>
          <w:rFonts w:ascii="Arial" w:cs="Arial" w:eastAsia="Arial" w:hAnsi="Arial"/>
          <w:b/>
          <w:bCs/>
          <w:color w:val="1565C0"/>
          <w:sz w:val="24"/>
          <w:szCs w:val="24"/>
        </w:rPr>
        <w:t xml:space="preserve">What is ARIMA?</w:t>
      </w:r>
    </w:p>
    <w:p>
      <w:pPr>
        <w:spacing w:after="100" w:before="60"/>
      </w:pPr>
      <w:r>
        <w:rPr>
          <w:rFonts w:ascii="Arial" w:cs="Arial" w:eastAsia="Arial" w:hAnsi="Arial"/>
          <w:b w:val="false"/>
          <w:bCs w:val="false"/>
          <w:color w:val="333333"/>
          <w:sz w:val="22"/>
          <w:szCs w:val="22"/>
        </w:rPr>
        <w:t xml:space="preserve">ARIMA stands for AutoRegressive Integrated Moving Average. It is the most widely used classical model for forecasting time series data. It has three components:</w:t>
      </w:r>
    </w:p>
    <w:p>
      <w:pPr>
        <w:pStyle w:val="ListParagraph"/>
        <w:numPr>
          <w:ilvl w:val="0"/>
          <w:numId w:val="2"/>
        </w:numPr>
        <w:spacing w:after="40" w:before="40"/>
      </w:pPr>
      <w:r>
        <w:rPr>
          <w:rFonts w:ascii="Arial" w:cs="Arial" w:eastAsia="Arial" w:hAnsi="Arial"/>
          <w:b w:val="false"/>
          <w:bCs w:val="false"/>
          <w:color w:val="333333"/>
          <w:sz w:val="22"/>
          <w:szCs w:val="22"/>
        </w:rPr>
        <w:t xml:space="preserve">AR (AutoRegressive) — the model predicts future values using its own past values. For example, if India's GDP grew 7% last year and 6.5% the year before, ARIMA uses those past values to estimate what this year's growth will be.</w:t>
      </w:r>
    </w:p>
    <w:p>
      <w:pPr>
        <w:pStyle w:val="ListParagraph"/>
        <w:numPr>
          <w:ilvl w:val="0"/>
          <w:numId w:val="2"/>
        </w:numPr>
        <w:spacing w:after="40" w:before="40"/>
      </w:pPr>
      <w:r>
        <w:rPr>
          <w:rFonts w:ascii="Arial" w:cs="Arial" w:eastAsia="Arial" w:hAnsi="Arial"/>
          <w:b w:val="false"/>
          <w:bCs w:val="false"/>
          <w:color w:val="333333"/>
          <w:sz w:val="22"/>
          <w:szCs w:val="22"/>
        </w:rPr>
        <w:t xml:space="preserve">I (Integrated) — the 'd' parameter applies differencing: subtracting the previous value from the current one. This converts a non-stationary series (one with a trend) into a stationary one (constant mean/variance), which ARIMA requires to work.</w:t>
      </w:r>
    </w:p>
    <w:p>
      <w:pPr>
        <w:pStyle w:val="ListParagraph"/>
        <w:numPr>
          <w:ilvl w:val="0"/>
          <w:numId w:val="2"/>
        </w:numPr>
        <w:spacing w:after="40" w:before="40"/>
      </w:pPr>
      <w:r>
        <w:rPr>
          <w:rFonts w:ascii="Arial" w:cs="Arial" w:eastAsia="Arial" w:hAnsi="Arial"/>
          <w:b w:val="false"/>
          <w:bCs w:val="false"/>
          <w:color w:val="333333"/>
          <w:sz w:val="22"/>
          <w:szCs w:val="22"/>
        </w:rPr>
        <w:t xml:space="preserve">MA (Moving Average) — the model uses past forecast errors to improve predictions. If ARIMA over-predicted last year, it adjusts downward this year.</w:t>
      </w:r>
    </w:p>
    <w:p>
      <w:pPr>
        <w:spacing w:before="100"/>
      </w:pPr>
    </w:p>
    <w:p>
      <w:pPr>
        <w:pStyle w:val="Heading3"/>
        <w:spacing w:after="80" w:before="200"/>
      </w:pPr>
      <w:r>
        <w:rPr>
          <w:rFonts w:ascii="Arial" w:cs="Arial" w:eastAsia="Arial" w:hAnsi="Arial"/>
          <w:b/>
          <w:bCs/>
          <w:color w:val="1565C0"/>
          <w:sz w:val="24"/>
          <w:szCs w:val="24"/>
        </w:rPr>
        <w:t xml:space="preserve">What is the ADF Test (and why is it run first)?</w:t>
      </w:r>
    </w:p>
    <w:p>
      <w:pPr>
        <w:spacing w:after="100" w:before="60"/>
      </w:pPr>
      <w:r>
        <w:rPr>
          <w:rFonts w:ascii="Arial" w:cs="Arial" w:eastAsia="Arial" w:hAnsi="Arial"/>
          <w:b w:val="false"/>
          <w:bCs w:val="false"/>
          <w:color w:val="333333"/>
          <w:sz w:val="22"/>
          <w:szCs w:val="22"/>
        </w:rPr>
        <w:t xml:space="preserve">Before fitting ARIMA, the code runs the Augmented Dickey-Fuller (ADF) test on each series. This test answers one question: is the series stationary?</w:t>
      </w:r>
    </w:p>
    <w:p>
      <w:pPr>
        <w:pStyle w:val="ListParagraph"/>
        <w:numPr>
          <w:ilvl w:val="0"/>
          <w:numId w:val="2"/>
        </w:numPr>
        <w:spacing w:after="40" w:before="40"/>
      </w:pPr>
      <w:r>
        <w:rPr>
          <w:rFonts w:ascii="Arial" w:cs="Arial" w:eastAsia="Arial" w:hAnsi="Arial"/>
          <w:b w:val="false"/>
          <w:bCs w:val="false"/>
          <w:color w:val="333333"/>
          <w:sz w:val="22"/>
          <w:szCs w:val="22"/>
        </w:rPr>
        <w:t xml:space="preserve">A p-value below 0.05 means the series IS stationary — ARIMA can be applied directly with d=0 or d=1.</w:t>
      </w:r>
    </w:p>
    <w:p>
      <w:pPr>
        <w:pStyle w:val="ListParagraph"/>
        <w:numPr>
          <w:ilvl w:val="0"/>
          <w:numId w:val="2"/>
        </w:numPr>
        <w:spacing w:after="40" w:before="40"/>
      </w:pPr>
      <w:r>
        <w:rPr>
          <w:rFonts w:ascii="Arial" w:cs="Arial" w:eastAsia="Arial" w:hAnsi="Arial"/>
          <w:b w:val="false"/>
          <w:bCs w:val="false"/>
          <w:color w:val="333333"/>
          <w:sz w:val="22"/>
          <w:szCs w:val="22"/>
        </w:rPr>
        <w:t xml:space="preserve">A p-value above 0.05 means the series has a trend or is non-stationary — the code automatically sets d=1 (one round of differencing) to stabilise it.</w:t>
      </w:r>
    </w:p>
    <w:p>
      <w:pPr>
        <w:pStyle w:val="ListParagraph"/>
        <w:numPr>
          <w:ilvl w:val="0"/>
          <w:numId w:val="2"/>
        </w:numPr>
        <w:spacing w:after="40" w:before="40"/>
      </w:pPr>
      <w:r>
        <w:rPr>
          <w:rFonts w:ascii="Arial" w:cs="Arial" w:eastAsia="Arial" w:hAnsi="Arial"/>
          <w:b w:val="false"/>
          <w:bCs w:val="false"/>
          <w:color w:val="333333"/>
          <w:sz w:val="22"/>
          <w:szCs w:val="22"/>
        </w:rPr>
        <w:t xml:space="preserve">Without this test, ARIMA would fit on a trending series and produce unreliable forecasts.</w:t>
      </w:r>
    </w:p>
    <w:p>
      <w:pPr>
        <w:spacing w:before="100"/>
      </w:pPr>
    </w:p>
    <w:p>
      <w:pPr>
        <w:pStyle w:val="Heading3"/>
        <w:spacing w:after="80" w:before="200"/>
      </w:pPr>
      <w:r>
        <w:rPr>
          <w:rFonts w:ascii="Arial" w:cs="Arial" w:eastAsia="Arial" w:hAnsi="Arial"/>
          <w:b/>
          <w:bCs/>
          <w:color w:val="1565C0"/>
          <w:sz w:val="24"/>
          <w:szCs w:val="24"/>
        </w:rPr>
        <w:t xml:space="preserve">What does the Output show?</w:t>
      </w:r>
    </w:p>
    <w:p>
      <w:pPr>
        <w:pStyle w:val="ListParagraph"/>
        <w:numPr>
          <w:ilvl w:val="0"/>
          <w:numId w:val="2"/>
        </w:numPr>
        <w:spacing w:after="40" w:before="40"/>
      </w:pPr>
      <w:r>
        <w:rPr>
          <w:rFonts w:ascii="Arial" w:cs="Arial" w:eastAsia="Arial" w:hAnsi="Arial"/>
          <w:b w:val="false"/>
          <w:bCs w:val="false"/>
          <w:color w:val="333333"/>
          <w:sz w:val="22"/>
          <w:szCs w:val="22"/>
        </w:rPr>
        <w:t xml:space="preserve">Historical line (blue) — the actual 50-year data.</w:t>
      </w:r>
    </w:p>
    <w:p>
      <w:pPr>
        <w:pStyle w:val="ListParagraph"/>
        <w:numPr>
          <w:ilvl w:val="0"/>
          <w:numId w:val="2"/>
        </w:numPr>
        <w:spacing w:after="40" w:before="40"/>
      </w:pPr>
      <w:r>
        <w:rPr>
          <w:rFonts w:ascii="Arial" w:cs="Arial" w:eastAsia="Arial" w:hAnsi="Arial"/>
          <w:b w:val="false"/>
          <w:bCs w:val="false"/>
          <w:color w:val="333333"/>
          <w:sz w:val="22"/>
          <w:szCs w:val="22"/>
        </w:rPr>
        <w:t xml:space="preserve">Forecast line (gold dashed) — ARIMA's predicted values for the next N years.</w:t>
      </w:r>
    </w:p>
    <w:p>
      <w:pPr>
        <w:pStyle w:val="ListParagraph"/>
        <w:numPr>
          <w:ilvl w:val="0"/>
          <w:numId w:val="2"/>
        </w:numPr>
        <w:spacing w:after="40" w:before="40"/>
      </w:pPr>
      <w:r>
        <w:rPr>
          <w:rFonts w:ascii="Arial" w:cs="Arial" w:eastAsia="Arial" w:hAnsi="Arial"/>
          <w:b w:val="false"/>
          <w:bCs w:val="false"/>
          <w:color w:val="333333"/>
          <w:sz w:val="22"/>
          <w:szCs w:val="22"/>
        </w:rPr>
        <w:t xml:space="preserve">Shaded band (gold transparent) — the 95% Confidence Interval. The model is 95% certain the actual future value will fall inside this band.</w:t>
      </w:r>
    </w:p>
    <w:p>
      <w:pPr>
        <w:pStyle w:val="ListParagraph"/>
        <w:numPr>
          <w:ilvl w:val="0"/>
          <w:numId w:val="2"/>
        </w:numPr>
        <w:spacing w:after="40" w:before="40"/>
      </w:pPr>
      <w:r>
        <w:rPr>
          <w:rFonts w:ascii="Arial" w:cs="Arial" w:eastAsia="Arial" w:hAnsi="Arial"/>
          <w:b w:val="false"/>
          <w:bCs w:val="false"/>
          <w:color w:val="333333"/>
          <w:sz w:val="22"/>
          <w:szCs w:val="22"/>
        </w:rPr>
        <w:t xml:space="preserve">Vertical dotted line — separates historical data from the forecast period.</w:t>
      </w:r>
    </w:p>
    <w:p>
      <w:pPr>
        <w:pStyle w:val="ListParagraph"/>
        <w:numPr>
          <w:ilvl w:val="0"/>
          <w:numId w:val="2"/>
        </w:numPr>
        <w:spacing w:after="40" w:before="40"/>
      </w:pPr>
      <w:r>
        <w:rPr>
          <w:rFonts w:ascii="Arial" w:cs="Arial" w:eastAsia="Arial" w:hAnsi="Arial"/>
          <w:b w:val="false"/>
          <w:bCs w:val="false"/>
          <w:color w:val="333333"/>
          <w:sz w:val="22"/>
          <w:szCs w:val="22"/>
        </w:rPr>
        <w:t xml:space="preserve">Forecast table — precise numerical predicted values for each future year.</w:t>
      </w:r>
    </w:p>
    <w:p>
      <w:pPr>
        <w:pStyle w:val="ListParagraph"/>
        <w:numPr>
          <w:ilvl w:val="0"/>
          <w:numId w:val="2"/>
        </w:numPr>
        <w:spacing w:after="40" w:before="40"/>
      </w:pPr>
      <w:r>
        <w:rPr>
          <w:rFonts w:ascii="Arial" w:cs="Arial" w:eastAsia="Arial" w:hAnsi="Arial"/>
          <w:b w:val="false"/>
          <w:bCs w:val="false"/>
          <w:color w:val="333333"/>
          <w:sz w:val="22"/>
          <w:szCs w:val="22"/>
        </w:rPr>
        <w:t xml:space="preserve">Combined summary table — all three indicators (GDP, Inflation, Unemployment) side by side in one table.</w:t>
      </w:r>
    </w:p>
    <w:p>
      <w:pPr>
        <w:pStyle w:val="ListParagraph"/>
        <w:numPr>
          <w:ilvl w:val="0"/>
          <w:numId w:val="2"/>
        </w:numPr>
        <w:spacing w:after="40" w:before="40"/>
      </w:pPr>
      <w:r>
        <w:rPr>
          <w:rFonts w:ascii="Arial" w:cs="Arial" w:eastAsia="Arial" w:hAnsi="Arial"/>
          <w:b w:val="false"/>
          <w:bCs w:val="false"/>
          <w:color w:val="333333"/>
          <w:sz w:val="22"/>
          <w:szCs w:val="22"/>
        </w:rPr>
        <w:t xml:space="preserve">ARIMA Model Summary (expandable) — shows AIC, BIC, p-values of model parameters.</w:t>
      </w:r>
    </w:p>
    <w:p>
      <w:pPr>
        <w:spacing w:before="100"/>
      </w:pPr>
    </w:p>
    <w:p>
      <w:pPr>
        <w:pStyle w:val="Heading3"/>
        <w:spacing w:after="80" w:before="200"/>
      </w:pPr>
      <w:r>
        <w:rPr>
          <w:rFonts w:ascii="Arial" w:cs="Arial" w:eastAsia="Arial" w:hAnsi="Arial"/>
          <w:b/>
          <w:bCs/>
          <w:color w:val="1565C0"/>
          <w:sz w:val="24"/>
          <w:szCs w:val="24"/>
        </w:rPr>
        <w:t xml:space="preserve">Why ARIMA over other forecasting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w:t>
            </w:r>
          </w:p>
        </w:tc>
        <w:tc>
          <w:tcPr>
            <w:tcW w:type="dxa" w:w="312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w:t>
            </w:r>
          </w:p>
        </w:tc>
        <w:tc>
          <w:tcPr>
            <w:tcW w:type="dxa" w:w="312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Reasoning</w:t>
            </w:r>
          </w:p>
        </w:tc>
      </w:tr>
      <w:tr>
        <w:tc>
          <w:tcPr>
            <w:tcW w:type="dxa" w:w="312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bCs/>
                <w:color w:val="000000"/>
                <w:sz w:val="20"/>
                <w:szCs w:val="20"/>
              </w:rPr>
              <w:t xml:space="preserve">ARIMA</w:t>
            </w:r>
          </w:p>
        </w:tc>
        <w:tc>
          <w:tcPr>
            <w:tcW w:type="dxa" w:w="312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Chosen as primary model</w:t>
            </w:r>
          </w:p>
        </w:tc>
        <w:tc>
          <w:tcPr>
            <w:tcW w:type="dxa" w:w="312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Industry standard for yearly macroeconomic data. Interpretable, well-understood, no black box. Works well with 30–60 year annual series. Handles autocorrelation and trending series.</w:t>
            </w:r>
          </w:p>
        </w:tc>
      </w:tr>
      <w:tr>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Exponential Smoothing (ETS)</w:t>
            </w:r>
          </w:p>
        </w:tc>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Considered but not used in P1</w:t>
            </w:r>
          </w:p>
        </w:tc>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ETS is good for short-term smoothing but does not handle differencing or moving average errors as cleanly as ARIMA for macro data.</w:t>
            </w:r>
          </w:p>
        </w:tc>
      </w:tr>
      <w:tr>
        <w:tc>
          <w:tcPr>
            <w:tcW w:type="dxa" w:w="312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bCs/>
                <w:color w:val="000000"/>
                <w:sz w:val="20"/>
                <w:szCs w:val="20"/>
              </w:rPr>
              <w:t xml:space="preserve">LSTM / Neural Network</w:t>
            </w:r>
          </w:p>
        </w:tc>
        <w:tc>
          <w:tcPr>
            <w:tcW w:type="dxa" w:w="312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Not used in P1</w:t>
            </w:r>
          </w:p>
        </w:tc>
        <w:tc>
          <w:tcPr>
            <w:tcW w:type="dxa" w:w="312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Requires hundreds of data points. With only 50 yearly observations, LSTM would overfit severely.</w:t>
            </w:r>
          </w:p>
        </w:tc>
      </w:tr>
      <w:tr>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Prophet</w:t>
            </w:r>
          </w:p>
        </w:tc>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Added in P2</w:t>
            </w:r>
          </w:p>
        </w:tc>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Prophet handles change-points better (1991 liberalisation, 2020 COVID) but adds complexity. Kept for P2 only.</w:t>
            </w:r>
          </w:p>
        </w:tc>
      </w:tr>
    </w:tbl>
    <w:p>
      <w:pPr>
        <w:spacing w:before="80"/>
      </w:pPr>
    </w:p>
    <w:p>
      <w:pPr>
        <w:spacing w:after="100" w:before="60"/>
      </w:pPr>
      <w:r>
        <w:rPr>
          <w:rFonts w:ascii="Arial" w:cs="Arial" w:eastAsia="Arial" w:hAnsi="Arial"/>
          <w:b/>
          <w:bCs/>
          <w:color w:val="333333"/>
          <w:sz w:val="22"/>
          <w:szCs w:val="22"/>
        </w:rPr>
        <w:t xml:space="preserve">Important note on 'flat' forecasts:</w:t>
      </w:r>
    </w:p>
    <w:p>
      <w:pPr>
        <w:spacing w:after="100" w:before="60"/>
      </w:pPr>
      <w:r>
        <w:rPr>
          <w:rFonts w:ascii="Arial" w:cs="Arial" w:eastAsia="Arial" w:hAnsi="Arial"/>
          <w:b w:val="false"/>
          <w:bCs w:val="false"/>
          <w:color w:val="333333"/>
          <w:sz w:val="22"/>
          <w:szCs w:val="22"/>
        </w:rPr>
        <w:t xml:space="preserve">A common issue is ARIMA producing flat, nearly-constant predictions. This happens when the differenced series has no strong autocorrelation pattern — the model is essentially saying 'the best estimate of the future is the last known value.' This is mathematically valid but not very informative. Project 2 addresses this by introducing SARIMA and Prophet which produce more dynamic trajectories.</w:t>
      </w:r>
    </w:p>
    <w:p>
      <w:r>
        <w:br w:type="page"/>
      </w:r>
    </w:p>
    <w:p>
      <w:pPr>
        <w:pStyle w:val="Heading2"/>
        <w:spacing w:after="100" w:before="280"/>
      </w:pPr>
      <w:r>
        <w:rPr>
          <w:rFonts w:ascii="Arial" w:cs="Arial" w:eastAsia="Arial" w:hAnsi="Arial"/>
          <w:b/>
          <w:bCs/>
          <w:color w:val="283593"/>
          <w:sz w:val="28"/>
          <w:szCs w:val="28"/>
        </w:rPr>
        <w:t xml:space="preserve">P1 — Output 2: Multivariate Regression Modeling</w:t>
      </w:r>
    </w:p>
    <w:p>
      <w:pPr>
        <w:pBdr>
          <w:bottom w:val="single" w:color="C5CAE9" w:sz="4" w:space="1"/>
        </w:pBdr>
        <w:spacing w:after="120" w:before="120"/>
      </w:pPr>
    </w:p>
    <w:p>
      <w:pPr>
        <w:pStyle w:val="Heading3"/>
        <w:spacing w:after="80" w:before="200"/>
      </w:pPr>
      <w:r>
        <w:rPr>
          <w:rFonts w:ascii="Arial" w:cs="Arial" w:eastAsia="Arial" w:hAnsi="Arial"/>
          <w:b/>
          <w:bCs/>
          <w:color w:val="1565C0"/>
          <w:sz w:val="24"/>
          <w:szCs w:val="24"/>
        </w:rPr>
        <w:t xml:space="preserve">What is the goal?</w:t>
      </w:r>
    </w:p>
    <w:p>
      <w:pPr>
        <w:spacing w:after="100" w:before="60"/>
      </w:pPr>
      <w:r>
        <w:rPr>
          <w:rFonts w:ascii="Arial" w:cs="Arial" w:eastAsia="Arial" w:hAnsi="Arial"/>
          <w:b w:val="false"/>
          <w:bCs w:val="false"/>
          <w:color w:val="333333"/>
          <w:sz w:val="22"/>
          <w:szCs w:val="22"/>
        </w:rPr>
        <w:t xml:space="preserve">Regression here tries to answer: given all of India's other economic indicators, how well can we predict GDP Growth? This simulates 'what-if' policy analysis — if inflation rises by 3%, what happens to GDP?</w:t>
      </w:r>
    </w:p>
    <w:p>
      <w:pPr>
        <w:spacing w:before="80"/>
      </w:pPr>
    </w:p>
    <w:p>
      <w:pPr>
        <w:pStyle w:val="Heading3"/>
        <w:spacing w:after="80" w:before="200"/>
      </w:pPr>
      <w:r>
        <w:rPr>
          <w:rFonts w:ascii="Arial" w:cs="Arial" w:eastAsia="Arial" w:hAnsi="Arial"/>
          <w:b/>
          <w:bCs/>
          <w:color w:val="1565C0"/>
          <w:sz w:val="24"/>
          <w:szCs w:val="24"/>
        </w:rPr>
        <w:t xml:space="preserve">Input Features (X) and Target (Y)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26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12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556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represents</w:t>
            </w:r>
          </w:p>
        </w:tc>
      </w:tr>
      <w:tr>
        <w:tc>
          <w:tcPr>
            <w:tcW w:type="dxa" w:w="260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bCs/>
                <w:color w:val="000000"/>
                <w:sz w:val="20"/>
                <w:szCs w:val="20"/>
              </w:rPr>
              <w:t xml:space="preserve">GDP Deflator</w:t>
            </w:r>
          </w:p>
        </w:tc>
        <w:tc>
          <w:tcPr>
            <w:tcW w:type="dxa" w:w="120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Input</w:t>
            </w:r>
          </w:p>
        </w:tc>
        <w:tc>
          <w:tcPr>
            <w:tcW w:type="dxa" w:w="556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Broad price level change across the whole economy</w:t>
            </w:r>
          </w:p>
        </w:tc>
      </w:tr>
      <w:tr>
        <w:tc>
          <w:tcPr>
            <w:tcW w:type="dxa" w:w="2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Inflation (CPI)</w:t>
            </w:r>
          </w:p>
        </w:tc>
        <w:tc>
          <w:tcPr>
            <w:tcW w:type="dxa" w:w="12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Input</w:t>
            </w:r>
          </w:p>
        </w:tc>
        <w:tc>
          <w:tcPr>
            <w:tcW w:type="dxa" w:w="5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Consumer price inflation — cost of living changes</w:t>
            </w:r>
          </w:p>
        </w:tc>
      </w:tr>
      <w:tr>
        <w:tc>
          <w:tcPr>
            <w:tcW w:type="dxa" w:w="260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bCs/>
                <w:color w:val="000000"/>
                <w:sz w:val="20"/>
                <w:szCs w:val="20"/>
              </w:rPr>
              <w:t xml:space="preserve">Unemployment Total</w:t>
            </w:r>
          </w:p>
        </w:tc>
        <w:tc>
          <w:tcPr>
            <w:tcW w:type="dxa" w:w="120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Input</w:t>
            </w:r>
          </w:p>
        </w:tc>
        <w:tc>
          <w:tcPr>
            <w:tcW w:type="dxa" w:w="556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Overall joblessness rate</w:t>
            </w:r>
          </w:p>
        </w:tc>
      </w:tr>
      <w:tr>
        <w:tc>
          <w:tcPr>
            <w:tcW w:type="dxa" w:w="2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Population Growth</w:t>
            </w:r>
          </w:p>
        </w:tc>
        <w:tc>
          <w:tcPr>
            <w:tcW w:type="dxa" w:w="12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Input</w:t>
            </w:r>
          </w:p>
        </w:tc>
        <w:tc>
          <w:tcPr>
            <w:tcW w:type="dxa" w:w="5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Demographic pressure on the economy</w:t>
            </w:r>
          </w:p>
        </w:tc>
      </w:tr>
      <w:tr>
        <w:tc>
          <w:tcPr>
            <w:tcW w:type="dxa" w:w="260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bCs/>
                <w:color w:val="000000"/>
                <w:sz w:val="20"/>
                <w:szCs w:val="20"/>
              </w:rPr>
              <w:t xml:space="preserve">Population Total</w:t>
            </w:r>
          </w:p>
        </w:tc>
        <w:tc>
          <w:tcPr>
            <w:tcW w:type="dxa" w:w="120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Input</w:t>
            </w:r>
          </w:p>
        </w:tc>
        <w:tc>
          <w:tcPr>
            <w:tcW w:type="dxa" w:w="556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Absolute size of the economy's labour base</w:t>
            </w:r>
          </w:p>
        </w:tc>
      </w:tr>
      <w:tr>
        <w:tc>
          <w:tcPr>
            <w:tcW w:type="dxa" w:w="2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Real Interest Rate</w:t>
            </w:r>
          </w:p>
        </w:tc>
        <w:tc>
          <w:tcPr>
            <w:tcW w:type="dxa" w:w="12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Input</w:t>
            </w:r>
          </w:p>
        </w:tc>
        <w:tc>
          <w:tcPr>
            <w:tcW w:type="dxa" w:w="5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Cost of borrowing after inflation</w:t>
            </w:r>
          </w:p>
        </w:tc>
      </w:tr>
      <w:tr>
        <w:tc>
          <w:tcPr>
            <w:tcW w:type="dxa" w:w="260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bCs/>
                <w:color w:val="000000"/>
                <w:sz w:val="20"/>
                <w:szCs w:val="20"/>
              </w:rPr>
              <w:t xml:space="preserve">Government Debt</w:t>
            </w:r>
          </w:p>
        </w:tc>
        <w:tc>
          <w:tcPr>
            <w:tcW w:type="dxa" w:w="120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Input</w:t>
            </w:r>
          </w:p>
        </w:tc>
        <w:tc>
          <w:tcPr>
            <w:tcW w:type="dxa" w:w="556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Fiscal burden on the economy</w:t>
            </w:r>
          </w:p>
        </w:tc>
      </w:tr>
      <w:tr>
        <w:tc>
          <w:tcPr>
            <w:tcW w:type="dxa" w:w="2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Trade (% of GDP)</w:t>
            </w:r>
          </w:p>
        </w:tc>
        <w:tc>
          <w:tcPr>
            <w:tcW w:type="dxa" w:w="12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Input</w:t>
            </w:r>
          </w:p>
        </w:tc>
        <w:tc>
          <w:tcPr>
            <w:tcW w:type="dxa" w:w="5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Degree of global economic integration</w:t>
            </w:r>
          </w:p>
        </w:tc>
      </w:tr>
      <w:tr>
        <w:tc>
          <w:tcPr>
            <w:tcW w:type="dxa" w:w="260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bCs/>
                <w:color w:val="000000"/>
                <w:sz w:val="20"/>
                <w:szCs w:val="20"/>
              </w:rPr>
              <w:t xml:space="preserve">GDP Growth (%)</w:t>
            </w:r>
          </w:p>
        </w:tc>
        <w:tc>
          <w:tcPr>
            <w:tcW w:type="dxa" w:w="120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TARGET</w:t>
            </w:r>
          </w:p>
        </w:tc>
        <w:tc>
          <w:tcPr>
            <w:tcW w:type="dxa" w:w="556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What the model is trying to predict</w:t>
            </w:r>
          </w:p>
        </w:tc>
      </w:tr>
    </w:tbl>
    <w:p>
      <w:pPr>
        <w:spacing w:before="100"/>
      </w:pPr>
    </w:p>
    <w:p>
      <w:pPr>
        <w:pStyle w:val="Heading3"/>
        <w:spacing w:after="80" w:before="200"/>
      </w:pPr>
      <w:r>
        <w:rPr>
          <w:rFonts w:ascii="Arial" w:cs="Arial" w:eastAsia="Arial" w:hAnsi="Arial"/>
          <w:b/>
          <w:bCs/>
          <w:color w:val="1565C0"/>
          <w:sz w:val="24"/>
          <w:szCs w:val="24"/>
        </w:rPr>
        <w:t xml:space="preserve">Model 1 — Random Forest Regressor</w:t>
      </w:r>
    </w:p>
    <w:p>
      <w:pPr>
        <w:spacing w:after="100" w:before="60"/>
      </w:pPr>
      <w:r>
        <w:rPr>
          <w:rFonts w:ascii="Arial" w:cs="Arial" w:eastAsia="Arial" w:hAnsi="Arial"/>
          <w:b w:val="false"/>
          <w:bCs w:val="false"/>
          <w:color w:val="333333"/>
          <w:sz w:val="22"/>
          <w:szCs w:val="22"/>
        </w:rPr>
        <w:t xml:space="preserve">A Random Forest builds hundreds of Decision Trees, each on a random subset of the data and features. The final prediction is the average of all trees' predictions. This 'wisdom of crowds' approach reduces variance and prevents overfitting.</w:t>
      </w:r>
    </w:p>
    <w:p>
      <w:pPr>
        <w:pStyle w:val="ListParagraph"/>
        <w:numPr>
          <w:ilvl w:val="0"/>
          <w:numId w:val="2"/>
        </w:numPr>
        <w:spacing w:after="40" w:before="40"/>
      </w:pPr>
      <w:r>
        <w:rPr>
          <w:rFonts w:ascii="Arial" w:cs="Arial" w:eastAsia="Arial" w:hAnsi="Arial"/>
          <w:b w:val="false"/>
          <w:bCs w:val="false"/>
          <w:color w:val="333333"/>
          <w:sz w:val="22"/>
          <w:szCs w:val="22"/>
        </w:rPr>
        <w:t xml:space="preserve">Handles non-linear relationships — if unemployment above 8% causes a much steeper GDP fall than below 8%, Random Forest captures that without any manual encoding.</w:t>
      </w:r>
    </w:p>
    <w:p>
      <w:pPr>
        <w:pStyle w:val="ListParagraph"/>
        <w:numPr>
          <w:ilvl w:val="0"/>
          <w:numId w:val="2"/>
        </w:numPr>
        <w:spacing w:after="40" w:before="40"/>
      </w:pPr>
      <w:r>
        <w:rPr>
          <w:rFonts w:ascii="Arial" w:cs="Arial" w:eastAsia="Arial" w:hAnsi="Arial"/>
          <w:b w:val="false"/>
          <w:bCs w:val="false"/>
          <w:color w:val="333333"/>
          <w:sz w:val="22"/>
          <w:szCs w:val="22"/>
        </w:rPr>
        <w:t xml:space="preserve">Feature importance — naturally ranks which indicator has the most influence on GDP growth.</w:t>
      </w:r>
    </w:p>
    <w:p>
      <w:pPr>
        <w:pStyle w:val="ListParagraph"/>
        <w:numPr>
          <w:ilvl w:val="0"/>
          <w:numId w:val="2"/>
        </w:numPr>
        <w:spacing w:after="40" w:before="40"/>
      </w:pPr>
      <w:r>
        <w:rPr>
          <w:rFonts w:ascii="Arial" w:cs="Arial" w:eastAsia="Arial" w:hAnsi="Arial"/>
          <w:b w:val="false"/>
          <w:bCs w:val="false"/>
          <w:color w:val="333333"/>
          <w:sz w:val="22"/>
          <w:szCs w:val="22"/>
        </w:rPr>
        <w:t xml:space="preserve">Robust to outliers — shock years like 2020 do not distort the whole model.</w:t>
      </w:r>
    </w:p>
    <w:p>
      <w:pPr>
        <w:spacing w:before="80"/>
      </w:pPr>
    </w:p>
    <w:p>
      <w:pPr>
        <w:pStyle w:val="Heading3"/>
        <w:spacing w:after="80" w:before="200"/>
      </w:pPr>
      <w:r>
        <w:rPr>
          <w:rFonts w:ascii="Arial" w:cs="Arial" w:eastAsia="Arial" w:hAnsi="Arial"/>
          <w:b/>
          <w:bCs/>
          <w:color w:val="1565C0"/>
          <w:sz w:val="24"/>
          <w:szCs w:val="24"/>
        </w:rPr>
        <w:t xml:space="preserve">Model 2 — XGBoost Regressor</w:t>
      </w:r>
    </w:p>
    <w:p>
      <w:pPr>
        <w:spacing w:after="100" w:before="60"/>
      </w:pPr>
      <w:r>
        <w:rPr>
          <w:rFonts w:ascii="Arial" w:cs="Arial" w:eastAsia="Arial" w:hAnsi="Arial"/>
          <w:b w:val="false"/>
          <w:bCs w:val="false"/>
          <w:color w:val="333333"/>
          <w:sz w:val="22"/>
          <w:szCs w:val="22"/>
        </w:rPr>
        <w:t xml:space="preserve">XGBoost (eXtreme Gradient Boosting) builds trees sequentially, with each new tree correcting the errors of the previous one. It uses gradient descent in function space, which makes it highly accurate on structured tabular data.</w:t>
      </w:r>
    </w:p>
    <w:p>
      <w:pPr>
        <w:pStyle w:val="ListParagraph"/>
        <w:numPr>
          <w:ilvl w:val="0"/>
          <w:numId w:val="2"/>
        </w:numPr>
        <w:spacing w:after="40" w:before="40"/>
      </w:pPr>
      <w:r>
        <w:rPr>
          <w:rFonts w:ascii="Arial" w:cs="Arial" w:eastAsia="Arial" w:hAnsi="Arial"/>
          <w:b w:val="false"/>
          <w:bCs w:val="false"/>
          <w:color w:val="333333"/>
          <w:sz w:val="22"/>
          <w:szCs w:val="22"/>
        </w:rPr>
        <w:t xml:space="preserve">Generally outperforms Random Forest on small-to-medium structured datasets.</w:t>
      </w:r>
    </w:p>
    <w:p>
      <w:pPr>
        <w:pStyle w:val="ListParagraph"/>
        <w:numPr>
          <w:ilvl w:val="0"/>
          <w:numId w:val="2"/>
        </w:numPr>
        <w:spacing w:after="40" w:before="40"/>
      </w:pPr>
      <w:r>
        <w:rPr>
          <w:rFonts w:ascii="Arial" w:cs="Arial" w:eastAsia="Arial" w:hAnsi="Arial"/>
          <w:b w:val="false"/>
          <w:bCs w:val="false"/>
          <w:color w:val="333333"/>
          <w:sz w:val="22"/>
          <w:szCs w:val="22"/>
        </w:rPr>
        <w:t xml:space="preserve">Built-in regularisation (L1/L2) prevents overfitting.</w:t>
      </w:r>
    </w:p>
    <w:p>
      <w:pPr>
        <w:pStyle w:val="ListParagraph"/>
        <w:numPr>
          <w:ilvl w:val="0"/>
          <w:numId w:val="2"/>
        </w:numPr>
        <w:spacing w:after="40" w:before="40"/>
      </w:pPr>
      <w:r>
        <w:rPr>
          <w:rFonts w:ascii="Arial" w:cs="Arial" w:eastAsia="Arial" w:hAnsi="Arial"/>
          <w:b w:val="false"/>
          <w:bCs w:val="false"/>
          <w:color w:val="333333"/>
          <w:sz w:val="22"/>
          <w:szCs w:val="22"/>
        </w:rPr>
        <w:t xml:space="preserve">Extremely fast to train even on small datasets like 50 rows.</w:t>
      </w:r>
    </w:p>
    <w:p>
      <w:pPr>
        <w:spacing w:before="80"/>
      </w:pPr>
    </w:p>
    <w:p>
      <w:pPr>
        <w:pStyle w:val="Heading3"/>
        <w:spacing w:after="80" w:before="200"/>
      </w:pPr>
      <w:r>
        <w:rPr>
          <w:rFonts w:ascii="Arial" w:cs="Arial" w:eastAsia="Arial" w:hAnsi="Arial"/>
          <w:b/>
          <w:bCs/>
          <w:color w:val="1565C0"/>
          <w:sz w:val="24"/>
          <w:szCs w:val="24"/>
        </w:rPr>
        <w:t xml:space="preserve">Model 3 — Linear Regression</w:t>
      </w:r>
    </w:p>
    <w:p>
      <w:pPr>
        <w:spacing w:after="100" w:before="60"/>
      </w:pPr>
      <w:r>
        <w:rPr>
          <w:rFonts w:ascii="Arial" w:cs="Arial" w:eastAsia="Arial" w:hAnsi="Arial"/>
          <w:b w:val="false"/>
          <w:bCs w:val="false"/>
          <w:color w:val="333333"/>
          <w:sz w:val="22"/>
          <w:szCs w:val="22"/>
        </w:rPr>
        <w:t xml:space="preserve">Linear Regression fits a straight line through the data: GDP Growth = a + b1*Inflation + b2*Unemployment + ... The coefficients b1, b2... show the direction and magnitude of each indicator's direct linear effect on GDP growth.</w:t>
      </w:r>
    </w:p>
    <w:p>
      <w:pPr>
        <w:pStyle w:val="ListParagraph"/>
        <w:numPr>
          <w:ilvl w:val="0"/>
          <w:numId w:val="2"/>
        </w:numPr>
        <w:spacing w:after="40" w:before="40"/>
      </w:pPr>
      <w:r>
        <w:rPr>
          <w:rFonts w:ascii="Arial" w:cs="Arial" w:eastAsia="Arial" w:hAnsi="Arial"/>
          <w:b w:val="false"/>
          <w:bCs w:val="false"/>
          <w:color w:val="333333"/>
          <w:sz w:val="22"/>
          <w:szCs w:val="22"/>
        </w:rPr>
        <w:t xml:space="preserve">The coefficient table output is directly interpretable by policymakers: 'a 1% rise in inflation reduces GDP growth by X%.</w:t>
      </w:r>
    </w:p>
    <w:p>
      <w:pPr>
        <w:pStyle w:val="ListParagraph"/>
        <w:numPr>
          <w:ilvl w:val="0"/>
          <w:numId w:val="2"/>
        </w:numPr>
        <w:spacing w:after="40" w:before="40"/>
      </w:pPr>
      <w:r>
        <w:rPr>
          <w:rFonts w:ascii="Arial" w:cs="Arial" w:eastAsia="Arial" w:hAnsi="Arial"/>
          <w:b w:val="false"/>
          <w:bCs w:val="false"/>
          <w:color w:val="333333"/>
          <w:sz w:val="22"/>
          <w:szCs w:val="22"/>
        </w:rPr>
        <w:t xml:space="preserve">Useful as a baseline — if Random Forest does not beat Linear Regression by much, the relationship is largely linear.</w:t>
      </w:r>
    </w:p>
    <w:p>
      <w:pPr>
        <w:spacing w:before="100"/>
      </w:pPr>
    </w:p>
    <w:p>
      <w:pPr>
        <w:pStyle w:val="Heading3"/>
        <w:spacing w:after="80" w:before="200"/>
      </w:pPr>
      <w:r>
        <w:rPr>
          <w:rFonts w:ascii="Arial" w:cs="Arial" w:eastAsia="Arial" w:hAnsi="Arial"/>
          <w:b/>
          <w:bCs/>
          <w:color w:val="1565C0"/>
          <w:sz w:val="24"/>
          <w:szCs w:val="24"/>
        </w:rPr>
        <w:t xml:space="preserve">What does the Output show?</w:t>
      </w:r>
    </w:p>
    <w:p>
      <w:pPr>
        <w:pStyle w:val="ListParagraph"/>
        <w:numPr>
          <w:ilvl w:val="0"/>
          <w:numId w:val="2"/>
        </w:numPr>
        <w:spacing w:after="40" w:before="40"/>
      </w:pPr>
      <w:r>
        <w:rPr>
          <w:rFonts w:ascii="Arial" w:cs="Arial" w:eastAsia="Arial" w:hAnsi="Arial"/>
          <w:b w:val="false"/>
          <w:bCs w:val="false"/>
          <w:color w:val="333333"/>
          <w:sz w:val="22"/>
          <w:szCs w:val="22"/>
        </w:rPr>
        <w:t xml:space="preserve">Model Performance Table — R-squared (how much variance is explained), MAE (average error in percentage points), RMSE (error that penalises large mistakes more). Best model highlighted in green.</w:t>
      </w:r>
    </w:p>
    <w:p>
      <w:pPr>
        <w:pStyle w:val="ListParagraph"/>
        <w:numPr>
          <w:ilvl w:val="0"/>
          <w:numId w:val="2"/>
        </w:numPr>
        <w:spacing w:after="40" w:before="40"/>
      </w:pPr>
      <w:r>
        <w:rPr>
          <w:rFonts w:ascii="Arial" w:cs="Arial" w:eastAsia="Arial" w:hAnsi="Arial"/>
          <w:b w:val="false"/>
          <w:bCs w:val="false"/>
          <w:color w:val="333333"/>
          <w:sz w:val="22"/>
          <w:szCs w:val="22"/>
        </w:rPr>
        <w:t xml:space="preserve">Actual vs Predicted scatter plots — each dot is one test year. Dots on the diagonal = perfect prediction. Spread = error.</w:t>
      </w:r>
    </w:p>
    <w:p>
      <w:pPr>
        <w:pStyle w:val="ListParagraph"/>
        <w:numPr>
          <w:ilvl w:val="0"/>
          <w:numId w:val="2"/>
        </w:numPr>
        <w:spacing w:after="40" w:before="40"/>
      </w:pPr>
      <w:r>
        <w:rPr>
          <w:rFonts w:ascii="Arial" w:cs="Arial" w:eastAsia="Arial" w:hAnsi="Arial"/>
          <w:b w:val="false"/>
          <w:bCs w:val="false"/>
          <w:color w:val="333333"/>
          <w:sz w:val="22"/>
          <w:szCs w:val="22"/>
        </w:rPr>
        <w:t xml:space="preserve">Feature Importance charts (Random Forest + XGBoost) — horizontal bar charts showing which input indicator most influenced GDP predictions.</w:t>
      </w:r>
    </w:p>
    <w:p>
      <w:pPr>
        <w:pStyle w:val="ListParagraph"/>
        <w:numPr>
          <w:ilvl w:val="0"/>
          <w:numId w:val="2"/>
        </w:numPr>
        <w:spacing w:after="40" w:before="40"/>
      </w:pPr>
      <w:r>
        <w:rPr>
          <w:rFonts w:ascii="Arial" w:cs="Arial" w:eastAsia="Arial" w:hAnsi="Arial"/>
          <w:b w:val="false"/>
          <w:bCs w:val="false"/>
          <w:color w:val="333333"/>
          <w:sz w:val="22"/>
          <w:szCs w:val="22"/>
        </w:rPr>
        <w:t xml:space="preserve">Linear Regression Coefficients table — shows each feature's exact linear effect. Positive = pushes GDP up; negative = pushes GDP down.</w:t>
      </w:r>
    </w:p>
    <w:p>
      <w:pPr>
        <w:spacing w:before="100"/>
      </w:pPr>
    </w:p>
    <w:p>
      <w:pPr>
        <w:pStyle w:val="Heading3"/>
        <w:spacing w:after="80" w:before="200"/>
      </w:pPr>
      <w:r>
        <w:rPr>
          <w:rFonts w:ascii="Arial" w:cs="Arial" w:eastAsia="Arial" w:hAnsi="Arial"/>
          <w:b/>
          <w:bCs/>
          <w:color w:val="1565C0"/>
          <w:sz w:val="24"/>
          <w:szCs w:val="24"/>
        </w:rPr>
        <w:t xml:space="preserve">Why these three models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80"/>
        <w:gridCol w:w="2480"/>
      </w:tblGrid>
      <w:tr>
        <w:trPr>
          <w:tblHeader/>
        </w:trPr>
        <w:tc>
          <w:tcPr>
            <w:tcW w:type="dxa" w:w="24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w:t>
            </w:r>
          </w:p>
        </w:tc>
        <w:tc>
          <w:tcPr>
            <w:tcW w:type="dxa" w:w="20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Family</w:t>
            </w:r>
          </w:p>
        </w:tc>
        <w:tc>
          <w:tcPr>
            <w:tcW w:type="dxa" w:w="248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Strength</w:t>
            </w:r>
          </w:p>
        </w:tc>
        <w:tc>
          <w:tcPr>
            <w:tcW w:type="dxa" w:w="248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Limitation</w:t>
            </w:r>
          </w:p>
        </w:tc>
      </w:tr>
      <w:tr>
        <w:tc>
          <w:tcPr>
            <w:tcW w:type="dxa" w:w="240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bCs/>
                <w:color w:val="000000"/>
                <w:sz w:val="20"/>
                <w:szCs w:val="20"/>
              </w:rPr>
              <w:t xml:space="preserve">Random Forest</w:t>
            </w:r>
          </w:p>
        </w:tc>
        <w:tc>
          <w:tcPr>
            <w:tcW w:type="dxa" w:w="200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Ensemble</w:t>
            </w:r>
          </w:p>
        </w:tc>
        <w:tc>
          <w:tcPr>
            <w:tcW w:type="dxa" w:w="248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Non-linear, robust, built-in importance</w:t>
            </w:r>
          </w:p>
        </w:tc>
        <w:tc>
          <w:tcPr>
            <w:tcW w:type="dxa" w:w="248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Cannot extrapolate far beyond training range</w:t>
            </w:r>
          </w:p>
        </w:tc>
      </w:tr>
      <w:tr>
        <w:tc>
          <w:tcPr>
            <w:tcW w:type="dxa" w:w="2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XGBoost</w:t>
            </w:r>
          </w:p>
        </w:tc>
        <w:tc>
          <w:tcPr>
            <w:tcW w:type="dxa" w:w="2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Gradient Boost</w:t>
            </w:r>
          </w:p>
        </w:tc>
        <w:tc>
          <w:tcPr>
            <w:tcW w:type="dxa" w:w="24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Highest accuracy on structured data</w:t>
            </w:r>
          </w:p>
        </w:tc>
        <w:tc>
          <w:tcPr>
            <w:tcW w:type="dxa" w:w="24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More hyperparameters to tune</w:t>
            </w:r>
          </w:p>
        </w:tc>
      </w:tr>
      <w:tr>
        <w:tc>
          <w:tcPr>
            <w:tcW w:type="dxa" w:w="240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bCs/>
                <w:color w:val="000000"/>
                <w:sz w:val="20"/>
                <w:szCs w:val="20"/>
              </w:rPr>
              <w:t xml:space="preserve">Linear Regression</w:t>
            </w:r>
          </w:p>
        </w:tc>
        <w:tc>
          <w:tcPr>
            <w:tcW w:type="dxa" w:w="200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Statistical</w:t>
            </w:r>
          </w:p>
        </w:tc>
        <w:tc>
          <w:tcPr>
            <w:tcW w:type="dxa" w:w="248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Fully interpretable coefficients</w:t>
            </w:r>
          </w:p>
        </w:tc>
        <w:tc>
          <w:tcPr>
            <w:tcW w:type="dxa" w:w="248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Assumes linearity — may miss interactions</w:t>
            </w:r>
          </w:p>
        </w:tc>
      </w:tr>
    </w:tbl>
    <w:p>
      <w:pPr>
        <w:spacing w:after="100" w:before="60"/>
      </w:pPr>
      <w:r>
        <w:rPr>
          <w:rFonts w:ascii="Arial" w:cs="Arial" w:eastAsia="Arial" w:hAnsi="Arial"/>
          <w:b w:val="false"/>
          <w:bCs w:val="false"/>
          <w:color w:val="333333"/>
          <w:sz w:val="22"/>
          <w:szCs w:val="22"/>
        </w:rPr>
        <w:t xml:space="preserve">Using all three lets you see whether the relationship is linear (if LR matches RF) or highly non-linear (if RF/XGBoost significantly outperform LR).</w:t>
      </w:r>
    </w:p>
    <w:p>
      <w:r>
        <w:br w:type="page"/>
      </w:r>
    </w:p>
    <w:p>
      <w:pPr>
        <w:pStyle w:val="Heading2"/>
        <w:spacing w:after="100" w:before="280"/>
      </w:pPr>
      <w:r>
        <w:rPr>
          <w:rFonts w:ascii="Arial" w:cs="Arial" w:eastAsia="Arial" w:hAnsi="Arial"/>
          <w:b/>
          <w:bCs/>
          <w:color w:val="283593"/>
          <w:sz w:val="28"/>
          <w:szCs w:val="28"/>
        </w:rPr>
        <w:t xml:space="preserve">P1 — Output 3: Economic Health Index (EHI)</w:t>
      </w:r>
    </w:p>
    <w:p>
      <w:pPr>
        <w:pBdr>
          <w:bottom w:val="single" w:color="C5CAE9" w:sz="4" w:space="1"/>
        </w:pBdr>
        <w:spacing w:after="120" w:before="120"/>
      </w:pPr>
    </w:p>
    <w:p>
      <w:pPr>
        <w:pStyle w:val="Heading3"/>
        <w:spacing w:after="80" w:before="200"/>
      </w:pPr>
      <w:r>
        <w:rPr>
          <w:rFonts w:ascii="Arial" w:cs="Arial" w:eastAsia="Arial" w:hAnsi="Arial"/>
          <w:b/>
          <w:bCs/>
          <w:color w:val="1565C0"/>
          <w:sz w:val="24"/>
          <w:szCs w:val="24"/>
        </w:rPr>
        <w:t xml:space="preserve">What is the EHI?</w:t>
      </w:r>
    </w:p>
    <w:p>
      <w:pPr>
        <w:spacing w:after="100" w:before="60"/>
      </w:pPr>
      <w:r>
        <w:rPr>
          <w:rFonts w:ascii="Arial" w:cs="Arial" w:eastAsia="Arial" w:hAnsi="Arial"/>
          <w:b w:val="false"/>
          <w:bCs w:val="false"/>
          <w:color w:val="333333"/>
          <w:sz w:val="22"/>
          <w:szCs w:val="22"/>
        </w:rPr>
        <w:t xml:space="preserve">The Economic Health Index is a custom composite score designed specifically for this project. It collapses three major economic indicators into one single number per year, making year-to-year comparison easy.</w:t>
      </w:r>
    </w:p>
    <w:p>
      <w:pPr>
        <w:spacing w:before="80"/>
      </w:pPr>
    </w:p>
    <w:p>
      <w:pPr>
        <w:shd w:fill="E3F2FD" w:val="clear"/>
        <w:spacing w:after="80" w:before="80"/>
        <w:ind w:left="360"/>
      </w:pPr>
      <w:r>
        <w:rPr>
          <w:rFonts w:ascii="Arial" w:cs="Arial" w:eastAsia="Arial" w:hAnsi="Arial"/>
          <w:b/>
          <w:bCs/>
          <w:color w:val="0D47A1"/>
          <w:sz w:val="20"/>
          <w:szCs w:val="20"/>
        </w:rPr>
        <w:t xml:space="preserve">Formula:  EHI_raw = (0.4 × GDP Growth) − (0.3 × Inflation) − (0.3 × Unemployment)</w:t>
      </w:r>
    </w:p>
    <w:p>
      <w:pPr>
        <w:spacing w:before="40"/>
      </w:pPr>
    </w:p>
    <w:p>
      <w:pPr>
        <w:spacing w:after="100" w:before="60"/>
      </w:pPr>
      <w:r>
        <w:rPr>
          <w:rFonts w:ascii="Arial" w:cs="Arial" w:eastAsia="Arial" w:hAnsi="Arial"/>
          <w:b w:val="false"/>
          <w:bCs w:val="false"/>
          <w:color w:val="333333"/>
          <w:sz w:val="22"/>
          <w:szCs w:val="22"/>
        </w:rPr>
        <w:t xml:space="preserve">The raw score is then passed through Min-Max Normalisation to produce a final value between 0 and 1.</w:t>
      </w:r>
    </w:p>
    <w:p>
      <w:pPr>
        <w:spacing w:before="100"/>
      </w:pPr>
    </w:p>
    <w:p>
      <w:pPr>
        <w:pStyle w:val="Heading3"/>
        <w:spacing w:after="80" w:before="200"/>
      </w:pPr>
      <w:r>
        <w:rPr>
          <w:rFonts w:ascii="Arial" w:cs="Arial" w:eastAsia="Arial" w:hAnsi="Arial"/>
          <w:b/>
          <w:bCs/>
          <w:color w:val="1565C0"/>
          <w:sz w:val="24"/>
          <w:szCs w:val="24"/>
        </w:rPr>
        <w:t xml:space="preserve">Why these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12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312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Reasoning</w:t>
            </w:r>
          </w:p>
        </w:tc>
      </w:tr>
      <w:tr>
        <w:tc>
          <w:tcPr>
            <w:tcW w:type="dxa" w:w="312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bCs/>
                <w:color w:val="000000"/>
                <w:sz w:val="20"/>
                <w:szCs w:val="20"/>
              </w:rPr>
              <w:t xml:space="preserve">GDP Growth (40%)</w:t>
            </w:r>
          </w:p>
        </w:tc>
        <w:tc>
          <w:tcPr>
            <w:tcW w:type="dxa" w:w="312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Most positive contributor</w:t>
            </w:r>
          </w:p>
        </w:tc>
        <w:tc>
          <w:tcPr>
            <w:tcW w:type="dxa" w:w="312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Primary measure of economic expansion. Highest weight because it directly reflects production and welfare.</w:t>
            </w:r>
          </w:p>
        </w:tc>
      </w:tr>
      <w:tr>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Inflation (30%)</w:t>
            </w:r>
          </w:p>
        </w:tc>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Negative contributor</w:t>
            </w:r>
          </w:p>
        </w:tc>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Moderate inflation is acceptable, but high inflation erodes purchasing power and destabilises investment.</w:t>
            </w:r>
          </w:p>
        </w:tc>
      </w:tr>
      <w:tr>
        <w:tc>
          <w:tcPr>
            <w:tcW w:type="dxa" w:w="312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bCs/>
                <w:color w:val="000000"/>
                <w:sz w:val="20"/>
                <w:szCs w:val="20"/>
              </w:rPr>
              <w:t xml:space="preserve">Unemployment (30%)</w:t>
            </w:r>
          </w:p>
        </w:tc>
        <w:tc>
          <w:tcPr>
            <w:tcW w:type="dxa" w:w="312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Negative contributor</w:t>
            </w:r>
          </w:p>
        </w:tc>
        <w:tc>
          <w:tcPr>
            <w:tcW w:type="dxa" w:w="312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Directly impacts people's welfare. Equal penalty as inflation because both represent economic failure modes.</w:t>
            </w:r>
          </w:p>
        </w:tc>
      </w:tr>
    </w:tbl>
    <w:p>
      <w:pPr>
        <w:spacing w:before="100"/>
      </w:pPr>
    </w:p>
    <w:p>
      <w:pPr>
        <w:pStyle w:val="Heading3"/>
        <w:spacing w:after="80" w:before="200"/>
      </w:pPr>
      <w:r>
        <w:rPr>
          <w:rFonts w:ascii="Arial" w:cs="Arial" w:eastAsia="Arial" w:hAnsi="Arial"/>
          <w:b/>
          <w:bCs/>
          <w:color w:val="1565C0"/>
          <w:sz w:val="24"/>
          <w:szCs w:val="24"/>
        </w:rPr>
        <w:t xml:space="preserve">EHI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312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EHI Range</w:t>
            </w:r>
          </w:p>
        </w:tc>
        <w:tc>
          <w:tcPr>
            <w:tcW w:type="dxa" w:w="312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Interpretation</w:t>
            </w:r>
          </w:p>
        </w:tc>
      </w:tr>
      <w:tr>
        <w:tc>
          <w:tcPr>
            <w:tcW w:type="dxa" w:w="312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bCs/>
                <w:color w:val="000000"/>
                <w:sz w:val="20"/>
                <w:szCs w:val="20"/>
              </w:rPr>
              <w:t xml:space="preserve">Strong</w:t>
            </w:r>
          </w:p>
        </w:tc>
        <w:tc>
          <w:tcPr>
            <w:tcW w:type="dxa" w:w="312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EHI ≥ 0.70</w:t>
            </w:r>
          </w:p>
        </w:tc>
        <w:tc>
          <w:tcPr>
            <w:tcW w:type="dxa" w:w="312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Economy growing well, low inflation, low unemployment. Policy is working.</w:t>
            </w:r>
          </w:p>
        </w:tc>
      </w:tr>
      <w:tr>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Stable</w:t>
            </w:r>
          </w:p>
        </w:tc>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0.45 – 0.70</w:t>
            </w:r>
          </w:p>
        </w:tc>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Reasonable performance, minor concerns. Monitoring needed.</w:t>
            </w:r>
          </w:p>
        </w:tc>
      </w:tr>
      <w:tr>
        <w:tc>
          <w:tcPr>
            <w:tcW w:type="dxa" w:w="312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bCs/>
                <w:color w:val="000000"/>
                <w:sz w:val="20"/>
                <w:szCs w:val="20"/>
              </w:rPr>
              <w:t xml:space="preserve">Risky</w:t>
            </w:r>
          </w:p>
        </w:tc>
        <w:tc>
          <w:tcPr>
            <w:tcW w:type="dxa" w:w="312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0.25 – 0.45</w:t>
            </w:r>
          </w:p>
        </w:tc>
        <w:tc>
          <w:tcPr>
            <w:tcW w:type="dxa" w:w="312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Multiple indicators under stress. Intervention may be needed.</w:t>
            </w:r>
          </w:p>
        </w:tc>
      </w:tr>
      <w:tr>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Recession</w:t>
            </w:r>
          </w:p>
        </w:tc>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&lt; 0.25</w:t>
            </w:r>
          </w:p>
        </w:tc>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Economic crisis conditions. At least one indicator severely out of range.</w:t>
            </w:r>
          </w:p>
        </w:tc>
      </w:tr>
    </w:tbl>
    <w:p>
      <w:pPr>
        <w:spacing w:before="100"/>
      </w:pPr>
    </w:p>
    <w:p>
      <w:pPr>
        <w:pStyle w:val="Heading3"/>
        <w:spacing w:after="80" w:before="200"/>
      </w:pPr>
      <w:r>
        <w:rPr>
          <w:rFonts w:ascii="Arial" w:cs="Arial" w:eastAsia="Arial" w:hAnsi="Arial"/>
          <w:b/>
          <w:bCs/>
          <w:color w:val="1565C0"/>
          <w:sz w:val="24"/>
          <w:szCs w:val="24"/>
        </w:rPr>
        <w:t xml:space="preserve">What does the Output show?</w:t>
      </w:r>
    </w:p>
    <w:p>
      <w:pPr>
        <w:pStyle w:val="ListParagraph"/>
        <w:numPr>
          <w:ilvl w:val="0"/>
          <w:numId w:val="2"/>
        </w:numPr>
        <w:spacing w:after="40" w:before="40"/>
      </w:pPr>
      <w:r>
        <w:rPr>
          <w:rFonts w:ascii="Arial" w:cs="Arial" w:eastAsia="Arial" w:hAnsi="Arial"/>
          <w:b w:val="false"/>
          <w:bCs w:val="false"/>
          <w:color w:val="333333"/>
          <w:sz w:val="22"/>
          <w:szCs w:val="22"/>
        </w:rPr>
        <w:t xml:space="preserve">EHI Trend Chart (top panel) — the full 50-year EHI trajectory with colored zones overlaid for each category.</w:t>
      </w:r>
    </w:p>
    <w:p>
      <w:pPr>
        <w:pStyle w:val="ListParagraph"/>
        <w:numPr>
          <w:ilvl w:val="0"/>
          <w:numId w:val="2"/>
        </w:numPr>
        <w:spacing w:after="40" w:before="40"/>
      </w:pPr>
      <w:r>
        <w:rPr>
          <w:rFonts w:ascii="Arial" w:cs="Arial" w:eastAsia="Arial" w:hAnsi="Arial"/>
          <w:b w:val="false"/>
          <w:bCs w:val="false"/>
          <w:color w:val="333333"/>
          <w:sz w:val="22"/>
          <w:szCs w:val="22"/>
        </w:rPr>
        <w:t xml:space="preserve">Economic Condition Bar Chart (bottom panel) — each year rendered as a colored bar (green/blue/orange/red) showing its category at a glance.</w:t>
      </w:r>
    </w:p>
    <w:p>
      <w:pPr>
        <w:pStyle w:val="ListParagraph"/>
        <w:numPr>
          <w:ilvl w:val="0"/>
          <w:numId w:val="2"/>
        </w:numPr>
        <w:spacing w:after="40" w:before="40"/>
      </w:pPr>
      <w:r>
        <w:rPr>
          <w:rFonts w:ascii="Arial" w:cs="Arial" w:eastAsia="Arial" w:hAnsi="Arial"/>
          <w:b w:val="false"/>
          <w:bCs w:val="false"/>
          <w:color w:val="333333"/>
          <w:sz w:val="22"/>
          <w:szCs w:val="22"/>
        </w:rPr>
        <w:t xml:space="preserve">Summary metric cards — Latest EHI, 50-year average, Best year, Worst year.</w:t>
      </w:r>
    </w:p>
    <w:p>
      <w:pPr>
        <w:pStyle w:val="ListParagraph"/>
        <w:numPr>
          <w:ilvl w:val="0"/>
          <w:numId w:val="2"/>
        </w:numPr>
        <w:spacing w:after="40" w:before="40"/>
      </w:pPr>
      <w:r>
        <w:rPr>
          <w:rFonts w:ascii="Arial" w:cs="Arial" w:eastAsia="Arial" w:hAnsi="Arial"/>
          <w:b w:val="false"/>
          <w:bCs w:val="false"/>
          <w:color w:val="333333"/>
          <w:sz w:val="22"/>
          <w:szCs w:val="22"/>
        </w:rPr>
        <w:t xml:space="preserve">Year-wise EHI Table — shows the raw GDP/Inflation/Unemployment inputs, EHI raw score, normalised EHI, and category for every single year.</w:t>
      </w:r>
    </w:p>
    <w:p>
      <w:pPr>
        <w:spacing w:before="100"/>
      </w:pPr>
    </w:p>
    <w:p>
      <w:pPr>
        <w:pStyle w:val="Heading3"/>
        <w:spacing w:after="80" w:before="200"/>
      </w:pPr>
      <w:r>
        <w:rPr>
          <w:rFonts w:ascii="Arial" w:cs="Arial" w:eastAsia="Arial" w:hAnsi="Arial"/>
          <w:b/>
          <w:bCs/>
          <w:color w:val="1565C0"/>
          <w:sz w:val="24"/>
          <w:szCs w:val="24"/>
        </w:rPr>
        <w:t xml:space="preserve">Why a custom formula instead of an existing index?</w:t>
      </w:r>
    </w:p>
    <w:p>
      <w:pPr>
        <w:spacing w:after="100" w:before="60"/>
      </w:pPr>
      <w:r>
        <w:rPr>
          <w:rFonts w:ascii="Arial" w:cs="Arial" w:eastAsia="Arial" w:hAnsi="Arial"/>
          <w:b w:val="false"/>
          <w:bCs w:val="false"/>
          <w:color w:val="333333"/>
          <w:sz w:val="22"/>
          <w:szCs w:val="22"/>
        </w:rPr>
        <w:t xml:space="preserve">Existing indices like the Misery Index (Inflation + Unemployment) exist but do not include GDP growth. The Human Development Index does not focus on economic health specifically. A custom EHI gives full control over weights and can be easily explained to professors and stakeholders.</w:t>
      </w:r>
    </w:p>
    <w:p>
      <w:r>
        <w:br w:type="page"/>
      </w:r>
    </w:p>
    <w:p>
      <w:pPr>
        <w:pStyle w:val="Heading2"/>
        <w:spacing w:after="100" w:before="280"/>
      </w:pPr>
      <w:r>
        <w:rPr>
          <w:rFonts w:ascii="Arial" w:cs="Arial" w:eastAsia="Arial" w:hAnsi="Arial"/>
          <w:b/>
          <w:bCs/>
          <w:color w:val="283593"/>
          <w:sz w:val="28"/>
          <w:szCs w:val="28"/>
        </w:rPr>
        <w:t xml:space="preserve">P1 — Output 4: Economic Condition Classification</w:t>
      </w:r>
    </w:p>
    <w:p>
      <w:pPr>
        <w:pBdr>
          <w:bottom w:val="single" w:color="C5CAE9" w:sz="4" w:space="1"/>
        </w:pBdr>
        <w:spacing w:after="120" w:before="120"/>
      </w:pPr>
    </w:p>
    <w:p>
      <w:pPr>
        <w:pStyle w:val="Heading3"/>
        <w:spacing w:after="80" w:before="200"/>
      </w:pPr>
      <w:r>
        <w:rPr>
          <w:rFonts w:ascii="Arial" w:cs="Arial" w:eastAsia="Arial" w:hAnsi="Arial"/>
          <w:b/>
          <w:bCs/>
          <w:color w:val="1565C0"/>
          <w:sz w:val="24"/>
          <w:szCs w:val="24"/>
        </w:rPr>
        <w:t xml:space="preserve">What is the task?</w:t>
      </w:r>
    </w:p>
    <w:p>
      <w:pPr>
        <w:spacing w:after="100" w:before="60"/>
      </w:pPr>
      <w:r>
        <w:rPr>
          <w:rFonts w:ascii="Arial" w:cs="Arial" w:eastAsia="Arial" w:hAnsi="Arial"/>
          <w:b w:val="false"/>
          <w:bCs w:val="false"/>
          <w:color w:val="333333"/>
          <w:sz w:val="22"/>
          <w:szCs w:val="22"/>
        </w:rPr>
        <w:t xml:space="preserve">Classification trains a machine learning model to automatically label each year as Strong, Stable, Risky, or Recession — based on the EHI score. The labels are derived from the EHI thresholds defined in Output 3, and the model learns the mapping from data.</w:t>
      </w:r>
    </w:p>
    <w:p>
      <w:pPr>
        <w:spacing w:before="80"/>
      </w:pPr>
    </w:p>
    <w:p>
      <w:pPr>
        <w:pStyle w:val="Heading3"/>
        <w:spacing w:after="80" w:before="200"/>
      </w:pPr>
      <w:r>
        <w:rPr>
          <w:rFonts w:ascii="Arial" w:cs="Arial" w:eastAsia="Arial" w:hAnsi="Arial"/>
          <w:b/>
          <w:bCs/>
          <w:color w:val="1565C0"/>
          <w:sz w:val="24"/>
          <w:szCs w:val="24"/>
        </w:rPr>
        <w:t xml:space="preserve">Model 1 — Decision Tree Classifier</w:t>
      </w:r>
    </w:p>
    <w:p>
      <w:pPr>
        <w:spacing w:after="100" w:before="60"/>
      </w:pPr>
      <w:r>
        <w:rPr>
          <w:rFonts w:ascii="Arial" w:cs="Arial" w:eastAsia="Arial" w:hAnsi="Arial"/>
          <w:b w:val="false"/>
          <w:bCs w:val="false"/>
          <w:color w:val="333333"/>
          <w:sz w:val="22"/>
          <w:szCs w:val="22"/>
        </w:rPr>
        <w:t xml:space="preserve">A Decision Tree creates a flowchart of if-else rules: 'If EHI &gt; 0.70, classify as Strong; else if EHI &gt; 0.45, classify as Stable...' It is the most interpretable model — you can trace exactly why a year was classified as Recession.</w:t>
      </w:r>
    </w:p>
    <w:p>
      <w:pPr>
        <w:spacing w:before="80"/>
      </w:pPr>
    </w:p>
    <w:p>
      <w:pPr>
        <w:pStyle w:val="Heading3"/>
        <w:spacing w:after="80" w:before="200"/>
      </w:pPr>
      <w:r>
        <w:rPr>
          <w:rFonts w:ascii="Arial" w:cs="Arial" w:eastAsia="Arial" w:hAnsi="Arial"/>
          <w:b/>
          <w:bCs/>
          <w:color w:val="1565C0"/>
          <w:sz w:val="24"/>
          <w:szCs w:val="24"/>
        </w:rPr>
        <w:t xml:space="preserve">Model 2 — Random Forest Classifier</w:t>
      </w:r>
    </w:p>
    <w:p>
      <w:pPr>
        <w:spacing w:after="100" w:before="60"/>
      </w:pPr>
      <w:r>
        <w:rPr>
          <w:rFonts w:ascii="Arial" w:cs="Arial" w:eastAsia="Arial" w:hAnsi="Arial"/>
          <w:b w:val="false"/>
          <w:bCs w:val="false"/>
          <w:color w:val="333333"/>
          <w:sz w:val="22"/>
          <w:szCs w:val="22"/>
        </w:rPr>
        <w:t xml:space="preserve">Same as the regression version but for classification. Builds 100 Decision Trees and takes a majority vote. Higher accuracy than a single tree because individual tree errors cancel out across the ensemble.</w:t>
      </w:r>
    </w:p>
    <w:p>
      <w:pPr>
        <w:spacing w:before="80"/>
      </w:pPr>
    </w:p>
    <w:p>
      <w:pPr>
        <w:pStyle w:val="Heading3"/>
        <w:spacing w:after="80" w:before="200"/>
      </w:pPr>
      <w:r>
        <w:rPr>
          <w:rFonts w:ascii="Arial" w:cs="Arial" w:eastAsia="Arial" w:hAnsi="Arial"/>
          <w:b/>
          <w:bCs/>
          <w:color w:val="1565C0"/>
          <w:sz w:val="24"/>
          <w:szCs w:val="24"/>
        </w:rPr>
        <w:t xml:space="preserve">Model 3 — Logistic Regression (Multi-class)</w:t>
      </w:r>
    </w:p>
    <w:p>
      <w:pPr>
        <w:spacing w:after="100" w:before="60"/>
      </w:pPr>
      <w:r>
        <w:rPr>
          <w:rFonts w:ascii="Arial" w:cs="Arial" w:eastAsia="Arial" w:hAnsi="Arial"/>
          <w:b w:val="false"/>
          <w:bCs w:val="false"/>
          <w:color w:val="333333"/>
          <w:sz w:val="22"/>
          <w:szCs w:val="22"/>
        </w:rPr>
        <w:t xml:space="preserve">Despite the name, Logistic Regression is a classification algorithm. It fits an S-shaped sigmoid curve to estimate the probability of each class. For four classes, it uses a one-vs-rest (OvR) strategy internally.</w:t>
      </w:r>
    </w:p>
    <w:p>
      <w:pPr>
        <w:spacing w:before="100"/>
      </w:pPr>
    </w:p>
    <w:p>
      <w:pPr>
        <w:pStyle w:val="Heading3"/>
        <w:spacing w:after="80" w:before="200"/>
      </w:pPr>
      <w:r>
        <w:rPr>
          <w:rFonts w:ascii="Arial" w:cs="Arial" w:eastAsia="Arial" w:hAnsi="Arial"/>
          <w:b/>
          <w:bCs/>
          <w:color w:val="1565C0"/>
          <w:sz w:val="24"/>
          <w:szCs w:val="24"/>
        </w:rPr>
        <w:t xml:space="preserve">What does the Output show?</w:t>
      </w:r>
    </w:p>
    <w:p>
      <w:pPr>
        <w:pStyle w:val="ListParagraph"/>
        <w:numPr>
          <w:ilvl w:val="0"/>
          <w:numId w:val="2"/>
        </w:numPr>
        <w:spacing w:after="40" w:before="40"/>
      </w:pPr>
      <w:r>
        <w:rPr>
          <w:rFonts w:ascii="Arial" w:cs="Arial" w:eastAsia="Arial" w:hAnsi="Arial"/>
          <w:b w:val="false"/>
          <w:bCs w:val="false"/>
          <w:color w:val="333333"/>
          <w:sz w:val="22"/>
          <w:szCs w:val="22"/>
        </w:rPr>
        <w:t xml:space="preserve">Accuracy cards — what percentage of test-year classifications were correct for each model.</w:t>
      </w:r>
    </w:p>
    <w:p>
      <w:pPr>
        <w:pStyle w:val="ListParagraph"/>
        <w:numPr>
          <w:ilvl w:val="0"/>
          <w:numId w:val="2"/>
        </w:numPr>
        <w:spacing w:after="40" w:before="40"/>
      </w:pPr>
      <w:r>
        <w:rPr>
          <w:rFonts w:ascii="Arial" w:cs="Arial" w:eastAsia="Arial" w:hAnsi="Arial"/>
          <w:b w:val="false"/>
          <w:bCs w:val="false"/>
          <w:color w:val="333333"/>
          <w:sz w:val="22"/>
          <w:szCs w:val="22"/>
        </w:rPr>
        <w:t xml:space="preserve">Confusion Matrix (4×4) — rows are actual labels, columns are predicted labels. The diagonal = correct predictions. Off-diagonal = misclassifications. A dark diagonal = good model.</w:t>
      </w:r>
    </w:p>
    <w:p>
      <w:pPr>
        <w:pStyle w:val="ListParagraph"/>
        <w:numPr>
          <w:ilvl w:val="0"/>
          <w:numId w:val="2"/>
        </w:numPr>
        <w:spacing w:after="40" w:before="40"/>
      </w:pPr>
      <w:r>
        <w:rPr>
          <w:rFonts w:ascii="Arial" w:cs="Arial" w:eastAsia="Arial" w:hAnsi="Arial"/>
          <w:b w:val="false"/>
          <w:bCs w:val="false"/>
          <w:color w:val="333333"/>
          <w:sz w:val="22"/>
          <w:szCs w:val="22"/>
        </w:rPr>
        <w:t xml:space="preserve">Classification Report — precision (of all years predicted as 'Strong', how many were actually Strong), recall (of all actual Strong years, how many did the model find), and F1 score (harmonic mean of precision and recall).</w:t>
      </w:r>
    </w:p>
    <w:p>
      <w:pPr>
        <w:pStyle w:val="ListParagraph"/>
        <w:numPr>
          <w:ilvl w:val="0"/>
          <w:numId w:val="2"/>
        </w:numPr>
        <w:spacing w:after="40" w:before="40"/>
      </w:pPr>
      <w:r>
        <w:rPr>
          <w:rFonts w:ascii="Arial" w:cs="Arial" w:eastAsia="Arial" w:hAnsi="Arial"/>
          <w:b w:val="false"/>
          <w:bCs w:val="false"/>
          <w:color w:val="333333"/>
          <w:sz w:val="22"/>
          <w:szCs w:val="22"/>
        </w:rPr>
        <w:t xml:space="preserve">Full 50-year prediction table — every year's EHI score, actual condition, and predicted condition from the best model side by side.</w:t>
      </w:r>
    </w:p>
    <w:p>
      <w:pPr>
        <w:spacing w:before="100"/>
      </w:pPr>
    </w:p>
    <w:p>
      <w:pPr>
        <w:pStyle w:val="Heading3"/>
        <w:spacing w:after="80" w:before="200"/>
      </w:pPr>
      <w:r>
        <w:rPr>
          <w:rFonts w:ascii="Arial" w:cs="Arial" w:eastAsia="Arial" w:hAnsi="Arial"/>
          <w:b/>
          <w:bCs/>
          <w:color w:val="1565C0"/>
          <w:sz w:val="24"/>
          <w:szCs w:val="24"/>
        </w:rPr>
        <w:t xml:space="preserve">Important note on the small dataset</w:t>
      </w:r>
    </w:p>
    <w:p>
      <w:pPr>
        <w:spacing w:after="100" w:before="60"/>
      </w:pPr>
      <w:r>
        <w:rPr>
          <w:rFonts w:ascii="Arial" w:cs="Arial" w:eastAsia="Arial" w:hAnsi="Arial"/>
          <w:b w:val="false"/>
          <w:bCs w:val="false"/>
          <w:color w:val="333333"/>
          <w:sz w:val="22"/>
          <w:szCs w:val="22"/>
        </w:rPr>
        <w:t xml:space="preserve">With only 50 rows and 4 classes, standard stratified splitting (ensuring equal class proportions in train/test) fails because some classes appear only once in the test set. The code uses a plain random 80/20 split to avoid this error. This is explicitly noted and correct for this dataset size.</w:t>
      </w:r>
    </w:p>
    <w:p>
      <w:r>
        <w:br w:type="page"/>
      </w:r>
    </w:p>
    <w:p>
      <w:pPr>
        <w:pStyle w:val="Heading2"/>
        <w:spacing w:after="100" w:before="280"/>
      </w:pPr>
      <w:r>
        <w:rPr>
          <w:rFonts w:ascii="Arial" w:cs="Arial" w:eastAsia="Arial" w:hAnsi="Arial"/>
          <w:b/>
          <w:bCs/>
          <w:color w:val="283593"/>
          <w:sz w:val="28"/>
          <w:szCs w:val="28"/>
        </w:rPr>
        <w:t xml:space="preserve">P1 — Output 5: Rule-Based Risk Detection</w:t>
      </w:r>
    </w:p>
    <w:p>
      <w:pPr>
        <w:pBdr>
          <w:bottom w:val="single" w:color="C5CAE9" w:sz="4" w:space="1"/>
        </w:pBdr>
        <w:spacing w:after="120" w:before="120"/>
      </w:pPr>
    </w:p>
    <w:p>
      <w:pPr>
        <w:pStyle w:val="Heading3"/>
        <w:spacing w:after="80" w:before="200"/>
      </w:pPr>
      <w:r>
        <w:rPr>
          <w:rFonts w:ascii="Arial" w:cs="Arial" w:eastAsia="Arial" w:hAnsi="Arial"/>
          <w:b/>
          <w:bCs/>
          <w:color w:val="1565C0"/>
          <w:sz w:val="24"/>
          <w:szCs w:val="24"/>
        </w:rPr>
        <w:t xml:space="preserve">What is it?</w:t>
      </w:r>
    </w:p>
    <w:p>
      <w:pPr>
        <w:spacing w:after="100" w:before="60"/>
      </w:pPr>
      <w:r>
        <w:rPr>
          <w:rFonts w:ascii="Arial" w:cs="Arial" w:eastAsia="Arial" w:hAnsi="Arial"/>
          <w:b w:val="false"/>
          <w:bCs w:val="false"/>
          <w:color w:val="333333"/>
          <w:sz w:val="22"/>
          <w:szCs w:val="22"/>
        </w:rPr>
        <w:t xml:space="preserve">This module does NOT use machine learning. It uses a transparent rule-based threshold system — essentially: 'if indicator crosses this threshold, raise an alert.' This is intentional.</w:t>
      </w:r>
    </w:p>
    <w:p>
      <w:pPr>
        <w:spacing w:before="80"/>
      </w:pPr>
    </w:p>
    <w:p>
      <w:pPr>
        <w:pStyle w:val="Heading3"/>
        <w:spacing w:after="80" w:before="200"/>
      </w:pPr>
      <w:r>
        <w:rPr>
          <w:rFonts w:ascii="Arial" w:cs="Arial" w:eastAsia="Arial" w:hAnsi="Arial"/>
          <w:b/>
          <w:bCs/>
          <w:color w:val="1565C0"/>
          <w:sz w:val="24"/>
          <w:szCs w:val="24"/>
        </w:rPr>
        <w:t xml:space="preserve">Rules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160"/>
        <w:gridCol w:w="5000"/>
      </w:tblGrid>
      <w:tr>
        <w:trPr>
          <w:tblHeader/>
        </w:trPr>
        <w:tc>
          <w:tcPr>
            <w:tcW w:type="dxa" w:w="22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Alert Name</w:t>
            </w:r>
          </w:p>
        </w:tc>
        <w:tc>
          <w:tcPr>
            <w:tcW w:type="dxa" w:w="216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 Threshold</w:t>
            </w:r>
          </w:p>
        </w:tc>
        <w:tc>
          <w:tcPr>
            <w:tcW w:type="dxa" w:w="50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Economic Reasoning</w:t>
            </w:r>
          </w:p>
        </w:tc>
      </w:tr>
      <w:tr>
        <w:tc>
          <w:tcPr>
            <w:tcW w:type="dxa" w:w="220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bCs/>
                <w:color w:val="000000"/>
                <w:sz w:val="20"/>
                <w:szCs w:val="20"/>
              </w:rPr>
              <w:t xml:space="preserve">High Inflation Risk</w:t>
            </w:r>
          </w:p>
        </w:tc>
        <w:tc>
          <w:tcPr>
            <w:tcW w:type="dxa" w:w="216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Inflation &gt; 7%</w:t>
            </w:r>
          </w:p>
        </w:tc>
        <w:tc>
          <w:tcPr>
            <w:tcW w:type="dxa" w:w="500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Above 7% is considered a monetary policy crisis threshold for emerging markets. India's RBI typically starts emergency action here.</w:t>
            </w:r>
          </w:p>
        </w:tc>
      </w:tr>
      <w:tr>
        <w:tc>
          <w:tcPr>
            <w:tcW w:type="dxa" w:w="22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Employment Crisis</w:t>
            </w:r>
          </w:p>
        </w:tc>
        <w:tc>
          <w:tcPr>
            <w:tcW w:type="dxa" w:w="21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Unemployment &gt; 8%</w:t>
            </w:r>
          </w:p>
        </w:tc>
        <w:tc>
          <w:tcPr>
            <w:tcW w:type="dxa" w:w="5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 standard threshold used in macroeconomics to signal labour market breakdown.</w:t>
            </w:r>
          </w:p>
        </w:tc>
      </w:tr>
      <w:tr>
        <w:tc>
          <w:tcPr>
            <w:tcW w:type="dxa" w:w="220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bCs/>
                <w:color w:val="000000"/>
                <w:sz w:val="20"/>
                <w:szCs w:val="20"/>
              </w:rPr>
              <w:t xml:space="preserve">Economic Slowdown</w:t>
            </w:r>
          </w:p>
        </w:tc>
        <w:tc>
          <w:tcPr>
            <w:tcW w:type="dxa" w:w="216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GDP Growth &lt; 0%</w:t>
            </w:r>
          </w:p>
        </w:tc>
        <w:tc>
          <w:tcPr>
            <w:tcW w:type="dxa" w:w="500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Negative growth = technical contraction. Two consecutive quarters define a recession formally.</w:t>
            </w:r>
          </w:p>
        </w:tc>
      </w:tr>
      <w:tr>
        <w:tc>
          <w:tcPr>
            <w:tcW w:type="dxa" w:w="22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Consecutive GDP Decline</w:t>
            </w:r>
          </w:p>
        </w:tc>
        <w:tc>
          <w:tcPr>
            <w:tcW w:type="dxa" w:w="21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GDP fell 3 years in a row</w:t>
            </w:r>
          </w:p>
        </w:tc>
        <w:tc>
          <w:tcPr>
            <w:tcW w:type="dxa" w:w="5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Even if growth is positive, three consecutive years of deceleration signals structural deterioration.</w:t>
            </w:r>
          </w:p>
        </w:tc>
      </w:tr>
      <w:tr>
        <w:tc>
          <w:tcPr>
            <w:tcW w:type="dxa" w:w="220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bCs/>
                <w:color w:val="000000"/>
                <w:sz w:val="20"/>
                <w:szCs w:val="20"/>
              </w:rPr>
              <w:t xml:space="preserve">Rising Unemployment Trend</w:t>
            </w:r>
          </w:p>
        </w:tc>
        <w:tc>
          <w:tcPr>
            <w:tcW w:type="dxa" w:w="216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Unemployment up 3 years</w:t>
            </w:r>
          </w:p>
        </w:tc>
        <w:tc>
          <w:tcPr>
            <w:tcW w:type="dxa" w:w="500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 rising trend in unemployment predicts future slowdown before GDP data catches up.</w:t>
            </w:r>
          </w:p>
        </w:tc>
      </w:tr>
    </w:tbl>
    <w:p>
      <w:pPr>
        <w:spacing w:before="100"/>
      </w:pPr>
    </w:p>
    <w:p>
      <w:pPr>
        <w:pStyle w:val="Heading3"/>
        <w:spacing w:after="80" w:before="200"/>
      </w:pPr>
      <w:r>
        <w:rPr>
          <w:rFonts w:ascii="Arial" w:cs="Arial" w:eastAsia="Arial" w:hAnsi="Arial"/>
          <w:b/>
          <w:bCs/>
          <w:color w:val="1565C0"/>
          <w:sz w:val="24"/>
          <w:szCs w:val="24"/>
        </w:rPr>
        <w:t xml:space="preserve">What does the Output show?</w:t>
      </w:r>
    </w:p>
    <w:p>
      <w:pPr>
        <w:pStyle w:val="ListParagraph"/>
        <w:numPr>
          <w:ilvl w:val="0"/>
          <w:numId w:val="2"/>
        </w:numPr>
        <w:spacing w:after="40" w:before="40"/>
      </w:pPr>
      <w:r>
        <w:rPr>
          <w:rFonts w:ascii="Arial" w:cs="Arial" w:eastAsia="Arial" w:hAnsi="Arial"/>
          <w:b w:val="false"/>
          <w:bCs w:val="false"/>
          <w:color w:val="333333"/>
          <w:sz w:val="22"/>
          <w:szCs w:val="22"/>
        </w:rPr>
        <w:t xml:space="preserve">Alert cards (color-coded) — red = critical, orange = serious, green = no risk. Applied to the most recent year in the dataset.</w:t>
      </w:r>
    </w:p>
    <w:p>
      <w:pPr>
        <w:pStyle w:val="ListParagraph"/>
        <w:numPr>
          <w:ilvl w:val="0"/>
          <w:numId w:val="2"/>
        </w:numPr>
        <w:spacing w:after="40" w:before="40"/>
      </w:pPr>
      <w:r>
        <w:rPr>
          <w:rFonts w:ascii="Arial" w:cs="Arial" w:eastAsia="Arial" w:hAnsi="Arial"/>
          <w:b w:val="false"/>
          <w:bCs w:val="false"/>
          <w:color w:val="333333"/>
          <w:sz w:val="22"/>
          <w:szCs w:val="22"/>
        </w:rPr>
        <w:t xml:space="preserve">Historical risk timeline — three line charts (GDP, Inflation, Unemployment) over 50 years with threshold lines. Red shaded areas show years when each threshold was breached.</w:t>
      </w:r>
    </w:p>
    <w:p>
      <w:pPr>
        <w:pStyle w:val="ListParagraph"/>
        <w:numPr>
          <w:ilvl w:val="0"/>
          <w:numId w:val="2"/>
        </w:numPr>
        <w:spacing w:after="40" w:before="40"/>
      </w:pPr>
      <w:r>
        <w:rPr>
          <w:rFonts w:ascii="Arial" w:cs="Arial" w:eastAsia="Arial" w:hAnsi="Arial"/>
          <w:b w:val="false"/>
          <w:bCs w:val="false"/>
          <w:color w:val="333333"/>
          <w:sz w:val="22"/>
          <w:szCs w:val="22"/>
        </w:rPr>
        <w:t xml:space="preserve">Year-wise risk flag table — every year with emoji flags showing whether each indicator was OK or in risk zone.</w:t>
      </w:r>
    </w:p>
    <w:p>
      <w:pPr>
        <w:spacing w:before="100"/>
      </w:pPr>
    </w:p>
    <w:p>
      <w:pPr>
        <w:pStyle w:val="Heading3"/>
        <w:spacing w:after="80" w:before="200"/>
      </w:pPr>
      <w:r>
        <w:rPr>
          <w:rFonts w:ascii="Arial" w:cs="Arial" w:eastAsia="Arial" w:hAnsi="Arial"/>
          <w:b/>
          <w:bCs/>
          <w:color w:val="1565C0"/>
          <w:sz w:val="24"/>
          <w:szCs w:val="24"/>
        </w:rPr>
        <w:t xml:space="preserve">Why rule-based instead of ML for risk detection?</w:t>
      </w:r>
    </w:p>
    <w:p>
      <w:pPr>
        <w:spacing w:after="100" w:before="60"/>
      </w:pPr>
      <w:r>
        <w:rPr>
          <w:rFonts w:ascii="Arial" w:cs="Arial" w:eastAsia="Arial" w:hAnsi="Arial"/>
          <w:b w:val="false"/>
          <w:bCs w:val="false"/>
          <w:color w:val="333333"/>
          <w:sz w:val="22"/>
          <w:szCs w:val="22"/>
        </w:rPr>
        <w:t xml:space="preserve">In finance and policy, rule-based systems are trusted because they are transparent, explainable, and do not require training data. A regulator cannot use an ML model that says 'risk = 73%' without knowing why. A threshold system says exactly why an alert is raised and what needs to change to resolve it.</w:t>
      </w:r>
    </w:p>
    <w:p>
      <w:r>
        <w:br w:type="page"/>
      </w:r>
    </w:p>
    <w:p>
      <w:pPr>
        <w:pStyle w:val="Heading2"/>
        <w:spacing w:after="100" w:before="280"/>
      </w:pPr>
      <w:r>
        <w:rPr>
          <w:rFonts w:ascii="Arial" w:cs="Arial" w:eastAsia="Arial" w:hAnsi="Arial"/>
          <w:b/>
          <w:bCs/>
          <w:color w:val="283593"/>
          <w:sz w:val="28"/>
          <w:szCs w:val="28"/>
        </w:rPr>
        <w:t xml:space="preserve">P1 — Output 6: Correlation Analysis &amp; Insights</w:t>
      </w:r>
    </w:p>
    <w:p>
      <w:pPr>
        <w:pBdr>
          <w:bottom w:val="single" w:color="C5CAE9" w:sz="4" w:space="1"/>
        </w:pBdr>
        <w:spacing w:after="120" w:before="120"/>
      </w:pPr>
    </w:p>
    <w:p>
      <w:pPr>
        <w:pStyle w:val="Heading3"/>
        <w:spacing w:after="80" w:before="200"/>
      </w:pPr>
      <w:r>
        <w:rPr>
          <w:rFonts w:ascii="Arial" w:cs="Arial" w:eastAsia="Arial" w:hAnsi="Arial"/>
          <w:b/>
          <w:bCs/>
          <w:color w:val="1565C0"/>
          <w:sz w:val="24"/>
          <w:szCs w:val="24"/>
        </w:rPr>
        <w:t xml:space="preserve">What is Pearson Correlation?</w:t>
      </w:r>
    </w:p>
    <w:p>
      <w:pPr>
        <w:spacing w:after="100" w:before="60"/>
      </w:pPr>
      <w:r>
        <w:rPr>
          <w:rFonts w:ascii="Arial" w:cs="Arial" w:eastAsia="Arial" w:hAnsi="Arial"/>
          <w:b w:val="false"/>
          <w:bCs w:val="false"/>
          <w:color w:val="333333"/>
          <w:sz w:val="22"/>
          <w:szCs w:val="22"/>
        </w:rPr>
        <w:t xml:space="preserve">Pearson correlation measures the linear relationship between two variables and produces a value between -1 and +1. A value of +1 means they move perfectly together; -1 means they move in exact opposite directions; 0 means no linear relationship.</w:t>
      </w:r>
    </w:p>
    <w:p>
      <w:pPr>
        <w:spacing w:before="80"/>
      </w:pPr>
    </w:p>
    <w:p>
      <w:pPr>
        <w:pStyle w:val="Heading3"/>
        <w:spacing w:after="80" w:before="200"/>
      </w:pPr>
      <w:r>
        <w:rPr>
          <w:rFonts w:ascii="Arial" w:cs="Arial" w:eastAsia="Arial" w:hAnsi="Arial"/>
          <w:b/>
          <w:bCs/>
          <w:color w:val="1565C0"/>
          <w:sz w:val="24"/>
          <w:szCs w:val="24"/>
        </w:rPr>
        <w:t xml:space="preserve">What does the Output show?</w:t>
      </w:r>
    </w:p>
    <w:p>
      <w:pPr>
        <w:pStyle w:val="ListParagraph"/>
        <w:numPr>
          <w:ilvl w:val="0"/>
          <w:numId w:val="2"/>
        </w:numPr>
        <w:spacing w:after="40" w:before="40"/>
      </w:pPr>
      <w:r>
        <w:rPr>
          <w:rFonts w:ascii="Arial" w:cs="Arial" w:eastAsia="Arial" w:hAnsi="Arial"/>
          <w:b w:val="false"/>
          <w:bCs w:val="false"/>
          <w:color w:val="333333"/>
          <w:sz w:val="22"/>
          <w:szCs w:val="22"/>
        </w:rPr>
        <w:t xml:space="preserve">Correlation Heatmap — an 8x8 matrix of Pearson correlations between all economic indicators for India. Blue = positive correlation, Red = negative, intensity = strength.</w:t>
      </w:r>
    </w:p>
    <w:p>
      <w:pPr>
        <w:pStyle w:val="ListParagraph"/>
        <w:numPr>
          <w:ilvl w:val="0"/>
          <w:numId w:val="2"/>
        </w:numPr>
        <w:spacing w:after="40" w:before="40"/>
      </w:pPr>
      <w:r>
        <w:rPr>
          <w:rFonts w:ascii="Arial" w:cs="Arial" w:eastAsia="Arial" w:hAnsi="Arial"/>
          <w:b w:val="false"/>
          <w:bCs w:val="false"/>
          <w:color w:val="333333"/>
          <w:sz w:val="22"/>
          <w:szCs w:val="22"/>
        </w:rPr>
        <w:t xml:space="preserve">Multi-indicator trend plots (2x2 grid) — 50-year line charts for GDP Growth, Inflation, Unemployment, and Trade, shown together for visual comparison.</w:t>
      </w:r>
    </w:p>
    <w:p>
      <w:pPr>
        <w:pStyle w:val="ListParagraph"/>
        <w:numPr>
          <w:ilvl w:val="0"/>
          <w:numId w:val="2"/>
        </w:numPr>
        <w:spacing w:after="40" w:before="40"/>
      </w:pPr>
      <w:r>
        <w:rPr>
          <w:rFonts w:ascii="Arial" w:cs="Arial" w:eastAsia="Arial" w:hAnsi="Arial"/>
          <w:b w:val="false"/>
          <w:bCs w:val="false"/>
          <w:color w:val="333333"/>
          <w:sz w:val="22"/>
          <w:szCs w:val="22"/>
        </w:rPr>
        <w:t xml:space="preserve">Automated data-driven insights — code scans the data and generates findings like 'GDP peaked at X% in year Y', 'Strongest predictor of GDP is...'</w:t>
      </w:r>
    </w:p>
    <w:p>
      <w:pPr>
        <w:spacing w:before="100"/>
      </w:pPr>
    </w:p>
    <w:p>
      <w:pPr>
        <w:pStyle w:val="Heading3"/>
        <w:spacing w:after="80" w:before="200"/>
      </w:pPr>
      <w:r>
        <w:rPr>
          <w:rFonts w:ascii="Arial" w:cs="Arial" w:eastAsia="Arial" w:hAnsi="Arial"/>
          <w:b/>
          <w:bCs/>
          <w:color w:val="1565C0"/>
          <w:sz w:val="24"/>
          <w:szCs w:val="24"/>
        </w:rPr>
        <w:t xml:space="preserve">Why correlation is useful here</w:t>
      </w:r>
    </w:p>
    <w:p>
      <w:pPr>
        <w:spacing w:after="100" w:before="60"/>
      </w:pPr>
      <w:r>
        <w:rPr>
          <w:rFonts w:ascii="Arial" w:cs="Arial" w:eastAsia="Arial" w:hAnsi="Arial"/>
          <w:b w:val="false"/>
          <w:bCs w:val="false"/>
          <w:color w:val="333333"/>
          <w:sz w:val="22"/>
          <w:szCs w:val="22"/>
        </w:rPr>
        <w:t xml:space="preserve">If inflation consistently rises 1-2 years before GDP falls, inflation becomes a leading indicator — it warns of trouble before GDP data confirms it. The correlation heatmap quantifies these relationships so the analysis is evidence-based rather than intuitive.</w:t>
      </w:r>
    </w:p>
    <w:p>
      <w:r>
        <w:br w:type="page"/>
      </w:r>
    </w:p>
    <w:p>
      <w:pPr>
        <w:pStyle w:val="Heading1"/>
        <w:spacing w:after="120" w:before="360"/>
      </w:pPr>
      <w:r>
        <w:rPr>
          <w:rFonts w:ascii="Arial" w:cs="Arial" w:eastAsia="Arial" w:hAnsi="Arial"/>
          <w:b/>
          <w:bCs/>
          <w:color w:val="1A237E"/>
          <w:sz w:val="36"/>
          <w:szCs w:val="36"/>
        </w:rPr>
        <w:t xml:space="preserve">Section 2 — Project 2: Multi-Country Extension</w:t>
      </w:r>
    </w:p>
    <w:p>
      <w:pPr>
        <w:spacing w:after="100" w:before="60"/>
      </w:pPr>
      <w:r>
        <w:rPr>
          <w:rFonts w:ascii="Arial" w:cs="Arial" w:eastAsia="Arial" w:hAnsi="Arial"/>
          <w:b w:val="false"/>
          <w:bCs w:val="false"/>
          <w:color w:val="546E7A"/>
          <w:sz w:val="22"/>
          <w:szCs w:val="22"/>
        </w:rPr>
        <w:t xml:space="preserve">Project 2 extends the platform to four countries (India, USA, Germany, Brazil) and introduces more advanced models. It adds four new tabs without changing Project 1.</w:t>
      </w:r>
    </w:p>
    <w:p>
      <w:r>
        <w:br w:type="page"/>
      </w:r>
    </w:p>
    <w:p>
      <w:pPr>
        <w:pStyle w:val="Heading2"/>
        <w:spacing w:after="100" w:before="280"/>
      </w:pPr>
      <w:r>
        <w:rPr>
          <w:rFonts w:ascii="Arial" w:cs="Arial" w:eastAsia="Arial" w:hAnsi="Arial"/>
          <w:b/>
          <w:bCs/>
          <w:color w:val="283593"/>
          <w:sz w:val="28"/>
          <w:szCs w:val="28"/>
        </w:rPr>
        <w:t xml:space="preserve">P2 — Tab 1: Multi-Country Comparative Analysis</w:t>
      </w:r>
    </w:p>
    <w:p>
      <w:pPr>
        <w:pBdr>
          <w:bottom w:val="single" w:color="C5CAE9" w:sz="4" w:space="1"/>
        </w:pBdr>
        <w:spacing w:after="120" w:before="120"/>
      </w:pPr>
    </w:p>
    <w:p>
      <w:pPr>
        <w:pStyle w:val="Heading3"/>
        <w:spacing w:after="80" w:before="200"/>
      </w:pPr>
      <w:r>
        <w:rPr>
          <w:rFonts w:ascii="Arial" w:cs="Arial" w:eastAsia="Arial" w:hAnsi="Arial"/>
          <w:b/>
          <w:bCs/>
          <w:color w:val="1565C0"/>
          <w:sz w:val="24"/>
          <w:szCs w:val="24"/>
        </w:rPr>
        <w:t xml:space="preserve">What does this tab do?</w:t>
      </w:r>
    </w:p>
    <w:p>
      <w:pPr>
        <w:spacing w:after="100" w:before="60"/>
      </w:pPr>
      <w:r>
        <w:rPr>
          <w:rFonts w:ascii="Arial" w:cs="Arial" w:eastAsia="Arial" w:hAnsi="Arial"/>
          <w:b w:val="false"/>
          <w:bCs w:val="false"/>
          <w:color w:val="333333"/>
          <w:sz w:val="22"/>
          <w:szCs w:val="22"/>
        </w:rPr>
        <w:t xml:space="preserve">Runs the P1 pipeline on all four countries simultaneously and overlays the results for direct comparison. The goal is to understand how India's economy compares to a developed economy (USA, Germany) and a fellow emerging market (Brazil).</w:t>
      </w:r>
    </w:p>
    <w:p>
      <w:pPr>
        <w:spacing w:before="100"/>
      </w:pPr>
    </w:p>
    <w:p>
      <w:pPr>
        <w:pStyle w:val="Heading3"/>
        <w:spacing w:after="80" w:before="200"/>
      </w:pPr>
      <w:r>
        <w:rPr>
          <w:rFonts w:ascii="Arial" w:cs="Arial" w:eastAsia="Arial" w:hAnsi="Arial"/>
          <w:b/>
          <w:bCs/>
          <w:color w:val="1565C0"/>
          <w:sz w:val="24"/>
          <w:szCs w:val="24"/>
        </w:rPr>
        <w:t xml:space="preserve">Models and Methods Used</w:t>
      </w:r>
    </w:p>
    <w:p>
      <w:pPr>
        <w:spacing w:before="60"/>
      </w:pPr>
    </w:p>
    <w:p>
      <w:pPr>
        <w:shd w:fill="E3F2FD" w:val="clear"/>
        <w:spacing w:after="80" w:before="80"/>
        <w:ind w:left="360"/>
      </w:pPr>
      <w:r>
        <w:rPr>
          <w:rFonts w:ascii="Arial" w:cs="Arial" w:eastAsia="Arial" w:hAnsi="Arial"/>
          <w:b/>
          <w:bCs/>
          <w:color w:val="0D47A1"/>
          <w:sz w:val="20"/>
          <w:szCs w:val="20"/>
        </w:rPr>
        <w:t xml:space="preserve">1. Economic Health Index (EHI) — applied to each country independently</w:t>
      </w:r>
    </w:p>
    <w:p>
      <w:pPr>
        <w:spacing w:after="100" w:before="60"/>
      </w:pPr>
      <w:r>
        <w:rPr>
          <w:rFonts w:ascii="Arial" w:cs="Arial" w:eastAsia="Arial" w:hAnsi="Arial"/>
          <w:b w:val="false"/>
          <w:bCs w:val="false"/>
          <w:color w:val="333333"/>
          <w:sz w:val="22"/>
          <w:szCs w:val="22"/>
        </w:rPr>
        <w:t xml:space="preserve">The same P1 formula runs on each country's data and the EHI score lines are plotted on a single chart. This allows a direct normalised comparison — even though India and Germany have very different absolute GDP numbers, their health scores are comparable on the 0-1 scale.</w:t>
      </w:r>
    </w:p>
    <w:p>
      <w:pPr>
        <w:spacing w:before="80"/>
      </w:pPr>
    </w:p>
    <w:p>
      <w:pPr>
        <w:shd w:fill="E3F2FD" w:val="clear"/>
        <w:spacing w:after="80" w:before="80"/>
        <w:ind w:left="360"/>
      </w:pPr>
      <w:r>
        <w:rPr>
          <w:rFonts w:ascii="Arial" w:cs="Arial" w:eastAsia="Arial" w:hAnsi="Arial"/>
          <w:b/>
          <w:bCs/>
          <w:color w:val="0D47A1"/>
          <w:sz w:val="20"/>
          <w:szCs w:val="20"/>
        </w:rPr>
        <w:t xml:space="preserve">2. Pearson Correlation — India vs each country</w:t>
      </w:r>
    </w:p>
    <w:p>
      <w:pPr>
        <w:spacing w:after="100" w:before="60"/>
      </w:pPr>
      <w:r>
        <w:rPr>
          <w:rFonts w:ascii="Arial" w:cs="Arial" w:eastAsia="Arial" w:hAnsi="Arial"/>
          <w:b w:val="false"/>
          <w:bCs w:val="false"/>
          <w:color w:val="333333"/>
          <w:sz w:val="22"/>
          <w:szCs w:val="22"/>
        </w:rPr>
        <w:t xml:space="preserve">For each indicator (GDP growth, Inflation, Unemployment), the code computes the Pearson correlation coefficient between India's series and each other country's series. The output is a table showing which country's economy most closely tracks India's.</w:t>
      </w:r>
    </w:p>
    <w:p>
      <w:pPr>
        <w:spacing w:after="100" w:before="60"/>
      </w:pPr>
      <w:r>
        <w:rPr>
          <w:rFonts w:ascii="Arial" w:cs="Arial" w:eastAsia="Arial" w:hAnsi="Arial"/>
          <w:b w:val="false"/>
          <w:bCs w:val="false"/>
          <w:color w:val="333333"/>
          <w:sz w:val="22"/>
          <w:szCs w:val="22"/>
        </w:rPr>
        <w:t xml:space="preserve">A high correlation between India and USA GDP (e.g. r = 0.65) means: when US GDP goes up, India's GDP also tends to go up. This is not coincidence — it reflects trade linkages, capital flows, and global commodity prices.</w:t>
      </w:r>
    </w:p>
    <w:p>
      <w:pPr>
        <w:spacing w:before="80"/>
      </w:pPr>
    </w:p>
    <w:p>
      <w:pPr>
        <w:shd w:fill="E3F2FD" w:val="clear"/>
        <w:spacing w:after="80" w:before="80"/>
        <w:ind w:left="360"/>
      </w:pPr>
      <w:r>
        <w:rPr>
          <w:rFonts w:ascii="Arial" w:cs="Arial" w:eastAsia="Arial" w:hAnsi="Arial"/>
          <w:b/>
          <w:bCs/>
          <w:color w:val="0D47A1"/>
          <w:sz w:val="20"/>
          <w:szCs w:val="20"/>
        </w:rPr>
        <w:t xml:space="preserve">3. Linear Regression (OLS) — US Inflation → India GDP Scenario</w:t>
      </w:r>
    </w:p>
    <w:p>
      <w:pPr>
        <w:spacing w:after="100" w:before="60"/>
      </w:pPr>
      <w:r>
        <w:rPr>
          <w:rFonts w:ascii="Arial" w:cs="Arial" w:eastAsia="Arial" w:hAnsi="Arial"/>
          <w:b w:val="false"/>
          <w:bCs w:val="false"/>
          <w:color w:val="333333"/>
          <w:sz w:val="22"/>
          <w:szCs w:val="22"/>
        </w:rPr>
        <w:t xml:space="preserve">A simple OLS regression is fitted with US inflation as the single input and India's GDP growth as the output. The slope coefficient answers: 'For every 1% rise in US inflation, India's GDP growth changes by X percentage points.'</w:t>
      </w:r>
    </w:p>
    <w:p>
      <w:pPr>
        <w:spacing w:after="100" w:before="60"/>
      </w:pPr>
      <w:r>
        <w:rPr>
          <w:rFonts w:ascii="Arial" w:cs="Arial" w:eastAsia="Arial" w:hAnsi="Arial"/>
          <w:b w:val="false"/>
          <w:bCs w:val="false"/>
          <w:color w:val="333333"/>
          <w:sz w:val="22"/>
          <w:szCs w:val="22"/>
        </w:rPr>
        <w:t xml:space="preserve">The scenario output multiplies this slope by 2 to answer the specific question: 'When US inflation rises by 2%, how does India's GDP typically respond?' A negative slope confirms the transmission channel: US tightening → global tightening → India slowdown.</w:t>
      </w:r>
    </w:p>
    <w:p>
      <w:pPr>
        <w:spacing w:before="100"/>
      </w:pPr>
    </w:p>
    <w:p>
      <w:pPr>
        <w:pStyle w:val="Heading3"/>
        <w:spacing w:after="80" w:before="200"/>
      </w:pPr>
      <w:r>
        <w:rPr>
          <w:rFonts w:ascii="Arial" w:cs="Arial" w:eastAsia="Arial" w:hAnsi="Arial"/>
          <w:b/>
          <w:bCs/>
          <w:color w:val="1565C0"/>
          <w:sz w:val="24"/>
          <w:szCs w:val="24"/>
        </w:rPr>
        <w:t xml:space="preserve">What does the Output show?</w:t>
      </w:r>
    </w:p>
    <w:p>
      <w:pPr>
        <w:pStyle w:val="ListParagraph"/>
        <w:numPr>
          <w:ilvl w:val="0"/>
          <w:numId w:val="2"/>
        </w:numPr>
        <w:spacing w:after="40" w:before="40"/>
      </w:pPr>
      <w:r>
        <w:rPr>
          <w:rFonts w:ascii="Arial" w:cs="Arial" w:eastAsia="Arial" w:hAnsi="Arial"/>
          <w:b w:val="false"/>
          <w:bCs w:val="false"/>
          <w:color w:val="333333"/>
          <w:sz w:val="22"/>
          <w:szCs w:val="22"/>
        </w:rPr>
        <w:t xml:space="preserve">Three overlaid line charts (GDP, Inflation, Unemployment) with each country as a different color. Synchronized dips at 2008 and 2020 are immediately visible.</w:t>
      </w:r>
    </w:p>
    <w:p>
      <w:pPr>
        <w:pStyle w:val="ListParagraph"/>
        <w:numPr>
          <w:ilvl w:val="0"/>
          <w:numId w:val="2"/>
        </w:numPr>
        <w:spacing w:after="40" w:before="40"/>
      </w:pPr>
      <w:r>
        <w:rPr>
          <w:rFonts w:ascii="Arial" w:cs="Arial" w:eastAsia="Arial" w:hAnsi="Arial"/>
          <w:b w:val="false"/>
          <w:bCs w:val="false"/>
          <w:color w:val="333333"/>
          <w:sz w:val="22"/>
          <w:szCs w:val="22"/>
        </w:rPr>
        <w:t xml:space="preserve">EHI comparison chart — four EHI lines on the same plot plus a summary table with average EHI, latest EHI, best year, and worst year for each country.</w:t>
      </w:r>
    </w:p>
    <w:p>
      <w:pPr>
        <w:pStyle w:val="ListParagraph"/>
        <w:numPr>
          <w:ilvl w:val="0"/>
          <w:numId w:val="2"/>
        </w:numPr>
        <w:spacing w:after="40" w:before="40"/>
      </w:pPr>
      <w:r>
        <w:rPr>
          <w:rFonts w:ascii="Arial" w:cs="Arial" w:eastAsia="Arial" w:hAnsi="Arial"/>
          <w:b w:val="false"/>
          <w:bCs w:val="false"/>
          <w:color w:val="333333"/>
          <w:sz w:val="22"/>
          <w:szCs w:val="22"/>
        </w:rPr>
        <w:t xml:space="preserve">Correlation table — color-coded (green = high positive correlation with India, red = negative), for all three indicators across all three comparison countries.</w:t>
      </w:r>
    </w:p>
    <w:p>
      <w:pPr>
        <w:pStyle w:val="ListParagraph"/>
        <w:numPr>
          <w:ilvl w:val="0"/>
          <w:numId w:val="2"/>
        </w:numPr>
        <w:spacing w:after="40" w:before="40"/>
      </w:pPr>
      <w:r>
        <w:rPr>
          <w:rFonts w:ascii="Arial" w:cs="Arial" w:eastAsia="Arial" w:hAnsi="Arial"/>
          <w:b w:val="false"/>
          <w:bCs w:val="false"/>
          <w:color w:val="333333"/>
          <w:sz w:val="22"/>
          <w:szCs w:val="22"/>
        </w:rPr>
        <w:t xml:space="preserve">Scenario box — shows the regression slope, R-squared, and a highlighted metric card saying 'India GDP estimated to change by X% when US inflation rises 2%', plus the scatter plot with regression line.</w:t>
      </w:r>
    </w:p>
    <w:p>
      <w:r>
        <w:br w:type="page"/>
      </w:r>
    </w:p>
    <w:p>
      <w:pPr>
        <w:pStyle w:val="Heading2"/>
        <w:spacing w:after="100" w:before="280"/>
      </w:pPr>
      <w:r>
        <w:rPr>
          <w:rFonts w:ascii="Arial" w:cs="Arial" w:eastAsia="Arial" w:hAnsi="Arial"/>
          <w:b/>
          <w:bCs/>
          <w:color w:val="283593"/>
          <w:sz w:val="28"/>
          <w:szCs w:val="28"/>
        </w:rPr>
        <w:t xml:space="preserve">P2 — Tab 2: Interdependency &amp; Lag Analysis</w:t>
      </w:r>
    </w:p>
    <w:p>
      <w:pPr>
        <w:pBdr>
          <w:bottom w:val="single" w:color="C5CAE9" w:sz="4" w:space="1"/>
        </w:pBdr>
        <w:spacing w:after="120" w:before="120"/>
      </w:pPr>
    </w:p>
    <w:p>
      <w:pPr>
        <w:pStyle w:val="Heading3"/>
        <w:spacing w:after="80" w:before="200"/>
      </w:pPr>
      <w:r>
        <w:rPr>
          <w:rFonts w:ascii="Arial" w:cs="Arial" w:eastAsia="Arial" w:hAnsi="Arial"/>
          <w:b/>
          <w:bCs/>
          <w:color w:val="1565C0"/>
          <w:sz w:val="24"/>
          <w:szCs w:val="24"/>
        </w:rPr>
        <w:t xml:space="preserve">What is Lag Analysis?</w:t>
      </w:r>
    </w:p>
    <w:p>
      <w:pPr>
        <w:spacing w:after="100" w:before="60"/>
      </w:pPr>
      <w:r>
        <w:rPr>
          <w:rFonts w:ascii="Arial" w:cs="Arial" w:eastAsia="Arial" w:hAnsi="Arial"/>
          <w:b w:val="false"/>
          <w:bCs w:val="false"/>
          <w:color w:val="333333"/>
          <w:sz w:val="22"/>
          <w:szCs w:val="22"/>
        </w:rPr>
        <w:t xml:space="preserve">Standard correlation is simultaneous — it asks 'do X and Y move together at the same time?' Lag analysis asks 'does X in the past predict Y in the future?' Specifically, it computes the Pearson correlation between Country B's GDP at time (t minus lag) and India's GDP at time t, for lags of 0, 1, 2, 3, 4, 5 years.</w:t>
      </w:r>
    </w:p>
    <w:p>
      <w:pPr>
        <w:spacing w:after="100" w:before="60"/>
      </w:pPr>
      <w:r>
        <w:rPr>
          <w:rFonts w:ascii="Arial" w:cs="Arial" w:eastAsia="Arial" w:hAnsi="Arial"/>
          <w:b w:val="false"/>
          <w:bCs w:val="false"/>
          <w:color w:val="333333"/>
          <w:sz w:val="22"/>
          <w:szCs w:val="22"/>
        </w:rPr>
        <w:t xml:space="preserve">If the correlation is highest at Lag 1, it means another country's GDP one year ago is the strongest predictor of India's GDP this year — making it a leading indicator that can be used in forecasting models.</w:t>
      </w:r>
    </w:p>
    <w:p>
      <w:pPr>
        <w:spacing w:before="100"/>
      </w:pPr>
    </w:p>
    <w:p>
      <w:pPr>
        <w:pStyle w:val="Heading3"/>
        <w:spacing w:after="80" w:before="200"/>
      </w:pPr>
      <w:r>
        <w:rPr>
          <w:rFonts w:ascii="Arial" w:cs="Arial" w:eastAsia="Arial" w:hAnsi="Arial"/>
          <w:b/>
          <w:bCs/>
          <w:color w:val="1565C0"/>
          <w:sz w:val="24"/>
          <w:szCs w:val="24"/>
        </w:rPr>
        <w:t xml:space="preserve">Granger Causality Test</w:t>
      </w:r>
    </w:p>
    <w:p>
      <w:pPr>
        <w:spacing w:after="100" w:before="60"/>
      </w:pPr>
      <w:r>
        <w:rPr>
          <w:rFonts w:ascii="Arial" w:cs="Arial" w:eastAsia="Arial" w:hAnsi="Arial"/>
          <w:b w:val="false"/>
          <w:bCs w:val="false"/>
          <w:color w:val="333333"/>
          <w:sz w:val="22"/>
          <w:szCs w:val="22"/>
        </w:rPr>
        <w:t xml:space="preserve">Granger Causality is a formal statistical test developed by Clive Granger (Nobel Prize 2003). It tests: 'Does knowing Country X's past GDP improve our forecast of India's future GDP, over and above what India's own past GDP tells us?'</w:t>
      </w:r>
    </w:p>
    <w:p>
      <w:pPr>
        <w:pStyle w:val="ListParagraph"/>
        <w:numPr>
          <w:ilvl w:val="0"/>
          <w:numId w:val="2"/>
        </w:numPr>
        <w:spacing w:after="40" w:before="40"/>
      </w:pPr>
      <w:r>
        <w:rPr>
          <w:rFonts w:ascii="Arial" w:cs="Arial" w:eastAsia="Arial" w:hAnsi="Arial"/>
          <w:b w:val="false"/>
          <w:bCs w:val="false"/>
          <w:color w:val="333333"/>
          <w:sz w:val="22"/>
          <w:szCs w:val="22"/>
        </w:rPr>
        <w:t xml:space="preserve">The test runs a VAR (Vector Autoregression) model internally — a model where multiple time series predict each other.</w:t>
      </w:r>
    </w:p>
    <w:p>
      <w:pPr>
        <w:pStyle w:val="ListParagraph"/>
        <w:numPr>
          <w:ilvl w:val="0"/>
          <w:numId w:val="2"/>
        </w:numPr>
        <w:spacing w:after="40" w:before="40"/>
      </w:pPr>
      <w:r>
        <w:rPr>
          <w:rFonts w:ascii="Arial" w:cs="Arial" w:eastAsia="Arial" w:hAnsi="Arial"/>
          <w:b w:val="false"/>
          <w:bCs w:val="false"/>
          <w:color w:val="333333"/>
          <w:sz w:val="22"/>
          <w:szCs w:val="22"/>
        </w:rPr>
        <w:t xml:space="preserve">Output: an F-statistic and p-value. p &lt; 0.05 means yes, Country X Granger-causes India's GDP.</w:t>
      </w:r>
    </w:p>
    <w:p>
      <w:pPr>
        <w:pStyle w:val="ListParagraph"/>
        <w:numPr>
          <w:ilvl w:val="0"/>
          <w:numId w:val="2"/>
        </w:numPr>
        <w:spacing w:after="40" w:before="40"/>
      </w:pPr>
      <w:r>
        <w:rPr>
          <w:rFonts w:ascii="Arial" w:cs="Arial" w:eastAsia="Arial" w:hAnsi="Arial"/>
          <w:b w:val="false"/>
          <w:bCs w:val="false"/>
          <w:color w:val="333333"/>
          <w:sz w:val="22"/>
          <w:szCs w:val="22"/>
        </w:rPr>
        <w:t xml:space="preserve">Important: Granger causality does NOT mean true causal direction. It means 'X has statistically significant predictive power for Y'. The terminology is misleading but standard in econometrics.</w:t>
      </w:r>
    </w:p>
    <w:p>
      <w:pPr>
        <w:spacing w:before="100"/>
      </w:pPr>
    </w:p>
    <w:p>
      <w:pPr>
        <w:pStyle w:val="Heading3"/>
        <w:spacing w:after="80" w:before="200"/>
      </w:pPr>
      <w:r>
        <w:rPr>
          <w:rFonts w:ascii="Arial" w:cs="Arial" w:eastAsia="Arial" w:hAnsi="Arial"/>
          <w:b/>
          <w:bCs/>
          <w:color w:val="1565C0"/>
          <w:sz w:val="24"/>
          <w:szCs w:val="24"/>
        </w:rPr>
        <w:t xml:space="preserve">Why these methods over others?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3000"/>
        <w:gridCol w:w="2760"/>
      </w:tblGrid>
      <w:tr>
        <w:trPr>
          <w:tblHeader/>
        </w:trPr>
        <w:tc>
          <w:tcPr>
            <w:tcW w:type="dxa" w:w="24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12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30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Reasoning</w:t>
            </w:r>
          </w:p>
        </w:tc>
        <w:tc>
          <w:tcPr>
            <w:tcW w:type="dxa" w:w="276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Trade-off</w:t>
            </w:r>
          </w:p>
        </w:tc>
      </w:tr>
      <w:tr>
        <w:tc>
          <w:tcPr>
            <w:tcW w:type="dxa" w:w="240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bCs/>
                <w:color w:val="000000"/>
                <w:sz w:val="20"/>
                <w:szCs w:val="20"/>
              </w:rPr>
              <w:t xml:space="preserve">Lag Cross-Correlation</w:t>
            </w:r>
          </w:p>
        </w:tc>
        <w:tc>
          <w:tcPr>
            <w:tcW w:type="dxa" w:w="120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Used</w:t>
            </w:r>
          </w:p>
        </w:tc>
        <w:tc>
          <w:tcPr>
            <w:tcW w:type="dxa" w:w="300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Simple, intuitive, shows exact lag structure visually. Easy to interpret for any audience.</w:t>
            </w:r>
          </w:p>
        </w:tc>
        <w:tc>
          <w:tcPr>
            <w:tcW w:type="dxa" w:w="276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r>
          </w:p>
        </w:tc>
      </w:tr>
      <w:tr>
        <w:tc>
          <w:tcPr>
            <w:tcW w:type="dxa" w:w="2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Granger Causality (VAR)</w:t>
            </w:r>
          </w:p>
        </w:tc>
        <w:tc>
          <w:tcPr>
            <w:tcW w:type="dxa" w:w="12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Used</w:t>
            </w:r>
          </w:p>
        </w:tc>
        <w:tc>
          <w:tcPr>
            <w:tcW w:type="dxa" w:w="3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Formal statistical test. Publishable, rigorous. Controls for autocorrelation of the dependent series.</w:t>
            </w:r>
          </w:p>
        </w:tc>
        <w:tc>
          <w:tcPr>
            <w:tcW w:type="dxa" w:w="27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r>
          </w:p>
        </w:tc>
      </w:tr>
      <w:tr>
        <w:tc>
          <w:tcPr>
            <w:tcW w:type="dxa" w:w="240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bCs/>
                <w:color w:val="000000"/>
                <w:sz w:val="20"/>
                <w:szCs w:val="20"/>
              </w:rPr>
              <w:t xml:space="preserve">Dynamic Time Warping</w:t>
            </w:r>
          </w:p>
        </w:tc>
        <w:tc>
          <w:tcPr>
            <w:tcW w:type="dxa" w:w="120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Not used</w:t>
            </w:r>
          </w:p>
        </w:tc>
        <w:tc>
          <w:tcPr>
            <w:tcW w:type="dxa" w:w="300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Useful for misaligned series but introduces complexity. Overkill for annual macroeconomic data.</w:t>
            </w:r>
          </w:p>
        </w:tc>
        <w:tc>
          <w:tcPr>
            <w:tcW w:type="dxa" w:w="276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r>
          </w:p>
        </w:tc>
      </w:tr>
      <w:tr>
        <w:tc>
          <w:tcPr>
            <w:tcW w:type="dxa" w:w="2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Cross-spectral Analysis</w:t>
            </w:r>
          </w:p>
        </w:tc>
        <w:tc>
          <w:tcPr>
            <w:tcW w:type="dxa" w:w="12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Not used</w:t>
            </w:r>
          </w:p>
        </w:tc>
        <w:tc>
          <w:tcPr>
            <w:tcW w:type="dxa" w:w="3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Frequency-domain approach for cyclical patterns. Requires many more data points than 50 annual observations.</w:t>
            </w:r>
          </w:p>
        </w:tc>
        <w:tc>
          <w:tcPr>
            <w:tcW w:type="dxa" w:w="27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r>
          </w:p>
        </w:tc>
      </w:tr>
    </w:tbl>
    <w:p>
      <w:pPr>
        <w:spacing w:before="100"/>
      </w:pPr>
    </w:p>
    <w:p>
      <w:pPr>
        <w:pStyle w:val="Heading3"/>
        <w:spacing w:after="80" w:before="200"/>
      </w:pPr>
      <w:r>
        <w:rPr>
          <w:rFonts w:ascii="Arial" w:cs="Arial" w:eastAsia="Arial" w:hAnsi="Arial"/>
          <w:b/>
          <w:bCs/>
          <w:color w:val="1565C0"/>
          <w:sz w:val="24"/>
          <w:szCs w:val="24"/>
        </w:rPr>
        <w:t xml:space="preserve">What does the Output show?</w:t>
      </w:r>
    </w:p>
    <w:p>
      <w:pPr>
        <w:pStyle w:val="ListParagraph"/>
        <w:numPr>
          <w:ilvl w:val="0"/>
          <w:numId w:val="2"/>
        </w:numPr>
        <w:spacing w:after="40" w:before="40"/>
      </w:pPr>
      <w:r>
        <w:rPr>
          <w:rFonts w:ascii="Arial" w:cs="Arial" w:eastAsia="Arial" w:hAnsi="Arial"/>
          <w:b w:val="false"/>
          <w:bCs w:val="false"/>
          <w:color w:val="333333"/>
          <w:sz w:val="22"/>
          <w:szCs w:val="22"/>
        </w:rPr>
        <w:t xml:space="preserve">4x4 GDP Correlation Matrix — heatmap showing all pairwise correlations between countries' GDP growth. Off-diagonal = how synchronised each pair of economies is.</w:t>
      </w:r>
    </w:p>
    <w:p>
      <w:pPr>
        <w:pStyle w:val="ListParagraph"/>
        <w:numPr>
          <w:ilvl w:val="0"/>
          <w:numId w:val="2"/>
        </w:numPr>
        <w:spacing w:after="40" w:before="40"/>
      </w:pPr>
      <w:r>
        <w:rPr>
          <w:rFonts w:ascii="Arial" w:cs="Arial" w:eastAsia="Arial" w:hAnsi="Arial"/>
          <w:b w:val="false"/>
          <w:bCs w:val="false"/>
          <w:color w:val="333333"/>
          <w:sz w:val="22"/>
          <w:szCs w:val="22"/>
        </w:rPr>
        <w:t xml:space="preserve">Full indicator correlation heatmap — extends to all 5 indicators across all 4 countries, showing which specific channels (trade, savings, exports) are most globally synchronised.</w:t>
      </w:r>
    </w:p>
    <w:p>
      <w:pPr>
        <w:pStyle w:val="ListParagraph"/>
        <w:numPr>
          <w:ilvl w:val="0"/>
          <w:numId w:val="2"/>
        </w:numPr>
        <w:spacing w:after="40" w:before="40"/>
      </w:pPr>
      <w:r>
        <w:rPr>
          <w:rFonts w:ascii="Arial" w:cs="Arial" w:eastAsia="Arial" w:hAnsi="Arial"/>
          <w:b w:val="false"/>
          <w:bCs w:val="false"/>
          <w:color w:val="333333"/>
          <w:sz w:val="22"/>
          <w:szCs w:val="22"/>
        </w:rPr>
        <w:t xml:space="preserve">Lag correlation table — rows = countries, columns = Lag 0 through Lag 5. Green = positive predictive power.</w:t>
      </w:r>
    </w:p>
    <w:p>
      <w:pPr>
        <w:pStyle w:val="ListParagraph"/>
        <w:numPr>
          <w:ilvl w:val="0"/>
          <w:numId w:val="2"/>
        </w:numPr>
        <w:spacing w:after="40" w:before="40"/>
      </w:pPr>
      <w:r>
        <w:rPr>
          <w:rFonts w:ascii="Arial" w:cs="Arial" w:eastAsia="Arial" w:hAnsi="Arial"/>
          <w:b w:val="false"/>
          <w:bCs w:val="false"/>
          <w:color w:val="333333"/>
          <w:sz w:val="22"/>
          <w:szCs w:val="22"/>
        </w:rPr>
        <w:t xml:space="preserve">Lag correlation curve chart — line chart showing how the correlation with India changes as lag increases. The peak identifies the optimal leading indicator lag.</w:t>
      </w:r>
    </w:p>
    <w:p>
      <w:pPr>
        <w:pStyle w:val="ListParagraph"/>
        <w:numPr>
          <w:ilvl w:val="0"/>
          <w:numId w:val="2"/>
        </w:numPr>
        <w:spacing w:after="40" w:before="40"/>
      </w:pPr>
      <w:r>
        <w:rPr>
          <w:rFonts w:ascii="Arial" w:cs="Arial" w:eastAsia="Arial" w:hAnsi="Arial"/>
          <w:b w:val="false"/>
          <w:bCs w:val="false"/>
          <w:color w:val="333333"/>
          <w:sz w:val="22"/>
          <w:szCs w:val="22"/>
        </w:rPr>
        <w:t xml:space="preserve">Granger Causality table — for each country at each lag (1,2,3), shows the p-value and a clear 'Yes/No' significance indicator.</w:t>
      </w:r>
    </w:p>
    <w:p>
      <w:r>
        <w:br w:type="page"/>
      </w:r>
    </w:p>
    <w:p>
      <w:pPr>
        <w:pStyle w:val="Heading2"/>
        <w:spacing w:after="100" w:before="280"/>
      </w:pPr>
      <w:r>
        <w:rPr>
          <w:rFonts w:ascii="Arial" w:cs="Arial" w:eastAsia="Arial" w:hAnsi="Arial"/>
          <w:b/>
          <w:bCs/>
          <w:color w:val="283593"/>
          <w:sz w:val="28"/>
          <w:szCs w:val="28"/>
        </w:rPr>
        <w:t xml:space="preserve">P2 — Tab 3: Advanced Forecasting — ARIMA vs SARIMA vs Prophet</w:t>
      </w:r>
    </w:p>
    <w:p>
      <w:pPr>
        <w:pBdr>
          <w:bottom w:val="single" w:color="C5CAE9" w:sz="4" w:space="1"/>
        </w:pBdr>
        <w:spacing w:after="120" w:before="120"/>
      </w:pPr>
    </w:p>
    <w:p>
      <w:pPr>
        <w:pStyle w:val="Heading3"/>
        <w:spacing w:after="80" w:before="200"/>
      </w:pPr>
      <w:r>
        <w:rPr>
          <w:rFonts w:ascii="Arial" w:cs="Arial" w:eastAsia="Arial" w:hAnsi="Arial"/>
          <w:b/>
          <w:bCs/>
          <w:color w:val="1565C0"/>
          <w:sz w:val="24"/>
          <w:szCs w:val="24"/>
        </w:rPr>
        <w:t xml:space="preserve">Why was the P1 ARIMA forecast sometimes flat?</w:t>
      </w:r>
    </w:p>
    <w:p>
      <w:pPr>
        <w:spacing w:after="100" w:before="60"/>
      </w:pPr>
      <w:r>
        <w:rPr>
          <w:rFonts w:ascii="Arial" w:cs="Arial" w:eastAsia="Arial" w:hAnsi="Arial"/>
          <w:b w:val="false"/>
          <w:bCs w:val="false"/>
          <w:color w:val="333333"/>
          <w:sz w:val="22"/>
          <w:szCs w:val="22"/>
        </w:rPr>
        <w:t xml:space="preserve">When ARIMA differences the series and the resulting residuals have no strong autocorrelation, the model's best estimate for future values becomes the last known value — producing a flat or near-flat forecast. This is statistically correct but not useful for planning. SARIMA and Prophet were introduced specifically to address this.</w:t>
      </w:r>
    </w:p>
    <w:p>
      <w:pPr>
        <w:spacing w:before="100"/>
      </w:pPr>
    </w:p>
    <w:p>
      <w:pPr>
        <w:pStyle w:val="Heading3"/>
        <w:spacing w:after="80" w:before="200"/>
      </w:pPr>
      <w:r>
        <w:rPr>
          <w:rFonts w:ascii="Arial" w:cs="Arial" w:eastAsia="Arial" w:hAnsi="Arial"/>
          <w:b/>
          <w:bCs/>
          <w:color w:val="1565C0"/>
          <w:sz w:val="24"/>
          <w:szCs w:val="24"/>
        </w:rPr>
        <w:t xml:space="preserve">Model 1 — ARIMA (P1 baseline, repeated for comparison)</w:t>
      </w:r>
    </w:p>
    <w:p>
      <w:pPr>
        <w:spacing w:after="100" w:before="60"/>
      </w:pPr>
      <w:r>
        <w:rPr>
          <w:rFonts w:ascii="Arial" w:cs="Arial" w:eastAsia="Arial" w:hAnsi="Arial"/>
          <w:b w:val="false"/>
          <w:bCs w:val="false"/>
          <w:color w:val="333333"/>
          <w:sz w:val="22"/>
          <w:szCs w:val="22"/>
        </w:rPr>
        <w:t xml:space="preserve">See P1 Output 1 for full explanation. In P2, it serves as the baseline reference point so you can see how much SARIMA and Prophet improve over it.</w:t>
      </w:r>
    </w:p>
    <w:p>
      <w:pPr>
        <w:spacing w:before="80"/>
      </w:pPr>
    </w:p>
    <w:p>
      <w:pPr>
        <w:pStyle w:val="Heading3"/>
        <w:spacing w:after="80" w:before="200"/>
      </w:pPr>
      <w:r>
        <w:rPr>
          <w:rFonts w:ascii="Arial" w:cs="Arial" w:eastAsia="Arial" w:hAnsi="Arial"/>
          <w:b/>
          <w:bCs/>
          <w:color w:val="1565C0"/>
          <w:sz w:val="24"/>
          <w:szCs w:val="24"/>
        </w:rPr>
        <w:t xml:space="preserve">Model 2 — SARIMA (Seasonal ARIMA)</w:t>
      </w:r>
    </w:p>
    <w:p>
      <w:pPr>
        <w:spacing w:after="100" w:before="60"/>
      </w:pPr>
      <w:r>
        <w:rPr>
          <w:rFonts w:ascii="Arial" w:cs="Arial" w:eastAsia="Arial" w:hAnsi="Arial"/>
          <w:b w:val="false"/>
          <w:bCs w:val="false"/>
          <w:color w:val="333333"/>
          <w:sz w:val="22"/>
          <w:szCs w:val="22"/>
        </w:rPr>
        <w:t xml:space="preserve">SARIMA adds seasonal components to ARIMA. The full notation is SARIMA(p,d,q)(P,D,Q,m) where the second bracket describes seasonal AR, differencing, MA, and the seasonal period m.</w:t>
      </w:r>
    </w:p>
    <w:p>
      <w:pPr>
        <w:pStyle w:val="ListParagraph"/>
        <w:numPr>
          <w:ilvl w:val="0"/>
          <w:numId w:val="2"/>
        </w:numPr>
        <w:spacing w:after="40" w:before="40"/>
      </w:pPr>
      <w:r>
        <w:rPr>
          <w:rFonts w:ascii="Arial" w:cs="Arial" w:eastAsia="Arial" w:hAnsi="Arial"/>
          <w:b w:val="false"/>
          <w:bCs w:val="false"/>
          <w:color w:val="333333"/>
          <w:sz w:val="22"/>
          <w:szCs w:val="22"/>
        </w:rPr>
        <w:t xml:space="preserve">P (seasonal AR) — uses GDP values from m periods ago to predict today.</w:t>
      </w:r>
    </w:p>
    <w:p>
      <w:pPr>
        <w:pStyle w:val="ListParagraph"/>
        <w:numPr>
          <w:ilvl w:val="0"/>
          <w:numId w:val="2"/>
        </w:numPr>
        <w:spacing w:after="40" w:before="40"/>
      </w:pPr>
      <w:r>
        <w:rPr>
          <w:rFonts w:ascii="Arial" w:cs="Arial" w:eastAsia="Arial" w:hAnsi="Arial"/>
          <w:b w:val="false"/>
          <w:bCs w:val="false"/>
          <w:color w:val="333333"/>
          <w:sz w:val="22"/>
          <w:szCs w:val="22"/>
        </w:rPr>
        <w:t xml:space="preserve">D (seasonal differencing) — removes repeating seasonal trends.</w:t>
      </w:r>
    </w:p>
    <w:p>
      <w:pPr>
        <w:pStyle w:val="ListParagraph"/>
        <w:numPr>
          <w:ilvl w:val="0"/>
          <w:numId w:val="2"/>
        </w:numPr>
        <w:spacing w:after="40" w:before="40"/>
      </w:pPr>
      <w:r>
        <w:rPr>
          <w:rFonts w:ascii="Arial" w:cs="Arial" w:eastAsia="Arial" w:hAnsi="Arial"/>
          <w:b w:val="false"/>
          <w:bCs w:val="false"/>
          <w:color w:val="333333"/>
          <w:sz w:val="22"/>
          <w:szCs w:val="22"/>
        </w:rPr>
        <w:t xml:space="preserve">Q (seasonal MA) — uses forecast errors from m periods ago to correct today.</w:t>
      </w:r>
    </w:p>
    <w:p>
      <w:pPr>
        <w:pStyle w:val="ListParagraph"/>
        <w:numPr>
          <w:ilvl w:val="0"/>
          <w:numId w:val="2"/>
        </w:numPr>
        <w:spacing w:after="40" w:before="40"/>
      </w:pPr>
      <w:r>
        <w:rPr>
          <w:rFonts w:ascii="Arial" w:cs="Arial" w:eastAsia="Arial" w:hAnsi="Arial"/>
          <w:b w:val="false"/>
          <w:bCs w:val="false"/>
          <w:color w:val="333333"/>
          <w:sz w:val="22"/>
          <w:szCs w:val="22"/>
        </w:rPr>
        <w:t xml:space="preserve">m = 4 in this project — represents the approximate 4-year business cycle in macroeconomics (expansion → peak → contraction → trough). This is the standard cycle length studied in economics since Juglar (1862).</w:t>
      </w:r>
    </w:p>
    <w:p>
      <w:pPr>
        <w:spacing w:before="80"/>
      </w:pPr>
    </w:p>
    <w:p>
      <w:pPr>
        <w:spacing w:after="100" w:before="60"/>
      </w:pPr>
      <w:r>
        <w:rPr>
          <w:rFonts w:ascii="Arial" w:cs="Arial" w:eastAsia="Arial" w:hAnsi="Arial"/>
          <w:b w:val="false"/>
          <w:bCs w:val="false"/>
          <w:color w:val="333333"/>
          <w:sz w:val="22"/>
          <w:szCs w:val="22"/>
        </w:rPr>
        <w:t xml:space="preserve">Why SARIMA over ARIMA:</w:t>
      </w:r>
    </w:p>
    <w:p>
      <w:pPr>
        <w:pStyle w:val="ListParagraph"/>
        <w:numPr>
          <w:ilvl w:val="0"/>
          <w:numId w:val="2"/>
        </w:numPr>
        <w:spacing w:after="40" w:before="40"/>
      </w:pPr>
      <w:r>
        <w:rPr>
          <w:rFonts w:ascii="Arial" w:cs="Arial" w:eastAsia="Arial" w:hAnsi="Arial"/>
          <w:b w:val="false"/>
          <w:bCs w:val="false"/>
          <w:color w:val="333333"/>
          <w:sz w:val="22"/>
          <w:szCs w:val="22"/>
        </w:rPr>
        <w:t xml:space="preserve">SARIMA's seasonal components inject periodic information that prevents the forecast from collapsing to a flat line.</w:t>
      </w:r>
    </w:p>
    <w:p>
      <w:pPr>
        <w:pStyle w:val="ListParagraph"/>
        <w:numPr>
          <w:ilvl w:val="0"/>
          <w:numId w:val="2"/>
        </w:numPr>
        <w:spacing w:after="40" w:before="40"/>
      </w:pPr>
      <w:r>
        <w:rPr>
          <w:rFonts w:ascii="Arial" w:cs="Arial" w:eastAsia="Arial" w:hAnsi="Arial"/>
          <w:b w:val="false"/>
          <w:bCs w:val="false"/>
          <w:color w:val="333333"/>
          <w:sz w:val="22"/>
          <w:szCs w:val="22"/>
        </w:rPr>
        <w:t xml:space="preserve">Lower MAE (Mean Absolute Error) on in-sample fit — the model can explain more variance in the data.</w:t>
      </w:r>
    </w:p>
    <w:p>
      <w:pPr>
        <w:pStyle w:val="ListParagraph"/>
        <w:numPr>
          <w:ilvl w:val="0"/>
          <w:numId w:val="2"/>
        </w:numPr>
        <w:spacing w:after="40" w:before="40"/>
      </w:pPr>
      <w:r>
        <w:rPr>
          <w:rFonts w:ascii="Arial" w:cs="Arial" w:eastAsia="Arial" w:hAnsi="Arial"/>
          <w:b w:val="false"/>
          <w:bCs w:val="false"/>
          <w:color w:val="333333"/>
          <w:sz w:val="22"/>
          <w:szCs w:val="22"/>
        </w:rPr>
        <w:t xml:space="preserve">More realistic forecasts: captures the idea that Indian GDP oscillates around a trend due to political cycles, monsoon cycles, and global business cycles.</w:t>
      </w:r>
    </w:p>
    <w:p>
      <w:pPr>
        <w:spacing w:before="100"/>
      </w:pPr>
    </w:p>
    <w:p>
      <w:pPr>
        <w:pStyle w:val="Heading3"/>
        <w:spacing w:after="80" w:before="200"/>
      </w:pPr>
      <w:r>
        <w:rPr>
          <w:rFonts w:ascii="Arial" w:cs="Arial" w:eastAsia="Arial" w:hAnsi="Arial"/>
          <w:b/>
          <w:bCs/>
          <w:color w:val="1565C0"/>
          <w:sz w:val="24"/>
          <w:szCs w:val="24"/>
        </w:rPr>
        <w:t xml:space="preserve">Model 3 — Prophet (Meta / Facebook)</w:t>
      </w:r>
    </w:p>
    <w:p>
      <w:pPr>
        <w:spacing w:after="100" w:before="60"/>
      </w:pPr>
      <w:r>
        <w:rPr>
          <w:rFonts w:ascii="Arial" w:cs="Arial" w:eastAsia="Arial" w:hAnsi="Arial"/>
          <w:b w:val="false"/>
          <w:bCs w:val="false"/>
          <w:color w:val="333333"/>
          <w:sz w:val="22"/>
          <w:szCs w:val="22"/>
        </w:rPr>
        <w:t xml:space="preserve">Prophet is an additive time series model released by Facebook in 2017. It decomposes the series into: trend + seasonality + holidays + error. For annual economic data, the holiday component is not used; the key features are:</w:t>
      </w:r>
    </w:p>
    <w:p>
      <w:pPr>
        <w:pStyle w:val="ListParagraph"/>
        <w:numPr>
          <w:ilvl w:val="0"/>
          <w:numId w:val="2"/>
        </w:numPr>
        <w:spacing w:after="40" w:before="40"/>
      </w:pPr>
      <w:r>
        <w:rPr>
          <w:rFonts w:ascii="Arial" w:cs="Arial" w:eastAsia="Arial" w:hAnsi="Arial"/>
          <w:b w:val="false"/>
          <w:bCs w:val="false"/>
          <w:color w:val="333333"/>
          <w:sz w:val="22"/>
          <w:szCs w:val="22"/>
        </w:rPr>
        <w:t xml:space="preserve">Automatic change-point detection — Prophet finds points in history where the trend structurally changed (e.g., 1991 liberalisation, 2020 COVID) and fits separate trend segments before and after each. This is critical for economic data which has multiple regime changes.</w:t>
      </w:r>
    </w:p>
    <w:p>
      <w:pPr>
        <w:pStyle w:val="ListParagraph"/>
        <w:numPr>
          <w:ilvl w:val="0"/>
          <w:numId w:val="2"/>
        </w:numPr>
        <w:spacing w:after="40" w:before="40"/>
      </w:pPr>
      <w:r>
        <w:rPr>
          <w:rFonts w:ascii="Arial" w:cs="Arial" w:eastAsia="Arial" w:hAnsi="Arial"/>
          <w:b w:val="false"/>
          <w:bCs w:val="false"/>
          <w:color w:val="333333"/>
          <w:sz w:val="22"/>
          <w:szCs w:val="22"/>
        </w:rPr>
        <w:t xml:space="preserve">Robust to missing data and outliers — Prophet can handle gaps in the series without manual imputation.</w:t>
      </w:r>
    </w:p>
    <w:p>
      <w:pPr>
        <w:pStyle w:val="ListParagraph"/>
        <w:numPr>
          <w:ilvl w:val="0"/>
          <w:numId w:val="2"/>
        </w:numPr>
        <w:spacing w:after="40" w:before="40"/>
      </w:pPr>
      <w:r>
        <w:rPr>
          <w:rFonts w:ascii="Arial" w:cs="Arial" w:eastAsia="Arial" w:hAnsi="Arial"/>
          <w:b w:val="false"/>
          <w:bCs w:val="false"/>
          <w:color w:val="333333"/>
          <w:sz w:val="22"/>
          <w:szCs w:val="22"/>
        </w:rPr>
        <w:t xml:space="preserve">Produces uncertainty intervals natively — the forecast plot shows a lower and upper bound automatically.</w:t>
      </w:r>
    </w:p>
    <w:p>
      <w:pPr>
        <w:pStyle w:val="ListParagraph"/>
        <w:numPr>
          <w:ilvl w:val="0"/>
          <w:numId w:val="2"/>
        </w:numPr>
        <w:spacing w:after="40" w:before="40"/>
      </w:pPr>
      <w:r>
        <w:rPr>
          <w:rFonts w:ascii="Arial" w:cs="Arial" w:eastAsia="Arial" w:hAnsi="Arial"/>
          <w:b w:val="false"/>
          <w:bCs w:val="false"/>
          <w:color w:val="333333"/>
          <w:sz w:val="22"/>
          <w:szCs w:val="22"/>
        </w:rPr>
        <w:t xml:space="preserve">changepoint_prior_scale = 0.3 — set slightly higher than the default (0.05) to allow more flexible trend changes, appropriate for volatile economic series.</w:t>
      </w:r>
    </w:p>
    <w:p>
      <w:pPr>
        <w:spacing w:before="100"/>
      </w:pPr>
    </w:p>
    <w:p>
      <w:pPr>
        <w:pStyle w:val="Heading3"/>
        <w:spacing w:after="80" w:before="200"/>
      </w:pPr>
      <w:r>
        <w:rPr>
          <w:rFonts w:ascii="Arial" w:cs="Arial" w:eastAsia="Arial" w:hAnsi="Arial"/>
          <w:b/>
          <w:bCs/>
          <w:color w:val="1565C0"/>
          <w:sz w:val="24"/>
          <w:szCs w:val="24"/>
        </w:rPr>
        <w:t xml:space="preserve">Why Prophet over LSTM or other deep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560"/>
        <w:gridCol w:w="2400"/>
      </w:tblGrid>
      <w:tr>
        <w:trPr>
          <w:tblHeader/>
        </w:trPr>
        <w:tc>
          <w:tcPr>
            <w:tcW w:type="dxa" w:w="20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w:t>
            </w:r>
          </w:p>
        </w:tc>
        <w:tc>
          <w:tcPr>
            <w:tcW w:type="dxa" w:w="14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w:t>
            </w:r>
          </w:p>
        </w:tc>
        <w:tc>
          <w:tcPr>
            <w:tcW w:type="dxa" w:w="356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Reasoning</w:t>
            </w:r>
          </w:p>
        </w:tc>
        <w:tc>
          <w:tcPr>
            <w:tcW w:type="dxa" w:w="24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Limitation</w:t>
            </w:r>
          </w:p>
        </w:tc>
      </w:tr>
      <w:tr>
        <w:tc>
          <w:tcPr>
            <w:tcW w:type="dxa" w:w="200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bCs/>
                <w:color w:val="000000"/>
                <w:sz w:val="20"/>
                <w:szCs w:val="20"/>
              </w:rPr>
              <w:t xml:space="preserve">Prophet</w:t>
            </w:r>
          </w:p>
        </w:tc>
        <w:tc>
          <w:tcPr>
            <w:tcW w:type="dxa" w:w="140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Chosen</w:t>
            </w:r>
          </w:p>
        </w:tc>
        <w:tc>
          <w:tcPr>
            <w:tcW w:type="dxa" w:w="356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Handles structural breaks. Works with only 50 data points. Produces interpretable uncertainty bands. No GPU needed.</w:t>
            </w:r>
          </w:p>
        </w:tc>
        <w:tc>
          <w:tcPr>
            <w:tcW w:type="dxa" w:w="240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r>
          </w:p>
        </w:tc>
      </w:tr>
      <w:tr>
        <w:tc>
          <w:tcPr>
            <w:tcW w:type="dxa" w:w="2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LSTM (Long Short-Term Memory)</w:t>
            </w:r>
          </w:p>
        </w:tc>
        <w:tc>
          <w:tcPr>
            <w:tcW w:type="dxa" w:w="1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Rejected</w:t>
            </w:r>
          </w:p>
        </w:tc>
        <w:tc>
          <w:tcPr>
            <w:tcW w:type="dxa" w:w="3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Requires hundreds to thousands of data points for reliable training. 50 yearly observations is far too small. Would overfit completely.</w:t>
            </w:r>
          </w:p>
        </w:tc>
        <w:tc>
          <w:tcPr>
            <w:tcW w:type="dxa" w:w="2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r>
          </w:p>
        </w:tc>
      </w:tr>
      <w:tr>
        <w:tc>
          <w:tcPr>
            <w:tcW w:type="dxa" w:w="200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bCs/>
                <w:color w:val="000000"/>
                <w:sz w:val="20"/>
                <w:szCs w:val="20"/>
              </w:rPr>
              <w:t xml:space="preserve">Transformer (TFT)</w:t>
            </w:r>
          </w:p>
        </w:tc>
        <w:tc>
          <w:tcPr>
            <w:tcW w:type="dxa" w:w="140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Rejected</w:t>
            </w:r>
          </w:p>
        </w:tc>
        <w:tc>
          <w:tcPr>
            <w:tcW w:type="dxa" w:w="356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Even more data-hungry than LSTM. Designed for multi-variate high-frequency series.</w:t>
            </w:r>
          </w:p>
        </w:tc>
        <w:tc>
          <w:tcPr>
            <w:tcW w:type="dxa" w:w="240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r>
          </w:p>
        </w:tc>
      </w:tr>
      <w:tr>
        <w:tc>
          <w:tcPr>
            <w:tcW w:type="dxa" w:w="2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ETS (Exponential Smoothing)</w:t>
            </w:r>
          </w:p>
        </w:tc>
        <w:tc>
          <w:tcPr>
            <w:tcW w:type="dxa" w:w="1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Considered</w:t>
            </w:r>
          </w:p>
        </w:tc>
        <w:tc>
          <w:tcPr>
            <w:tcW w:type="dxa" w:w="3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Good for smooth series but no change-point detection. Less expressive than Prophet for economic data.</w:t>
            </w:r>
          </w:p>
        </w:tc>
        <w:tc>
          <w:tcPr>
            <w:tcW w:type="dxa" w:w="2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r>
          </w:p>
        </w:tc>
      </w:tr>
    </w:tbl>
    <w:p>
      <w:pPr>
        <w:spacing w:before="100"/>
      </w:pPr>
    </w:p>
    <w:p>
      <w:pPr>
        <w:pStyle w:val="Heading3"/>
        <w:spacing w:after="80" w:before="200"/>
      </w:pPr>
      <w:r>
        <w:rPr>
          <w:rFonts w:ascii="Arial" w:cs="Arial" w:eastAsia="Arial" w:hAnsi="Arial"/>
          <w:b/>
          <w:bCs/>
          <w:color w:val="1565C0"/>
          <w:sz w:val="24"/>
          <w:szCs w:val="24"/>
        </w:rPr>
        <w:t xml:space="preserve">What does the Output show?</w:t>
      </w:r>
    </w:p>
    <w:p>
      <w:pPr>
        <w:pStyle w:val="ListParagraph"/>
        <w:numPr>
          <w:ilvl w:val="0"/>
          <w:numId w:val="2"/>
        </w:numPr>
        <w:spacing w:after="40" w:before="40"/>
      </w:pPr>
      <w:r>
        <w:rPr>
          <w:rFonts w:ascii="Arial" w:cs="Arial" w:eastAsia="Arial" w:hAnsi="Arial"/>
          <w:b w:val="false"/>
          <w:bCs w:val="false"/>
          <w:color w:val="333333"/>
          <w:sz w:val="22"/>
          <w:szCs w:val="22"/>
        </w:rPr>
        <w:t xml:space="preserve">Three separate charts — one per model, each showing the historical data, the in-sample fit (purple dashed), the forecast (colored dashed), and the confidence interval (shaded band).</w:t>
      </w:r>
    </w:p>
    <w:p>
      <w:pPr>
        <w:pStyle w:val="ListParagraph"/>
        <w:numPr>
          <w:ilvl w:val="0"/>
          <w:numId w:val="2"/>
        </w:numPr>
        <w:spacing w:after="40" w:before="40"/>
      </w:pPr>
      <w:r>
        <w:rPr>
          <w:rFonts w:ascii="Arial" w:cs="Arial" w:eastAsia="Arial" w:hAnsi="Arial"/>
          <w:b w:val="false"/>
          <w:bCs w:val="false"/>
          <w:color w:val="333333"/>
          <w:sz w:val="22"/>
          <w:szCs w:val="22"/>
        </w:rPr>
        <w:t xml:space="preserve">Model Comparison Table — In-Sample MAE for all three models, with the best (lowest error) highlighted in green.</w:t>
      </w:r>
    </w:p>
    <w:p>
      <w:pPr>
        <w:pStyle w:val="ListParagraph"/>
        <w:numPr>
          <w:ilvl w:val="0"/>
          <w:numId w:val="2"/>
        </w:numPr>
        <w:spacing w:after="40" w:before="40"/>
      </w:pPr>
      <w:r>
        <w:rPr>
          <w:rFonts w:ascii="Arial" w:cs="Arial" w:eastAsia="Arial" w:hAnsi="Arial"/>
          <w:b w:val="false"/>
          <w:bCs w:val="false"/>
          <w:color w:val="333333"/>
          <w:sz w:val="22"/>
          <w:szCs w:val="22"/>
        </w:rPr>
        <w:t xml:space="preserve">All forecasts overlaid on one chart — gold = ARIMA, green = SARIMA, red = Prophet. If models converge, the forecast is reliable. If they diverge, there is high uncertainty.</w:t>
      </w:r>
    </w:p>
    <w:p>
      <w:pPr>
        <w:spacing w:before="100"/>
      </w:pPr>
    </w:p>
    <w:p>
      <w:pPr>
        <w:pStyle w:val="Heading3"/>
        <w:spacing w:after="80" w:before="200"/>
      </w:pPr>
      <w:r>
        <w:rPr>
          <w:rFonts w:ascii="Arial" w:cs="Arial" w:eastAsia="Arial" w:hAnsi="Arial"/>
          <w:b/>
          <w:bCs/>
          <w:color w:val="1565C0"/>
          <w:sz w:val="24"/>
          <w:szCs w:val="24"/>
        </w:rPr>
        <w:t xml:space="preserve">How to read MAE (Mean Absolute Error)</w:t>
      </w:r>
    </w:p>
    <w:p>
      <w:pPr>
        <w:spacing w:after="100" w:before="60"/>
      </w:pPr>
      <w:r>
        <w:rPr>
          <w:rFonts w:ascii="Arial" w:cs="Arial" w:eastAsia="Arial" w:hAnsi="Arial"/>
          <w:b w:val="false"/>
          <w:bCs w:val="false"/>
          <w:color w:val="333333"/>
          <w:sz w:val="22"/>
          <w:szCs w:val="22"/>
        </w:rPr>
        <w:t xml:space="preserve">MAE is the average absolute difference between the model's in-sample predictions and the actual values, measured in the same units as the target (percentage points for GDP growth). An MAE of 1.5 means the model was off by 1.5 percentage points on average. Lower = better model fit.</w:t>
      </w:r>
    </w:p>
    <w:p>
      <w:r>
        <w:br w:type="page"/>
      </w:r>
    </w:p>
    <w:p>
      <w:pPr>
        <w:pStyle w:val="Heading2"/>
        <w:spacing w:after="100" w:before="280"/>
      </w:pPr>
      <w:r>
        <w:rPr>
          <w:rFonts w:ascii="Arial" w:cs="Arial" w:eastAsia="Arial" w:hAnsi="Arial"/>
          <w:b/>
          <w:bCs/>
          <w:color w:val="283593"/>
          <w:sz w:val="28"/>
          <w:szCs w:val="28"/>
        </w:rPr>
        <w:t xml:space="preserve">P2 — Tab 4: Sentiment &amp; Events Layer</w:t>
      </w:r>
    </w:p>
    <w:p>
      <w:pPr>
        <w:pBdr>
          <w:bottom w:val="single" w:color="C5CAE9" w:sz="4" w:space="1"/>
        </w:pBdr>
        <w:spacing w:after="120" w:before="120"/>
      </w:pPr>
    </w:p>
    <w:p>
      <w:pPr>
        <w:pStyle w:val="Heading3"/>
        <w:spacing w:after="80" w:before="200"/>
      </w:pPr>
      <w:r>
        <w:rPr>
          <w:rFonts w:ascii="Arial" w:cs="Arial" w:eastAsia="Arial" w:hAnsi="Arial"/>
          <w:b/>
          <w:bCs/>
          <w:color w:val="1565C0"/>
          <w:sz w:val="24"/>
          <w:szCs w:val="24"/>
        </w:rPr>
        <w:t xml:space="preserve">What does this tab do?</w:t>
      </w:r>
    </w:p>
    <w:p>
      <w:pPr>
        <w:spacing w:after="100" w:before="60"/>
      </w:pPr>
      <w:r>
        <w:rPr>
          <w:rFonts w:ascii="Arial" w:cs="Arial" w:eastAsia="Arial" w:hAnsi="Arial"/>
          <w:b w:val="false"/>
          <w:bCs w:val="false"/>
          <w:color w:val="333333"/>
          <w:sz w:val="22"/>
          <w:szCs w:val="22"/>
        </w:rPr>
        <w:t xml:space="preserve">Adds a qualitative layer on top of the numerical analysis by mapping 14 major global and Indian economic events to the dataset years and showing how each event caused a visible shift in the economic indicators.</w:t>
      </w:r>
    </w:p>
    <w:p>
      <w:pPr>
        <w:spacing w:before="100"/>
      </w:pPr>
    </w:p>
    <w:p>
      <w:pPr>
        <w:pStyle w:val="Heading3"/>
        <w:spacing w:after="80" w:before="200"/>
      </w:pPr>
      <w:r>
        <w:rPr>
          <w:rFonts w:ascii="Arial" w:cs="Arial" w:eastAsia="Arial" w:hAnsi="Arial"/>
          <w:b/>
          <w:bCs/>
          <w:color w:val="1565C0"/>
          <w:sz w:val="24"/>
          <w:szCs w:val="24"/>
        </w:rPr>
        <w:t xml:space="preserve">Events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w:t>
            </w:r>
          </w:p>
        </w:tc>
        <w:tc>
          <w:tcPr>
            <w:tcW w:type="dxa" w:w="312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312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Economic Impact</w:t>
            </w:r>
          </w:p>
        </w:tc>
      </w:tr>
      <w:tr>
        <w:tc>
          <w:tcPr>
            <w:tcW w:type="dxa" w:w="312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bCs/>
                <w:color w:val="000000"/>
                <w:sz w:val="20"/>
                <w:szCs w:val="20"/>
              </w:rPr>
              <w:t xml:space="preserve">1991 — India Liberalisation</w:t>
            </w:r>
          </w:p>
        </w:tc>
        <w:tc>
          <w:tcPr>
            <w:tcW w:type="dxa" w:w="312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Positive</w:t>
            </w:r>
          </w:p>
        </w:tc>
        <w:tc>
          <w:tcPr>
            <w:tcW w:type="dxa" w:w="312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Watershed structural reform. GDP growth visibly accelerates post-1991.</w:t>
            </w:r>
          </w:p>
        </w:tc>
      </w:tr>
      <w:tr>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1997 — Asian Financial Crisis</w:t>
            </w:r>
          </w:p>
        </w:tc>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Crisis</w:t>
            </w:r>
          </w:p>
        </w:tc>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Currency contagion from SE Asia; capital outflows from India.</w:t>
            </w:r>
          </w:p>
        </w:tc>
      </w:tr>
      <w:tr>
        <w:tc>
          <w:tcPr>
            <w:tcW w:type="dxa" w:w="312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bCs/>
                <w:color w:val="000000"/>
                <w:sz w:val="20"/>
                <w:szCs w:val="20"/>
              </w:rPr>
              <w:t xml:space="preserve">2008 — Global Financial Crisis</w:t>
            </w:r>
          </w:p>
        </w:tc>
        <w:tc>
          <w:tcPr>
            <w:tcW w:type="dxa" w:w="312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Crisis</w:t>
            </w:r>
          </w:p>
        </w:tc>
        <w:tc>
          <w:tcPr>
            <w:tcW w:type="dxa" w:w="312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Worst shock since 1929. India GDP falls from 9% to 3.9%.</w:t>
            </w:r>
          </w:p>
        </w:tc>
      </w:tr>
      <w:tr>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2013 — Taper Tantrum</w:t>
            </w:r>
          </w:p>
        </w:tc>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Crisis</w:t>
            </w:r>
          </w:p>
        </w:tc>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 Fed signals QE tapering; INR depreciates 20%.</w:t>
            </w:r>
          </w:p>
        </w:tc>
      </w:tr>
      <w:tr>
        <w:tc>
          <w:tcPr>
            <w:tcW w:type="dxa" w:w="312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bCs/>
                <w:color w:val="000000"/>
                <w:sz w:val="20"/>
                <w:szCs w:val="20"/>
              </w:rPr>
              <w:t xml:space="preserve">2016 — Demonetisation</w:t>
            </w:r>
          </w:p>
        </w:tc>
        <w:tc>
          <w:tcPr>
            <w:tcW w:type="dxa" w:w="312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Crisis</w:t>
            </w:r>
          </w:p>
        </w:tc>
        <w:tc>
          <w:tcPr>
            <w:tcW w:type="dxa" w:w="312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86% of Indian currency recalled; short-term GDP dip.</w:t>
            </w:r>
          </w:p>
        </w:tc>
      </w:tr>
      <w:tr>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2020 — COVID-19 Pandemic</w:t>
            </w:r>
          </w:p>
        </w:tc>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COVID</w:t>
            </w:r>
          </w:p>
        </w:tc>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India GDP = -6.6%. All 4 countries show simultaneous crash.</w:t>
            </w:r>
          </w:p>
        </w:tc>
      </w:tr>
      <w:tr>
        <w:tc>
          <w:tcPr>
            <w:tcW w:type="dxa" w:w="312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bCs/>
                <w:color w:val="000000"/>
                <w:sz w:val="20"/>
                <w:szCs w:val="20"/>
              </w:rPr>
              <w:t xml:space="preserve">2022 — Russia-Ukraine War</w:t>
            </w:r>
          </w:p>
        </w:tc>
        <w:tc>
          <w:tcPr>
            <w:tcW w:type="dxa" w:w="312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War</w:t>
            </w:r>
          </w:p>
        </w:tc>
        <w:tc>
          <w:tcPr>
            <w:tcW w:type="dxa" w:w="312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Global energy and food price shock; inflation spike in all countries.</w:t>
            </w:r>
          </w:p>
        </w:tc>
      </w:tr>
    </w:tbl>
    <w:p>
      <w:pPr>
        <w:spacing w:before="100"/>
      </w:pPr>
    </w:p>
    <w:p>
      <w:pPr>
        <w:pStyle w:val="Heading3"/>
        <w:spacing w:after="80" w:before="200"/>
      </w:pPr>
      <w:r>
        <w:rPr>
          <w:rFonts w:ascii="Arial" w:cs="Arial" w:eastAsia="Arial" w:hAnsi="Arial"/>
          <w:b/>
          <w:bCs/>
          <w:color w:val="1565C0"/>
          <w:sz w:val="24"/>
          <w:szCs w:val="24"/>
        </w:rPr>
        <w:t xml:space="preserve">Proxy Sentiment Score — Construction and Interpretation</w:t>
      </w:r>
    </w:p>
    <w:p>
      <w:pPr>
        <w:spacing w:after="100" w:before="60"/>
      </w:pPr>
      <w:r>
        <w:rPr>
          <w:rFonts w:ascii="Arial" w:cs="Arial" w:eastAsia="Arial" w:hAnsi="Arial"/>
          <w:b w:val="false"/>
          <w:bCs w:val="false"/>
          <w:color w:val="333333"/>
          <w:sz w:val="22"/>
          <w:szCs w:val="22"/>
        </w:rPr>
        <w:t xml:space="preserve">Since real news/headlines data is not available in the dataset, a proxy sentiment score is constructed entirely from the rate-of-change in economic variables. The insight is that these rate-of-change signals tend to move before official GDP data is published.</w:t>
      </w:r>
    </w:p>
    <w:p>
      <w:pPr>
        <w:spacing w:before="80"/>
      </w:pPr>
    </w:p>
    <w:p>
      <w:pPr>
        <w:shd w:fill="E3F2FD" w:val="clear"/>
        <w:spacing w:after="80" w:before="80"/>
        <w:ind w:left="360"/>
      </w:pPr>
      <w:r>
        <w:rPr>
          <w:rFonts w:ascii="Arial" w:cs="Arial" w:eastAsia="Arial" w:hAnsi="Arial"/>
          <w:b/>
          <w:bCs/>
          <w:color w:val="0D47A1"/>
          <w:sz w:val="20"/>
          <w:szCs w:val="20"/>
        </w:rPr>
        <w:t xml:space="preserve">Formula:  Proxy_Sentiment = 0.3 × ΔGDP_norm  −  0.4 × ΔInflation_norm  −  0.3 × ΔUnemployment_norm</w:t>
      </w:r>
    </w:p>
    <w:p>
      <w:pPr>
        <w:spacing w:before="60"/>
      </w:pPr>
    </w:p>
    <w:p>
      <w:pPr>
        <w:spacing w:after="100" w:before="60"/>
      </w:pPr>
      <w:r>
        <w:rPr>
          <w:rFonts w:ascii="Arial" w:cs="Arial" w:eastAsia="Arial" w:hAnsi="Arial"/>
          <w:b w:val="false"/>
          <w:bCs w:val="false"/>
          <w:color w:val="333333"/>
          <w:sz w:val="22"/>
          <w:szCs w:val="22"/>
        </w:rPr>
        <w:t xml:space="preserve">Where Δ means the year-over-year change in each indicator, and _norm means each has been Min-Max scaled to 0-1 for fair weighting. The final score is also normalised to 0-1.</w:t>
      </w:r>
    </w:p>
    <w:p>
      <w:pPr>
        <w:spacing w:before="80"/>
      </w:pPr>
    </w:p>
    <w:p>
      <w:pPr>
        <w:pStyle w:val="ListParagraph"/>
        <w:numPr>
          <w:ilvl w:val="0"/>
          <w:numId w:val="2"/>
        </w:numPr>
        <w:spacing w:after="40" w:before="40"/>
      </w:pPr>
      <w:r>
        <w:rPr>
          <w:rFonts w:ascii="Arial" w:cs="Arial" w:eastAsia="Arial" w:hAnsi="Arial"/>
          <w:b w:val="false"/>
          <w:bCs w:val="false"/>
          <w:color w:val="333333"/>
          <w:sz w:val="22"/>
          <w:szCs w:val="22"/>
        </w:rPr>
        <w:t xml:space="preserve">Score &gt; 0.5 (green zone) — positive momentum: growth accelerating, inflation stable or falling, unemployment falling.</w:t>
      </w:r>
    </w:p>
    <w:p>
      <w:pPr>
        <w:pStyle w:val="ListParagraph"/>
        <w:numPr>
          <w:ilvl w:val="0"/>
          <w:numId w:val="2"/>
        </w:numPr>
        <w:spacing w:after="40" w:before="40"/>
      </w:pPr>
      <w:r>
        <w:rPr>
          <w:rFonts w:ascii="Arial" w:cs="Arial" w:eastAsia="Arial" w:hAnsi="Arial"/>
          <w:b w:val="false"/>
          <w:bCs w:val="false"/>
          <w:color w:val="333333"/>
          <w:sz w:val="22"/>
          <w:szCs w:val="22"/>
        </w:rPr>
        <w:t xml:space="preserve">Score &lt; 0.5 (red zone) — negative momentum: growth decelerating, inflation rising, or unemployment increasing.</w:t>
      </w:r>
    </w:p>
    <w:p>
      <w:pPr>
        <w:pStyle w:val="ListParagraph"/>
        <w:numPr>
          <w:ilvl w:val="0"/>
          <w:numId w:val="2"/>
        </w:numPr>
        <w:spacing w:after="40" w:before="40"/>
      </w:pPr>
      <w:r>
        <w:rPr>
          <w:rFonts w:ascii="Arial" w:cs="Arial" w:eastAsia="Arial" w:hAnsi="Arial"/>
          <w:b w:val="false"/>
          <w:bCs w:val="false"/>
          <w:color w:val="333333"/>
          <w:sz w:val="22"/>
          <w:szCs w:val="22"/>
        </w:rPr>
        <w:t xml:space="preserve">Early warning property — inflation and unemployment changes are often published with a shorter lag than GDP data, so this proxy can signal stress 1-2 years before the official GDP crash confirms it.</w:t>
      </w:r>
    </w:p>
    <w:p>
      <w:pPr>
        <w:spacing w:before="100"/>
      </w:pPr>
    </w:p>
    <w:p>
      <w:pPr>
        <w:pStyle w:val="Heading3"/>
        <w:spacing w:after="80" w:before="200"/>
      </w:pPr>
      <w:r>
        <w:rPr>
          <w:rFonts w:ascii="Arial" w:cs="Arial" w:eastAsia="Arial" w:hAnsi="Arial"/>
          <w:b/>
          <w:bCs/>
          <w:color w:val="1565C0"/>
          <w:sz w:val="24"/>
          <w:szCs w:val="24"/>
        </w:rPr>
        <w:t xml:space="preserve">What does the Output show?</w:t>
      </w:r>
    </w:p>
    <w:p>
      <w:pPr>
        <w:pStyle w:val="ListParagraph"/>
        <w:numPr>
          <w:ilvl w:val="0"/>
          <w:numId w:val="2"/>
        </w:numPr>
        <w:spacing w:after="40" w:before="40"/>
      </w:pPr>
      <w:r>
        <w:rPr>
          <w:rFonts w:ascii="Arial" w:cs="Arial" w:eastAsia="Arial" w:hAnsi="Arial"/>
          <w:b w:val="false"/>
          <w:bCs w:val="false"/>
          <w:color w:val="333333"/>
          <w:sz w:val="22"/>
          <w:szCs w:val="22"/>
        </w:rPr>
        <w:t xml:space="preserve">Annotated GDP chart — India's 50-year GDP growth line with vertical colored lines marking each major event, and text labels showing the event name.</w:t>
      </w:r>
    </w:p>
    <w:p>
      <w:pPr>
        <w:pStyle w:val="ListParagraph"/>
        <w:numPr>
          <w:ilvl w:val="0"/>
          <w:numId w:val="2"/>
        </w:numPr>
        <w:spacing w:after="40" w:before="40"/>
      </w:pPr>
      <w:r>
        <w:rPr>
          <w:rFonts w:ascii="Arial" w:cs="Arial" w:eastAsia="Arial" w:hAnsi="Arial"/>
          <w:b w:val="false"/>
          <w:bCs w:val="false"/>
          <w:color w:val="333333"/>
          <w:sz w:val="22"/>
          <w:szCs w:val="22"/>
        </w:rPr>
        <w:t xml:space="preserve">All-countries GDP + event markers — same events marked across all four countries to show global synchronisation.</w:t>
      </w:r>
    </w:p>
    <w:p>
      <w:pPr>
        <w:pStyle w:val="ListParagraph"/>
        <w:numPr>
          <w:ilvl w:val="0"/>
          <w:numId w:val="2"/>
        </w:numPr>
        <w:spacing w:after="40" w:before="40"/>
      </w:pPr>
      <w:r>
        <w:rPr>
          <w:rFonts w:ascii="Arial" w:cs="Arial" w:eastAsia="Arial" w:hAnsi="Arial"/>
          <w:b w:val="false"/>
          <w:bCs w:val="false"/>
          <w:color w:val="333333"/>
          <w:sz w:val="22"/>
          <w:szCs w:val="22"/>
        </w:rPr>
        <w:t xml:space="preserve">Dual-panel proxy sentiment chart — top panel is GDP growth; bottom panel is the proxy score as a filled area chart (green = positive, red = negative). The two panels share the x-axis for direct year-by-year comparison.</w:t>
      </w:r>
    </w:p>
    <w:p>
      <w:pPr>
        <w:pStyle w:val="ListParagraph"/>
        <w:numPr>
          <w:ilvl w:val="0"/>
          <w:numId w:val="2"/>
        </w:numPr>
        <w:spacing w:after="40" w:before="40"/>
      </w:pPr>
      <w:r>
        <w:rPr>
          <w:rFonts w:ascii="Arial" w:cs="Arial" w:eastAsia="Arial" w:hAnsi="Arial"/>
          <w:b w:val="false"/>
          <w:bCs w:val="false"/>
          <w:color w:val="333333"/>
          <w:sz w:val="22"/>
          <w:szCs w:val="22"/>
        </w:rPr>
        <w:t xml:space="preserve">Events catalogue table — all 14 events with year, type icon, sentiment score (-1 to +1), and a description of the economic impact.</w:t>
      </w:r>
    </w:p>
    <w:p>
      <w:pPr>
        <w:pStyle w:val="ListParagraph"/>
        <w:numPr>
          <w:ilvl w:val="0"/>
          <w:numId w:val="2"/>
        </w:numPr>
        <w:spacing w:after="40" w:before="40"/>
      </w:pPr>
      <w:r>
        <w:rPr>
          <w:rFonts w:ascii="Arial" w:cs="Arial" w:eastAsia="Arial" w:hAnsi="Arial"/>
          <w:b w:val="false"/>
          <w:bCs w:val="false"/>
          <w:color w:val="333333"/>
          <w:sz w:val="22"/>
          <w:szCs w:val="22"/>
        </w:rPr>
        <w:t xml:space="preserve">Key insights section — 6 curated analytical findings about the biggest events and their measured impact on India's GDP.</w:t>
      </w:r>
    </w:p>
    <w:p>
      <w:pPr>
        <w:spacing w:before="100"/>
      </w:pPr>
    </w:p>
    <w:p>
      <w:pPr>
        <w:pStyle w:val="Heading3"/>
        <w:spacing w:after="80" w:before="200"/>
      </w:pPr>
      <w:r>
        <w:rPr>
          <w:rFonts w:ascii="Arial" w:cs="Arial" w:eastAsia="Arial" w:hAnsi="Arial"/>
          <w:b/>
          <w:bCs/>
          <w:color w:val="1565C0"/>
          <w:sz w:val="24"/>
          <w:szCs w:val="24"/>
        </w:rPr>
        <w:t xml:space="preserve">Why not use real NLP sentiment?</w:t>
      </w:r>
    </w:p>
    <w:p>
      <w:pPr>
        <w:spacing w:after="100" w:before="60"/>
      </w:pPr>
      <w:r>
        <w:rPr>
          <w:rFonts w:ascii="Arial" w:cs="Arial" w:eastAsia="Arial" w:hAnsi="Arial"/>
          <w:b w:val="false"/>
          <w:bCs w:val="false"/>
          <w:color w:val="333333"/>
          <w:sz w:val="22"/>
          <w:szCs w:val="22"/>
        </w:rPr>
        <w:t xml:space="preserve">A production-grade system would scrape financial news headlines, run BERT or VADER sentiment analysis, and use the resulting score as an additional input feature to forecasting models. For this project, that level of infrastructure is out of scope. The proxy approach demonstrates the concept rigorously using only available data, and the framework is explicitly designed to be swappable — replacing the proxy with real NLP scores would require changing only the data input, not the analysis pipeline.</w:t>
      </w:r>
    </w:p>
    <w:p>
      <w:r>
        <w:br w:type="page"/>
      </w:r>
    </w:p>
    <w:p>
      <w:pPr>
        <w:pStyle w:val="Heading1"/>
        <w:spacing w:after="120" w:before="360"/>
      </w:pPr>
      <w:r>
        <w:rPr>
          <w:rFonts w:ascii="Arial" w:cs="Arial" w:eastAsia="Arial" w:hAnsi="Arial"/>
          <w:b/>
          <w:bCs/>
          <w:color w:val="1A237E"/>
          <w:sz w:val="36"/>
          <w:szCs w:val="36"/>
        </w:rPr>
        <w:t xml:space="preserve">Section 3 — Why These Models Were Chosen: Master Comparison</w:t>
      </w:r>
    </w:p>
    <w:p>
      <w:pPr>
        <w:pBdr>
          <w:bottom w:val="single" w:color="C5CAE9" w:sz="4" w:space="1"/>
        </w:pBdr>
        <w:spacing w:after="120" w:before="120"/>
      </w:pPr>
    </w:p>
    <w:p>
      <w:pPr>
        <w:spacing w:before="80"/>
      </w:pPr>
    </w:p>
    <w:p>
      <w:pPr>
        <w:pStyle w:val="Heading2"/>
        <w:spacing w:after="100" w:before="280"/>
      </w:pPr>
      <w:r>
        <w:rPr>
          <w:rFonts w:ascii="Arial" w:cs="Arial" w:eastAsia="Arial" w:hAnsi="Arial"/>
          <w:b/>
          <w:bCs/>
          <w:color w:val="283593"/>
          <w:sz w:val="28"/>
          <w:szCs w:val="28"/>
        </w:rPr>
        <w:t xml:space="preserve">3.1 — Forecasting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80"/>
        <w:gridCol w:w="2480"/>
      </w:tblGrid>
      <w:tr>
        <w:trPr>
          <w:tblHeader/>
        </w:trPr>
        <w:tc>
          <w:tcPr>
            <w:tcW w:type="dxa" w:w="24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w:t>
            </w:r>
          </w:p>
        </w:tc>
        <w:tc>
          <w:tcPr>
            <w:tcW w:type="dxa" w:w="20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248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Why Suitable</w:t>
            </w:r>
          </w:p>
        </w:tc>
        <w:tc>
          <w:tcPr>
            <w:tcW w:type="dxa" w:w="248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Why Not Default Choice</w:t>
            </w:r>
          </w:p>
        </w:tc>
      </w:tr>
      <w:tr>
        <w:tc>
          <w:tcPr>
            <w:tcW w:type="dxa" w:w="240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bCs/>
                <w:color w:val="000000"/>
                <w:sz w:val="20"/>
                <w:szCs w:val="20"/>
              </w:rPr>
              <w:t xml:space="preserve">ARIMA</w:t>
            </w:r>
          </w:p>
        </w:tc>
        <w:tc>
          <w:tcPr>
            <w:tcW w:type="dxa" w:w="200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Chosen (P1 baseline)</w:t>
            </w:r>
          </w:p>
        </w:tc>
        <w:tc>
          <w:tcPr>
            <w:tcW w:type="dxa" w:w="248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Standard for annual macro data. Interpretable. Works with 50 rows.</w:t>
            </w:r>
          </w:p>
        </w:tc>
        <w:tc>
          <w:tcPr>
            <w:tcW w:type="dxa" w:w="248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Can give flat forecasts when no autocorrelation in differenced series.</w:t>
            </w:r>
          </w:p>
        </w:tc>
      </w:tr>
      <w:tr>
        <w:tc>
          <w:tcPr>
            <w:tcW w:type="dxa" w:w="2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SARIMA</w:t>
            </w:r>
          </w:p>
        </w:tc>
        <w:tc>
          <w:tcPr>
            <w:tcW w:type="dxa" w:w="2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Chosen (P2 upgrade)</w:t>
            </w:r>
          </w:p>
        </w:tc>
        <w:tc>
          <w:tcPr>
            <w:tcW w:type="dxa" w:w="24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Adds business cycle seasonality. More dynamic forecasts. Lower MAE.</w:t>
            </w:r>
          </w:p>
        </w:tc>
        <w:tc>
          <w:tcPr>
            <w:tcW w:type="dxa" w:w="24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More parameters. Seasonality assumption may not perfectly match.</w:t>
            </w:r>
          </w:p>
        </w:tc>
      </w:tr>
      <w:tr>
        <w:tc>
          <w:tcPr>
            <w:tcW w:type="dxa" w:w="240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bCs/>
                <w:color w:val="000000"/>
                <w:sz w:val="20"/>
                <w:szCs w:val="20"/>
              </w:rPr>
              <w:t xml:space="preserve">Prophet</w:t>
            </w:r>
          </w:p>
        </w:tc>
        <w:tc>
          <w:tcPr>
            <w:tcW w:type="dxa" w:w="200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Chosen (P2 upgrade)</w:t>
            </w:r>
          </w:p>
        </w:tc>
        <w:tc>
          <w:tcPr>
            <w:tcW w:type="dxa" w:w="248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Handles structural breaks (1991, 2020). Best for regime-shifting data.</w:t>
            </w:r>
          </w:p>
        </w:tc>
        <w:tc>
          <w:tcPr>
            <w:tcW w:type="dxa" w:w="248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Requires separate installation. Slight black-box on change-points.</w:t>
            </w:r>
          </w:p>
        </w:tc>
      </w:tr>
      <w:tr>
        <w:tc>
          <w:tcPr>
            <w:tcW w:type="dxa" w:w="2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LSTM</w:t>
            </w:r>
          </w:p>
        </w:tc>
        <w:tc>
          <w:tcPr>
            <w:tcW w:type="dxa" w:w="2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Rejected</w:t>
            </w:r>
          </w:p>
        </w:tc>
        <w:tc>
          <w:tcPr>
            <w:tcW w:type="dxa" w:w="24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State-of-the-art for long sequences.</w:t>
            </w:r>
          </w:p>
        </w:tc>
        <w:tc>
          <w:tcPr>
            <w:tcW w:type="dxa" w:w="24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Needs 500+ data points. 50 annual rows = severe overfitting.</w:t>
            </w:r>
          </w:p>
        </w:tc>
      </w:tr>
      <w:tr>
        <w:tc>
          <w:tcPr>
            <w:tcW w:type="dxa" w:w="240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bCs/>
                <w:color w:val="000000"/>
                <w:sz w:val="20"/>
                <w:szCs w:val="20"/>
              </w:rPr>
              <w:t xml:space="preserve">Transformer / TFT</w:t>
            </w:r>
          </w:p>
        </w:tc>
        <w:tc>
          <w:tcPr>
            <w:tcW w:type="dxa" w:w="200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Rejected</w:t>
            </w:r>
          </w:p>
        </w:tc>
        <w:tc>
          <w:tcPr>
            <w:tcW w:type="dxa" w:w="248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Excellent for multi-variate high-frequency data.</w:t>
            </w:r>
          </w:p>
        </w:tc>
        <w:tc>
          <w:tcPr>
            <w:tcW w:type="dxa" w:w="248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Completely overkill for annual economic data.</w:t>
            </w:r>
          </w:p>
        </w:tc>
      </w:tr>
      <w:tr>
        <w:tc>
          <w:tcPr>
            <w:tcW w:type="dxa" w:w="2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ETS</w:t>
            </w:r>
          </w:p>
        </w:tc>
        <w:tc>
          <w:tcPr>
            <w:tcW w:type="dxa" w:w="2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Not used</w:t>
            </w:r>
          </w:p>
        </w:tc>
        <w:tc>
          <w:tcPr>
            <w:tcW w:type="dxa" w:w="24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Good for smooth series with clear trend/seasonality.</w:t>
            </w:r>
          </w:p>
        </w:tc>
        <w:tc>
          <w:tcPr>
            <w:tcW w:type="dxa" w:w="24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change-point detection. Less expressive than SARIMA/Prophet.</w:t>
            </w:r>
          </w:p>
        </w:tc>
      </w:tr>
    </w:tbl>
    <w:p>
      <w:pPr>
        <w:spacing w:before="160"/>
      </w:pPr>
    </w:p>
    <w:p>
      <w:pPr>
        <w:pStyle w:val="Heading2"/>
        <w:spacing w:after="100" w:before="280"/>
      </w:pPr>
      <w:r>
        <w:rPr>
          <w:rFonts w:ascii="Arial" w:cs="Arial" w:eastAsia="Arial" w:hAnsi="Arial"/>
          <w:b/>
          <w:bCs/>
          <w:color w:val="283593"/>
          <w:sz w:val="28"/>
          <w:szCs w:val="28"/>
        </w:rPr>
        <w:t xml:space="preserve">3.2 — Regression / Prediction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80"/>
        <w:gridCol w:w="2480"/>
      </w:tblGrid>
      <w:tr>
        <w:trPr>
          <w:tblHeader/>
        </w:trPr>
        <w:tc>
          <w:tcPr>
            <w:tcW w:type="dxa" w:w="24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w:t>
            </w:r>
          </w:p>
        </w:tc>
        <w:tc>
          <w:tcPr>
            <w:tcW w:type="dxa" w:w="20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248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Why Suitable</w:t>
            </w:r>
          </w:p>
        </w:tc>
        <w:tc>
          <w:tcPr>
            <w:tcW w:type="dxa" w:w="248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Limitation</w:t>
            </w:r>
          </w:p>
        </w:tc>
      </w:tr>
      <w:tr>
        <w:tc>
          <w:tcPr>
            <w:tcW w:type="dxa" w:w="240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bCs/>
                <w:color w:val="000000"/>
                <w:sz w:val="20"/>
                <w:szCs w:val="20"/>
              </w:rPr>
              <w:t xml:space="preserve">Random Forest Regressor</w:t>
            </w:r>
          </w:p>
        </w:tc>
        <w:tc>
          <w:tcPr>
            <w:tcW w:type="dxa" w:w="200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Chosen</w:t>
            </w:r>
          </w:p>
        </w:tc>
        <w:tc>
          <w:tcPr>
            <w:tcW w:type="dxa" w:w="248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Non-linear, robust, native feature importance. Works well on 40-50 rows.</w:t>
            </w:r>
          </w:p>
        </w:tc>
        <w:tc>
          <w:tcPr>
            <w:tcW w:type="dxa" w:w="248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Cannot extrapolate beyond training distribution.</w:t>
            </w:r>
          </w:p>
        </w:tc>
      </w:tr>
      <w:tr>
        <w:tc>
          <w:tcPr>
            <w:tcW w:type="dxa" w:w="2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XGBoost Regressor</w:t>
            </w:r>
          </w:p>
        </w:tc>
        <w:tc>
          <w:tcPr>
            <w:tcW w:type="dxa" w:w="2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Chosen (if available)</w:t>
            </w:r>
          </w:p>
        </w:tc>
        <w:tc>
          <w:tcPr>
            <w:tcW w:type="dxa" w:w="24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Highest accuracy on tabular data. Regularised to prevent overfitting.</w:t>
            </w:r>
          </w:p>
        </w:tc>
        <w:tc>
          <w:tcPr>
            <w:tcW w:type="dxa" w:w="24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More hyperparameters. Slightly harder to tune.</w:t>
            </w:r>
          </w:p>
        </w:tc>
      </w:tr>
      <w:tr>
        <w:tc>
          <w:tcPr>
            <w:tcW w:type="dxa" w:w="240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bCs/>
                <w:color w:val="000000"/>
                <w:sz w:val="20"/>
                <w:szCs w:val="20"/>
              </w:rPr>
              <w:t xml:space="preserve">Linear Regression</w:t>
            </w:r>
          </w:p>
        </w:tc>
        <w:tc>
          <w:tcPr>
            <w:tcW w:type="dxa" w:w="200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Chosen (baseline + insight)</w:t>
            </w:r>
          </w:p>
        </w:tc>
        <w:tc>
          <w:tcPr>
            <w:tcW w:type="dxa" w:w="248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Coefficients are directly interpretable by economists.</w:t>
            </w:r>
          </w:p>
        </w:tc>
        <w:tc>
          <w:tcPr>
            <w:tcW w:type="dxa" w:w="248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Assumes linearity. May miss complex interactions.</w:t>
            </w:r>
          </w:p>
        </w:tc>
      </w:tr>
      <w:tr>
        <w:tc>
          <w:tcPr>
            <w:tcW w:type="dxa" w:w="2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Ridge / Lasso</w:t>
            </w:r>
          </w:p>
        </w:tc>
        <w:tc>
          <w:tcPr>
            <w:tcW w:type="dxa" w:w="2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Not used</w:t>
            </w:r>
          </w:p>
        </w:tc>
        <w:tc>
          <w:tcPr>
            <w:tcW w:type="dxa" w:w="24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Handles multicollinearity through regularisation.</w:t>
            </w:r>
          </w:p>
        </w:tc>
        <w:tc>
          <w:tcPr>
            <w:tcW w:type="dxa" w:w="24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With 8 features, multicollinearity is manageable without penalty terms.</w:t>
            </w:r>
          </w:p>
        </w:tc>
      </w:tr>
      <w:tr>
        <w:tc>
          <w:tcPr>
            <w:tcW w:type="dxa" w:w="240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bCs/>
                <w:color w:val="000000"/>
                <w:sz w:val="20"/>
                <w:szCs w:val="20"/>
              </w:rPr>
              <w:t xml:space="preserve">SVR</w:t>
            </w:r>
          </w:p>
        </w:tc>
        <w:tc>
          <w:tcPr>
            <w:tcW w:type="dxa" w:w="200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Not used</w:t>
            </w:r>
          </w:p>
        </w:tc>
        <w:tc>
          <w:tcPr>
            <w:tcW w:type="dxa" w:w="248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Works in high-dimensional spaces.</w:t>
            </w:r>
          </w:p>
        </w:tc>
        <w:tc>
          <w:tcPr>
            <w:tcW w:type="dxa" w:w="248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Kernel choice is arbitrary. Less interpretable than the three used.</w:t>
            </w:r>
          </w:p>
        </w:tc>
      </w:tr>
      <w:tr>
        <w:tc>
          <w:tcPr>
            <w:tcW w:type="dxa" w:w="2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Neural Network</w:t>
            </w:r>
          </w:p>
        </w:tc>
        <w:tc>
          <w:tcPr>
            <w:tcW w:type="dxa" w:w="2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Rejected</w:t>
            </w:r>
          </w:p>
        </w:tc>
        <w:tc>
          <w:tcPr>
            <w:tcW w:type="dxa" w:w="24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Can model any function.</w:t>
            </w:r>
          </w:p>
        </w:tc>
        <w:tc>
          <w:tcPr>
            <w:tcW w:type="dxa" w:w="24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50 data points + 8 features = guaranteed overfitting.</w:t>
            </w:r>
          </w:p>
        </w:tc>
      </w:tr>
    </w:tbl>
    <w:p>
      <w:pPr>
        <w:spacing w:before="160"/>
      </w:pPr>
    </w:p>
    <w:p>
      <w:pPr>
        <w:pStyle w:val="Heading2"/>
        <w:spacing w:after="100" w:before="280"/>
      </w:pPr>
      <w:r>
        <w:rPr>
          <w:rFonts w:ascii="Arial" w:cs="Arial" w:eastAsia="Arial" w:hAnsi="Arial"/>
          <w:b/>
          <w:bCs/>
          <w:color w:val="283593"/>
          <w:sz w:val="28"/>
          <w:szCs w:val="28"/>
        </w:rPr>
        <w:t xml:space="preserve">3.3 — Classification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80"/>
        <w:gridCol w:w="2480"/>
      </w:tblGrid>
      <w:tr>
        <w:trPr>
          <w:tblHeader/>
        </w:trPr>
        <w:tc>
          <w:tcPr>
            <w:tcW w:type="dxa" w:w="24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w:t>
            </w:r>
          </w:p>
        </w:tc>
        <w:tc>
          <w:tcPr>
            <w:tcW w:type="dxa" w:w="20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248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Why Suitable</w:t>
            </w:r>
          </w:p>
        </w:tc>
        <w:tc>
          <w:tcPr>
            <w:tcW w:type="dxa" w:w="248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Limitation</w:t>
            </w:r>
          </w:p>
        </w:tc>
      </w:tr>
      <w:tr>
        <w:tc>
          <w:tcPr>
            <w:tcW w:type="dxa" w:w="240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bCs/>
                <w:color w:val="000000"/>
                <w:sz w:val="20"/>
                <w:szCs w:val="20"/>
              </w:rPr>
              <w:t xml:space="preserve">Decision Tree</w:t>
            </w:r>
          </w:p>
        </w:tc>
        <w:tc>
          <w:tcPr>
            <w:tcW w:type="dxa" w:w="200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Chosen</w:t>
            </w:r>
          </w:p>
        </w:tc>
        <w:tc>
          <w:tcPr>
            <w:tcW w:type="dxa" w:w="248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Creates transparent if-else rules. Fully explainable. Good for structured categories.</w:t>
            </w:r>
          </w:p>
        </w:tc>
        <w:tc>
          <w:tcPr>
            <w:tcW w:type="dxa" w:w="248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Prone to overfitting on small datasets; mitigated by max_depth=5.</w:t>
            </w:r>
          </w:p>
        </w:tc>
      </w:tr>
      <w:tr>
        <w:tc>
          <w:tcPr>
            <w:tcW w:type="dxa" w:w="2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Random Forest Classifier</w:t>
            </w:r>
          </w:p>
        </w:tc>
        <w:tc>
          <w:tcPr>
            <w:tcW w:type="dxa" w:w="2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Chosen</w:t>
            </w:r>
          </w:p>
        </w:tc>
        <w:tc>
          <w:tcPr>
            <w:tcW w:type="dxa" w:w="24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Highest accuracy via ensemble voting. Robust to class imbalance.</w:t>
            </w:r>
          </w:p>
        </w:tc>
        <w:tc>
          <w:tcPr>
            <w:tcW w:type="dxa" w:w="24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Less interpretable than single Decision Tree.</w:t>
            </w:r>
          </w:p>
        </w:tc>
      </w:tr>
      <w:tr>
        <w:tc>
          <w:tcPr>
            <w:tcW w:type="dxa" w:w="240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bCs/>
                <w:color w:val="000000"/>
                <w:sz w:val="20"/>
                <w:szCs w:val="20"/>
              </w:rPr>
              <w:t xml:space="preserve">Logistic Regression</w:t>
            </w:r>
          </w:p>
        </w:tc>
        <w:tc>
          <w:tcPr>
            <w:tcW w:type="dxa" w:w="200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Chosen</w:t>
            </w:r>
          </w:p>
        </w:tc>
        <w:tc>
          <w:tcPr>
            <w:tcW w:type="dxa" w:w="248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Probabilistic output. Multi-class via one-vs-rest. Fast baseline.</w:t>
            </w:r>
          </w:p>
        </w:tc>
        <w:tc>
          <w:tcPr>
            <w:tcW w:type="dxa" w:w="248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Assumes linear decision boundaries in EHI space.</w:t>
            </w:r>
          </w:p>
        </w:tc>
      </w:tr>
      <w:tr>
        <w:tc>
          <w:tcPr>
            <w:tcW w:type="dxa" w:w="2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SVM Classifier</w:t>
            </w:r>
          </w:p>
        </w:tc>
        <w:tc>
          <w:tcPr>
            <w:tcW w:type="dxa" w:w="2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Not used</w:t>
            </w:r>
          </w:p>
        </w:tc>
        <w:tc>
          <w:tcPr>
            <w:tcW w:type="dxa" w:w="24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Good for binary classification with clear margin.</w:t>
            </w:r>
          </w:p>
        </w:tc>
        <w:tc>
          <w:tcPr>
            <w:tcW w:type="dxa" w:w="24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Multi-class SVM requires more careful kernel tuning.</w:t>
            </w:r>
          </w:p>
        </w:tc>
      </w:tr>
      <w:tr>
        <w:tc>
          <w:tcPr>
            <w:tcW w:type="dxa" w:w="240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bCs/>
                <w:color w:val="000000"/>
                <w:sz w:val="20"/>
                <w:szCs w:val="20"/>
              </w:rPr>
              <w:t xml:space="preserve">KNN Classifier</w:t>
            </w:r>
          </w:p>
        </w:tc>
        <w:tc>
          <w:tcPr>
            <w:tcW w:type="dxa" w:w="200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Not used</w:t>
            </w:r>
          </w:p>
        </w:tc>
        <w:tc>
          <w:tcPr>
            <w:tcW w:type="dxa" w:w="248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Simple, no training phase.</w:t>
            </w:r>
          </w:p>
        </w:tc>
        <w:tc>
          <w:tcPr>
            <w:tcW w:type="dxa" w:w="248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Very sensitive to the distance metric. Not robust for 50 rows.</w:t>
            </w:r>
          </w:p>
        </w:tc>
      </w:tr>
      <w:tr>
        <w:tc>
          <w:tcPr>
            <w:tcW w:type="dxa" w:w="2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Naive Bayes</w:t>
            </w:r>
          </w:p>
        </w:tc>
        <w:tc>
          <w:tcPr>
            <w:tcW w:type="dxa" w:w="2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Not used</w:t>
            </w:r>
          </w:p>
        </w:tc>
        <w:tc>
          <w:tcPr>
            <w:tcW w:type="dxa" w:w="24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Fast and simple.</w:t>
            </w:r>
          </w:p>
        </w:tc>
        <w:tc>
          <w:tcPr>
            <w:tcW w:type="dxa" w:w="24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Assumes feature independence which is violated here (EHI = single feature, so any classifier is equivalent).</w:t>
            </w:r>
          </w:p>
        </w:tc>
      </w:tr>
    </w:tbl>
    <w:p>
      <w:pPr>
        <w:spacing w:before="160"/>
      </w:pPr>
    </w:p>
    <w:p>
      <w:pPr>
        <w:pStyle w:val="Heading2"/>
        <w:spacing w:after="100" w:before="280"/>
      </w:pPr>
      <w:r>
        <w:rPr>
          <w:rFonts w:ascii="Arial" w:cs="Arial" w:eastAsia="Arial" w:hAnsi="Arial"/>
          <w:b/>
          <w:bCs/>
          <w:color w:val="283593"/>
          <w:sz w:val="28"/>
          <w:szCs w:val="28"/>
        </w:rPr>
        <w:t xml:space="preserve">3.4 — Statistical Tests and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12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does</w:t>
            </w:r>
          </w:p>
        </w:tc>
        <w:tc>
          <w:tcPr>
            <w:tcW w:type="dxa" w:w="312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Why chosen over alternatives</w:t>
            </w:r>
          </w:p>
        </w:tc>
      </w:tr>
      <w:tr>
        <w:tc>
          <w:tcPr>
            <w:tcW w:type="dxa" w:w="312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bCs/>
                <w:color w:val="000000"/>
                <w:sz w:val="20"/>
                <w:szCs w:val="20"/>
              </w:rPr>
              <w:t xml:space="preserve">ADF Test</w:t>
            </w:r>
          </w:p>
        </w:tc>
        <w:tc>
          <w:tcPr>
            <w:tcW w:type="dxa" w:w="312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Tests whether a time series has a unit root (is non-stationary). Required before ARIMA to determine the d parameter.</w:t>
            </w:r>
          </w:p>
        </w:tc>
        <w:tc>
          <w:tcPr>
            <w:tcW w:type="dxa" w:w="312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Pearson correlation, lag analysis, and ARIMA fitting all assume or require stationarity. The ADF test is the standard gating step.</w:t>
            </w:r>
          </w:p>
        </w:tc>
      </w:tr>
      <w:tr>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Pearson Correlation</w:t>
            </w:r>
          </w:p>
        </w:tc>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Measures linear co-movement between two variables (-1 to +1). Used in heatmaps and cross-country comparisons.</w:t>
            </w:r>
          </w:p>
        </w:tc>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Chosen over Spearman because the relationships between macroeconomic indicators are expected to be linear. Spearman would be used for ordinal or highly skewed data.</w:t>
            </w:r>
          </w:p>
        </w:tc>
      </w:tr>
      <w:tr>
        <w:tc>
          <w:tcPr>
            <w:tcW w:type="dxa" w:w="312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bCs/>
                <w:color w:val="000000"/>
                <w:sz w:val="20"/>
                <w:szCs w:val="20"/>
              </w:rPr>
              <w:t xml:space="preserve">Granger Causality</w:t>
            </w:r>
          </w:p>
        </w:tc>
        <w:tc>
          <w:tcPr>
            <w:tcW w:type="dxa" w:w="312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Tests whether one time series has statistically significant predictive power for another, beyond the target's own history.</w:t>
            </w:r>
          </w:p>
        </w:tc>
        <w:tc>
          <w:tcPr>
            <w:tcW w:type="dxa" w:w="312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Chosen because it controls for autocorrelation in the dependent series — something simple correlation cannot do. Standard in econometrics for cross-country analysis.</w:t>
            </w:r>
          </w:p>
        </w:tc>
      </w:tr>
      <w:tr>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Min-Max Normalisation</w:t>
            </w:r>
          </w:p>
        </w:tc>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Rescales any numeric range to [0, 1]. Applied to EHI scores and proxy sentiment scores.</w:t>
            </w:r>
          </w:p>
        </w:tc>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Chosen over Z-score normalisation because [0,1] is more interpretable for non-technical stakeholders and EHI score comparison across countries.</w:t>
            </w:r>
          </w:p>
        </w:tc>
      </w:tr>
    </w:tbl>
    <w:p>
      <w:r>
        <w:br w:type="page"/>
      </w:r>
    </w:p>
    <w:p>
      <w:pPr>
        <w:pStyle w:val="Heading1"/>
        <w:spacing w:after="120" w:before="360"/>
      </w:pPr>
      <w:r>
        <w:rPr>
          <w:rFonts w:ascii="Arial" w:cs="Arial" w:eastAsia="Arial" w:hAnsi="Arial"/>
          <w:b/>
          <w:bCs/>
          <w:color w:val="1A237E"/>
          <w:sz w:val="36"/>
          <w:szCs w:val="36"/>
        </w:rPr>
        <w:t xml:space="preserve">Section 4 — Output Interpretation Quick Reference</w:t>
      </w:r>
    </w:p>
    <w:p>
      <w:pPr>
        <w:spacing w:after="100" w:before="60"/>
      </w:pPr>
      <w:r>
        <w:rPr>
          <w:rFonts w:ascii="Arial" w:cs="Arial" w:eastAsia="Arial" w:hAnsi="Arial"/>
          <w:b w:val="false"/>
          <w:bCs w:val="false"/>
          <w:color w:val="546E7A"/>
          <w:sz w:val="22"/>
          <w:szCs w:val="22"/>
        </w:rPr>
        <w:t xml:space="preserve">Use this section as a fast reference when reading the dashboard charts.</w:t>
      </w:r>
    </w:p>
    <w:p>
      <w:pPr>
        <w:spacing w:before="100"/>
      </w:pPr>
    </w:p>
    <w:p>
      <w:pPr>
        <w:pStyle w:val="Heading2"/>
        <w:spacing w:after="100" w:before="280"/>
      </w:pPr>
      <w:r>
        <w:rPr>
          <w:rFonts w:ascii="Arial" w:cs="Arial" w:eastAsia="Arial" w:hAnsi="Arial"/>
          <w:b/>
          <w:bCs/>
          <w:color w:val="283593"/>
          <w:sz w:val="28"/>
          <w:szCs w:val="28"/>
        </w:rPr>
        <w:t xml:space="preserve">4.1 — How to Read Each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12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Range</w:t>
            </w:r>
          </w:p>
        </w:tc>
        <w:tc>
          <w:tcPr>
            <w:tcW w:type="dxa" w:w="312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How to interpret it</w:t>
            </w:r>
          </w:p>
        </w:tc>
      </w:tr>
      <w:tr>
        <w:tc>
          <w:tcPr>
            <w:tcW w:type="dxa" w:w="312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bCs/>
                <w:color w:val="000000"/>
                <w:sz w:val="20"/>
                <w:szCs w:val="20"/>
              </w:rPr>
              <w:t xml:space="preserve">R² Score (Regression)</w:t>
            </w:r>
          </w:p>
        </w:tc>
        <w:tc>
          <w:tcPr>
            <w:tcW w:type="dxa" w:w="312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 to 1 (higher = better)</w:t>
            </w:r>
          </w:p>
        </w:tc>
        <w:tc>
          <w:tcPr>
            <w:tcW w:type="dxa" w:w="312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0.80 means the model explains 80% of the variance in GDP growth. Below 0.5 = weak model.</w:t>
            </w:r>
          </w:p>
        </w:tc>
      </w:tr>
      <w:tr>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MAE (Regression / Forecast)</w:t>
            </w:r>
          </w:p>
        </w:tc>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Same units as target (e.g. %)</w:t>
            </w:r>
          </w:p>
        </w:tc>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An MAE of 1.5 means average prediction error = 1.5 percentage points. Lower = better.</w:t>
            </w:r>
          </w:p>
        </w:tc>
      </w:tr>
      <w:tr>
        <w:tc>
          <w:tcPr>
            <w:tcW w:type="dxa" w:w="312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bCs/>
                <w:color w:val="000000"/>
                <w:sz w:val="20"/>
                <w:szCs w:val="20"/>
              </w:rPr>
              <w:t xml:space="preserve">RMSE (Regression)</w:t>
            </w:r>
          </w:p>
        </w:tc>
        <w:tc>
          <w:tcPr>
            <w:tcW w:type="dxa" w:w="312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Same units as target</w:t>
            </w:r>
          </w:p>
        </w:tc>
        <w:tc>
          <w:tcPr>
            <w:tcW w:type="dxa" w:w="312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Like MAE but penalises large errors more. If RMSE &gt;&gt; MAE, the model makes occasional very large errors.</w:t>
            </w:r>
          </w:p>
        </w:tc>
      </w:tr>
      <w:tr>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ADF p-value</w:t>
            </w:r>
          </w:p>
        </w:tc>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 to 1</w:t>
            </w:r>
          </w:p>
        </w:tc>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Below 0.05 = stationary (good). Above 0.05 = unit root present, must difference before ARIMA.</w:t>
            </w:r>
          </w:p>
        </w:tc>
      </w:tr>
      <w:tr>
        <w:tc>
          <w:tcPr>
            <w:tcW w:type="dxa" w:w="312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bCs/>
                <w:color w:val="000000"/>
                <w:sz w:val="20"/>
                <w:szCs w:val="20"/>
              </w:rPr>
              <w:t xml:space="preserve">EHI Score</w:t>
            </w:r>
          </w:p>
        </w:tc>
        <w:tc>
          <w:tcPr>
            <w:tcW w:type="dxa" w:w="312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 to 1</w:t>
            </w:r>
          </w:p>
        </w:tc>
        <w:tc>
          <w:tcPr>
            <w:tcW w:type="dxa" w:w="312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0.70+ = Strong, 0.45–0.70 = Stable, 0.25–0.45 = Risky, below 0.25 = Recession.</w:t>
            </w:r>
          </w:p>
        </w:tc>
      </w:tr>
      <w:tr>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Pearson r</w:t>
            </w:r>
          </w:p>
        </w:tc>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 to +1</w:t>
            </w:r>
          </w:p>
        </w:tc>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Above 0.7 = strong positive. Below -0.7 = strong negative. Near 0 = no relationship.</w:t>
            </w:r>
          </w:p>
        </w:tc>
      </w:tr>
      <w:tr>
        <w:tc>
          <w:tcPr>
            <w:tcW w:type="dxa" w:w="312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bCs/>
                <w:color w:val="000000"/>
                <w:sz w:val="20"/>
                <w:szCs w:val="20"/>
              </w:rPr>
              <w:t xml:space="preserve">Granger p-value</w:t>
            </w:r>
          </w:p>
        </w:tc>
        <w:tc>
          <w:tcPr>
            <w:tcW w:type="dxa" w:w="312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 to 1</w:t>
            </w:r>
          </w:p>
        </w:tc>
        <w:tc>
          <w:tcPr>
            <w:tcW w:type="dxa" w:w="312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Below 0.05 = the foreign country's GDP significantly predicts India's GDP.</w:t>
            </w:r>
          </w:p>
        </w:tc>
      </w:tr>
      <w:tr>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Accuracy (Classification)</w:t>
            </w:r>
          </w:p>
        </w:tc>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 to 100%</w:t>
            </w:r>
          </w:p>
        </w:tc>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80% means 8 out of 10 test years were classified correctly.</w:t>
            </w:r>
          </w:p>
        </w:tc>
      </w:tr>
      <w:tr>
        <w:tc>
          <w:tcPr>
            <w:tcW w:type="dxa" w:w="312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bCs/>
                <w:color w:val="000000"/>
                <w:sz w:val="20"/>
                <w:szCs w:val="20"/>
              </w:rPr>
              <w:t xml:space="preserve">Confusion Matrix diagonal</w:t>
            </w:r>
          </w:p>
        </w:tc>
        <w:tc>
          <w:tcPr>
            <w:tcW w:type="dxa" w:w="312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Count</w:t>
            </w:r>
          </w:p>
        </w:tc>
        <w:tc>
          <w:tcPr>
            <w:tcW w:type="dxa" w:w="312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Diagonal = correct predictions. Off-diagonal = wrong. Darker diagonal = better model.</w:t>
            </w:r>
          </w:p>
        </w:tc>
      </w:tr>
      <w:tr>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Proxy Sentiment Score</w:t>
            </w:r>
          </w:p>
        </w:tc>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 to 1</w:t>
            </w:r>
          </w:p>
        </w:tc>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Above 0.5 = positive economic momentum. Below 0.5 = stress building. Dips precede GDP falls.</w:t>
            </w:r>
          </w:p>
        </w:tc>
      </w:tr>
    </w:tbl>
    <w:p>
      <w:pPr>
        <w:spacing w:before="160"/>
      </w:pPr>
    </w:p>
    <w:p>
      <w:pPr>
        <w:pStyle w:val="Heading2"/>
        <w:spacing w:after="100" w:before="280"/>
      </w:pPr>
      <w:r>
        <w:rPr>
          <w:rFonts w:ascii="Arial" w:cs="Arial" w:eastAsia="Arial" w:hAnsi="Arial"/>
          <w:b/>
          <w:bCs/>
          <w:color w:val="283593"/>
          <w:sz w:val="28"/>
          <w:szCs w:val="28"/>
        </w:rPr>
        <w:t xml:space="preserve">4.2 — How to Read the Forecast Charts</w:t>
      </w:r>
    </w:p>
    <w:p>
      <w:pPr>
        <w:pStyle w:val="ListParagraph"/>
        <w:numPr>
          <w:ilvl w:val="0"/>
          <w:numId w:val="2"/>
        </w:numPr>
        <w:spacing w:after="40" w:before="40"/>
      </w:pPr>
      <w:r>
        <w:rPr>
          <w:rFonts w:ascii="Arial" w:cs="Arial" w:eastAsia="Arial" w:hAnsi="Arial"/>
          <w:b w:val="false"/>
          <w:bCs w:val="false"/>
          <w:color w:val="333333"/>
          <w:sz w:val="22"/>
          <w:szCs w:val="22"/>
        </w:rPr>
        <w:t xml:space="preserve">Blue solid line — actual historical data. This is ground truth.</w:t>
      </w:r>
    </w:p>
    <w:p>
      <w:pPr>
        <w:pStyle w:val="ListParagraph"/>
        <w:numPr>
          <w:ilvl w:val="0"/>
          <w:numId w:val="2"/>
        </w:numPr>
        <w:spacing w:after="40" w:before="40"/>
      </w:pPr>
      <w:r>
        <w:rPr>
          <w:rFonts w:ascii="Arial" w:cs="Arial" w:eastAsia="Arial" w:hAnsi="Arial"/>
          <w:b w:val="false"/>
          <w:bCs w:val="false"/>
          <w:color w:val="333333"/>
          <w:sz w:val="22"/>
          <w:szCs w:val="22"/>
        </w:rPr>
        <w:t xml:space="preserve">Purple dashed line — in-sample model fit. How well the model 'remembered' the training data.</w:t>
      </w:r>
    </w:p>
    <w:p>
      <w:pPr>
        <w:pStyle w:val="ListParagraph"/>
        <w:numPr>
          <w:ilvl w:val="0"/>
          <w:numId w:val="2"/>
        </w:numPr>
        <w:spacing w:after="40" w:before="40"/>
      </w:pPr>
      <w:r>
        <w:rPr>
          <w:rFonts w:ascii="Arial" w:cs="Arial" w:eastAsia="Arial" w:hAnsi="Arial"/>
          <w:b w:val="false"/>
          <w:bCs w:val="false"/>
          <w:color w:val="333333"/>
          <w:sz w:val="22"/>
          <w:szCs w:val="22"/>
        </w:rPr>
        <w:t xml:space="preserve">Gold/Green/Red dashed line — out-of-sample forecast. These are predictions for years not in the dataset.</w:t>
      </w:r>
    </w:p>
    <w:p>
      <w:pPr>
        <w:pStyle w:val="ListParagraph"/>
        <w:numPr>
          <w:ilvl w:val="0"/>
          <w:numId w:val="2"/>
        </w:numPr>
        <w:spacing w:after="40" w:before="40"/>
      </w:pPr>
      <w:r>
        <w:rPr>
          <w:rFonts w:ascii="Arial" w:cs="Arial" w:eastAsia="Arial" w:hAnsi="Arial"/>
          <w:b w:val="false"/>
          <w:bCs w:val="false"/>
          <w:color w:val="333333"/>
          <w:sz w:val="22"/>
          <w:szCs w:val="22"/>
        </w:rPr>
        <w:t xml:space="preserve">Shaded band — confidence interval. ARIMA/SARIMA: 95% CI. Prophet: 80% CI. The actual future value should fall inside this band with the stated probability.</w:t>
      </w:r>
    </w:p>
    <w:p>
      <w:pPr>
        <w:pStyle w:val="ListParagraph"/>
        <w:numPr>
          <w:ilvl w:val="0"/>
          <w:numId w:val="2"/>
        </w:numPr>
        <w:spacing w:after="40" w:before="40"/>
      </w:pPr>
      <w:r>
        <w:rPr>
          <w:rFonts w:ascii="Arial" w:cs="Arial" w:eastAsia="Arial" w:hAnsi="Arial"/>
          <w:b w:val="false"/>
          <w:bCs w:val="false"/>
          <w:color w:val="333333"/>
          <w:sz w:val="22"/>
          <w:szCs w:val="22"/>
        </w:rPr>
        <w:t xml:space="preserve">Vertical dotted line — the boundary between history (left) and forecast (right).</w:t>
      </w:r>
    </w:p>
    <w:p>
      <w:pPr>
        <w:pStyle w:val="ListParagraph"/>
        <w:numPr>
          <w:ilvl w:val="0"/>
          <w:numId w:val="2"/>
        </w:numPr>
        <w:spacing w:after="40" w:before="40"/>
      </w:pPr>
      <w:r>
        <w:rPr>
          <w:rFonts w:ascii="Arial" w:cs="Arial" w:eastAsia="Arial" w:hAnsi="Arial"/>
          <w:b w:val="false"/>
          <w:bCs w:val="false"/>
          <w:color w:val="333333"/>
          <w:sz w:val="22"/>
          <w:szCs w:val="22"/>
        </w:rPr>
        <w:t xml:space="preserve">If the shaded band is very wide — the model is uncertain. The wider the band, the more years ahead the forecast goes, typically.</w:t>
      </w:r>
    </w:p>
    <w:p>
      <w:pPr>
        <w:spacing w:before="160"/>
      </w:pPr>
    </w:p>
    <w:p>
      <w:pPr>
        <w:pStyle w:val="Heading2"/>
        <w:spacing w:after="100" w:before="280"/>
      </w:pPr>
      <w:r>
        <w:rPr>
          <w:rFonts w:ascii="Arial" w:cs="Arial" w:eastAsia="Arial" w:hAnsi="Arial"/>
          <w:b/>
          <w:bCs/>
          <w:color w:val="283593"/>
          <w:sz w:val="28"/>
          <w:szCs w:val="28"/>
        </w:rPr>
        <w:t xml:space="preserve">4.3 — Common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312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Explanation</w:t>
            </w:r>
          </w:p>
        </w:tc>
        <w:tc>
          <w:tcPr>
            <w:tcW w:type="dxa" w:w="312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Practical implication</w:t>
            </w:r>
          </w:p>
        </w:tc>
      </w:tr>
      <w:tr>
        <w:tc>
          <w:tcPr>
            <w:tcW w:type="dxa" w:w="312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bCs/>
                <w:color w:val="000000"/>
                <w:sz w:val="20"/>
                <w:szCs w:val="20"/>
              </w:rPr>
              <w:t xml:space="preserve">Why is the ARIMA forecast flat?</w:t>
            </w:r>
          </w:p>
        </w:tc>
        <w:tc>
          <w:tcPr>
            <w:tcW w:type="dxa" w:w="312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differenced series has no exploitable autocorrelation</w:t>
            </w:r>
          </w:p>
        </w:tc>
        <w:tc>
          <w:tcPr>
            <w:tcW w:type="dxa" w:w="312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 SARIMA or Prophet from P2 Tab 3 for more dynamic forecasts.</w:t>
            </w:r>
          </w:p>
        </w:tc>
      </w:tr>
      <w:tr>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Why is model accuracy low in Classification?</w:t>
            </w:r>
          </w:p>
        </w:tc>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Only 50 data points and 4 classes leaves very few test samples</w:t>
            </w:r>
          </w:p>
        </w:tc>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classification is still valid — it demonstrates the concept. Real-world deployment would use more granular data.</w:t>
            </w:r>
          </w:p>
        </w:tc>
      </w:tr>
      <w:tr>
        <w:tc>
          <w:tcPr>
            <w:tcW w:type="dxa" w:w="312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bCs/>
                <w:color w:val="000000"/>
                <w:sz w:val="20"/>
                <w:szCs w:val="20"/>
              </w:rPr>
              <w:t xml:space="preserve">Why does Feature Importance differ between RF and XGBoost?</w:t>
            </w:r>
          </w:p>
        </w:tc>
        <w:tc>
          <w:tcPr>
            <w:tcW w:type="dxa" w:w="312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They calculate importance differently (RF: Gini impurity reduction; XGBoost: gradient-based gain)</w:t>
            </w:r>
          </w:p>
        </w:tc>
        <w:tc>
          <w:tcPr>
            <w:tcW w:type="dxa" w:w="312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Both are correct within their own framework. The feature that ranks top in both is the most reliably important.</w:t>
            </w:r>
          </w:p>
        </w:tc>
      </w:tr>
      <w:tr>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What does 'Granger-causes' mean in practice?</w:t>
            </w:r>
          </w:p>
        </w:tc>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X's past values help predict India's future GDP beyond India's own history</w:t>
            </w:r>
          </w:p>
        </w:tc>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 this to identify which countries to watch as leading indicators for India's next year GDP.</w:t>
            </w:r>
          </w:p>
        </w:tc>
      </w:tr>
      <w:tr>
        <w:tc>
          <w:tcPr>
            <w:tcW w:type="dxa" w:w="312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bCs/>
                <w:color w:val="000000"/>
                <w:sz w:val="20"/>
                <w:szCs w:val="20"/>
              </w:rPr>
              <w:t xml:space="preserve">How is the Proxy Sentiment Score useful if it uses economic data?</w:t>
            </w:r>
          </w:p>
        </w:tc>
        <w:tc>
          <w:tcPr>
            <w:tcW w:type="dxa" w:w="312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Rate-of-change signals (d/dt) move faster than level signals</w:t>
            </w:r>
          </w:p>
        </w:tc>
        <w:tc>
          <w:tcPr>
            <w:tcW w:type="dxa" w:w="3120"/>
            <w:tcBorders>
              <w:top w:val="single" w:color="C5CAE9" w:sz="1"/>
              <w:left w:val="single" w:color="C5CAE9" w:sz="1"/>
              <w:bottom w:val="single" w:color="C5CAE9" w:sz="1"/>
              <w:right w:val="single" w:color="C5CAE9" w:sz="1"/>
            </w:tcBorders>
            <w:shd w:fill="F8F9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Inflation change is often available 3–6 months before annual GDP data is finalised. The proxy exploits this timing difference.</w:t>
            </w:r>
          </w:p>
        </w:tc>
      </w:tr>
    </w:tbl>
    <w:p>
      <w:r>
        <w:br w:type="page"/>
      </w:r>
    </w:p>
    <w:p>
      <w:pPr>
        <w:spacing w:before="400"/>
      </w:pPr>
    </w:p>
    <w:p>
      <w:pPr>
        <w:pBdr>
          <w:bottom w:val="single" w:color="C5CAE9" w:sz="4" w:space="1"/>
        </w:pBdr>
        <w:spacing w:after="120" w:before="120"/>
      </w:pPr>
    </w:p>
    <w:p>
      <w:pPr>
        <w:spacing w:after="60" w:before="200"/>
        <w:jc w:val="center"/>
      </w:pPr>
      <w:r>
        <w:rPr>
          <w:rFonts w:ascii="Arial" w:cs="Arial" w:eastAsia="Arial" w:hAnsi="Arial"/>
          <w:b/>
          <w:bCs/>
          <w:color w:val="1A237E"/>
          <w:sz w:val="24"/>
          <w:szCs w:val="24"/>
        </w:rPr>
        <w:t xml:space="preserve">Economic Intelligence System — Project 1 + Project 2</w:t>
      </w:r>
    </w:p>
    <w:p>
      <w:pPr>
        <w:spacing w:after="40" w:before="40"/>
        <w:jc w:val="center"/>
      </w:pPr>
      <w:r>
        <w:rPr>
          <w:rFonts w:ascii="Arial" w:cs="Arial" w:eastAsia="Arial" w:hAnsi="Arial"/>
          <w:color w:val="546E7A"/>
          <w:sz w:val="20"/>
          <w:szCs w:val="20"/>
        </w:rPr>
        <w:t xml:space="preserve">India 50-Year Analysis | Multi-Country Comparative Platform</w:t>
      </w:r>
    </w:p>
    <w:p>
      <w:pPr>
        <w:spacing w:after="40" w:before="40"/>
        <w:jc w:val="center"/>
      </w:pPr>
      <w:r>
        <w:rPr>
          <w:rFonts w:ascii="Arial" w:cs="Arial" w:eastAsia="Arial" w:hAnsi="Arial"/>
          <w:color w:val="9E9E9E"/>
          <w:sz w:val="18"/>
          <w:szCs w:val="18"/>
        </w:rPr>
        <w:t xml:space="preserve">Models: ARIMA · SARIMA · Prophet · Random Forest · XGBoost · Linear Regression · Decision Tree · Logistic Regression · Granger Causality · ADF Test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237E"/>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83593"/>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565C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2026-04-19T14:19:14.623Z</dcterms:created>
  <dcterms:modified xsi:type="dcterms:W3CDTF">2026-04-19T14:19:14.624Z</dcterms:modified>
</cp:coreProperties>
</file>

<file path=docProps/custom.xml><?xml version="1.0" encoding="utf-8"?>
<Properties xmlns="http://schemas.openxmlformats.org/officeDocument/2006/custom-properties" xmlns:vt="http://schemas.openxmlformats.org/officeDocument/2006/docPropsVTypes"/>
</file>