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b/>
          <w:bCs/>
          <w:color w:val="1F3864"/>
          <w:sz w:val="56"/>
          <w:szCs w:val="56"/>
        </w:rPr>
        <w:t xml:space="preserve">ENVISION'26</w:t>
      </w:r>
    </w:p>
    <w:p>
      <w:pPr>
        <w:spacing w:after="60"/>
        <w:jc w:val="center"/>
      </w:pPr>
      <w:r>
        <w:rPr>
          <w:color w:val="2E74B5"/>
          <w:sz w:val="30"/>
          <w:szCs w:val="30"/>
        </w:rPr>
        <w:t xml:space="preserve">Phase 1 Report: Problem Identification &amp; Ideation</w:t>
      </w:r>
    </w:p>
    <w:p>
      <w:pPr>
        <w:spacing w:after="60"/>
        <w:jc w:val="center"/>
      </w:pPr>
      <w:r>
        <w:rPr>
          <w:i/>
          <w:iCs/>
          <w:sz w:val="22"/>
          <w:szCs w:val="22"/>
        </w:rPr>
        <w:t xml:space="preserve">Themes for a Smarter, Sustainable Tomorrow</w:t>
      </w:r>
    </w:p>
    <w:p>
      <w:pPr>
        <w:spacing w:after="60"/>
        <w:jc w:val="center"/>
      </w:pPr>
      <w:r>
        <w:rPr>
          <w:sz w:val="22"/>
          <w:szCs w:val="22"/>
        </w:rPr>
        <w:t xml:space="preserve">Organised by the Institution's Innovation Council (IIC)</w:t>
      </w:r>
    </w:p>
    <w:p>
      <w:pPr>
        <w:pBdr>
          <w:bottom w:val="single" w:color="1F3864" w:sz="8" w:space="6"/>
        </w:pBdr>
        <w:spacing w:after="240"/>
        <w:jc w:val="center"/>
      </w:pPr>
      <w:r>
        <w:rPr>
          <w:b/>
          <w:bCs/>
          <w:sz w:val="24"/>
          <w:szCs w:val="24"/>
        </w:rPr>
        <w:t xml:space="preserve">Loyola-ICAM College of Engineering and Technology</w:t>
      </w:r>
    </w:p>
    <w:p>
      <w:pPr>
        <w:pStyle w:val="Heading1"/>
      </w:pPr>
      <w:r>
        <w:t xml:space="preserve">1. Introduction</w:t>
      </w:r>
    </w:p>
    <w:p>
      <w:pPr>
        <w:spacing w:after="120" w:line="276"/>
        <w:jc w:val="both"/>
      </w:pPr>
      <w:r>
        <w:t xml:space="preserve">Envision'26 is a hackathon conducted by the Institution's Innovation Council (IIC) of Loyola-ICAM College of Engineering and Technology exclusively for newly joined first-year students. It gives every first year student a structured first step into the world of engineering and problem solving. Participants worked in interdisciplinary teams, guided by senior mentors, to identify real-world problems and design solutions aligned with a smarter, more sustainable tomorrow.</w:t>
      </w:r>
    </w:p>
    <w:p>
      <w:pPr>
        <w:spacing w:after="120" w:line="276"/>
        <w:jc w:val="both"/>
      </w:pPr>
      <w:r>
        <w:t xml:space="preserve">The hackathon is conducted in two phases. Phase 1 focuses on identifying a problem and ideating a solution, culminating in an ideation pitch. Phase 2 covers proof of concept and implementation. This report covers Phase 1.</w:t>
      </w:r>
    </w:p>
    <w:p>
      <w:pPr>
        <w:pStyle w:val="Heading1"/>
      </w:pPr>
      <w:r>
        <w:t xml:space="preserve">2. Event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Particular</w:t>
            </w:r>
          </w:p>
        </w:tc>
        <w:tc>
          <w:tcPr>
            <w:tcW w:type="dxa" w:w="62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Details</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1"/>
                <w:szCs w:val="21"/>
              </w:rPr>
              <w:t xml:space="preserve">Event</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Envision'26</w:t>
            </w:r>
          </w:p>
        </w:tc>
      </w:tr>
      <w:tr>
        <w:tc>
          <w:tcPr>
            <w:tcW w:type="dxa" w:w="28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bCs/>
                <w:sz w:val="21"/>
                <w:szCs w:val="21"/>
              </w:rPr>
              <w:t xml:space="preserve">Institution</w:t>
            </w:r>
          </w:p>
        </w:tc>
        <w:tc>
          <w:tcPr>
            <w:tcW w:type="dxa" w:w="62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1"/>
                <w:szCs w:val="21"/>
              </w:rPr>
              <w:t xml:space="preserve">Loyola-ICAM College of Engineering and Technology</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1"/>
                <w:szCs w:val="21"/>
              </w:rPr>
              <w:t xml:space="preserve">Organiser</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Institution's Innovation Council (IIC)</w:t>
            </w:r>
          </w:p>
        </w:tc>
      </w:tr>
      <w:tr>
        <w:tc>
          <w:tcPr>
            <w:tcW w:type="dxa" w:w="28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bCs/>
                <w:sz w:val="21"/>
                <w:szCs w:val="21"/>
              </w:rPr>
              <w:t xml:space="preserve">Participants</w:t>
            </w:r>
          </w:p>
        </w:tc>
        <w:tc>
          <w:tcPr>
            <w:tcW w:type="dxa" w:w="62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1"/>
                <w:szCs w:val="21"/>
              </w:rPr>
              <w:t xml:space="preserve">All first-year students (interdisciplinary teams)</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1"/>
                <w:szCs w:val="21"/>
              </w:rPr>
              <w:t xml:space="preserve">Phase 1 Duration</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8 days</w:t>
            </w:r>
          </w:p>
        </w:tc>
      </w:tr>
      <w:tr>
        <w:tc>
          <w:tcPr>
            <w:tcW w:type="dxa" w:w="28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bCs/>
                <w:sz w:val="21"/>
                <w:szCs w:val="21"/>
              </w:rPr>
              <w:t xml:space="preserve">Phase 1 Focus</w:t>
            </w:r>
          </w:p>
        </w:tc>
        <w:tc>
          <w:tcPr>
            <w:tcW w:type="dxa" w:w="62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1"/>
                <w:szCs w:val="21"/>
              </w:rPr>
              <w:t xml:space="preserve">Problem identification and solution ideation, ending with an ideation pitch</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1"/>
                <w:szCs w:val="21"/>
              </w:rPr>
              <w:t xml:space="preserve">Number of Themes</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10</w:t>
            </w:r>
          </w:p>
        </w:tc>
      </w:tr>
      <w:tr>
        <w:tc>
          <w:tcPr>
            <w:tcW w:type="dxa" w:w="28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bCs/>
                <w:sz w:val="21"/>
                <w:szCs w:val="21"/>
              </w:rPr>
              <w:t xml:space="preserve">Mentors</w:t>
            </w:r>
          </w:p>
        </w:tc>
        <w:tc>
          <w:tcPr>
            <w:tcW w:type="dxa" w:w="62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1"/>
                <w:szCs w:val="21"/>
              </w:rPr>
              <w:t xml:space="preserve">Nearly 45 pre-final and final year students</w:t>
            </w:r>
          </w:p>
        </w:tc>
      </w:tr>
    </w:tbl>
    <w:p>
      <w:pPr>
        <w:spacing w:after="120"/>
      </w:pPr>
      <w:r>
        <w:rPr>
          <w:highlight w:val="yellow"/>
          <w:highlightCs w:val="yellow"/>
        </w:rPr>
        <w:t xml:space="preserve">[Add: Phase 1 dates, mode (on campus/online), total participants and number of teams]</w:t>
      </w:r>
    </w:p>
    <w:p>
      <w:pPr>
        <w:pStyle w:val="Heading1"/>
      </w:pPr>
      <w:r>
        <w:t xml:space="preserve">3. Organising Team</w:t>
      </w:r>
    </w:p>
    <w:p>
      <w:pPr>
        <w:pStyle w:val="ListParagraph"/>
        <w:numPr>
          <w:ilvl w:val="0"/>
          <w:numId w:val="2"/>
        </w:numPr>
        <w:spacing w:after="60"/>
      </w:pPr>
      <w:r>
        <w:t xml:space="preserve">Faculty In-charge: Ms. Limsa Joshi</w:t>
      </w:r>
    </w:p>
    <w:p>
      <w:pPr>
        <w:pStyle w:val="ListParagraph"/>
        <w:numPr>
          <w:ilvl w:val="0"/>
          <w:numId w:val="2"/>
        </w:numPr>
        <w:spacing w:after="60"/>
      </w:pPr>
      <w:r>
        <w:t xml:space="preserve">Student Coordinator: Mr. Vineet Jonathan</w:t>
      </w:r>
    </w:p>
    <w:p>
      <w:pPr>
        <w:pStyle w:val="ListParagraph"/>
        <w:numPr>
          <w:ilvl w:val="0"/>
          <w:numId w:val="2"/>
        </w:numPr>
        <w:spacing w:after="60"/>
      </w:pPr>
      <w:r>
        <w:t xml:space="preserve">Core Committee: 7 additional members, one representing each department of the college, along with the student coordinator</w:t>
      </w:r>
    </w:p>
    <w:p>
      <w:pPr>
        <w:pStyle w:val="Heading1"/>
      </w:pPr>
      <w:r>
        <w:t xml:space="preserve">4. Themes</w:t>
      </w:r>
    </w:p>
    <w:p>
      <w:pPr>
        <w:spacing w:after="120" w:line="276"/>
        <w:jc w:val="both"/>
      </w:pPr>
      <w:r>
        <w:t xml:space="preserve">Teams chose from ten themes, each mapped to the United Nations Sustainable Development Goals (SDGs).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No.</w:t>
            </w:r>
          </w:p>
        </w:tc>
        <w:tc>
          <w:tcPr>
            <w:tcW w:type="dxa" w:w="80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Theme</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1"/>
                <w:szCs w:val="21"/>
              </w:rPr>
              <w:t xml:space="preserve">01</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Smart Water &amp; Clean Energy for a Sustainable Future</w:t>
            </w:r>
          </w:p>
        </w:tc>
      </w:tr>
      <w:tr>
        <w:tc>
          <w:tcPr>
            <w:tcW w:type="dxa" w:w="1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bCs/>
                <w:sz w:val="21"/>
                <w:szCs w:val="21"/>
              </w:rPr>
              <w:t xml:space="preserve">02</w:t>
            </w:r>
          </w:p>
        </w:tc>
        <w:tc>
          <w:tcPr>
            <w:tcW w:type="dxa" w:w="80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1"/>
                <w:szCs w:val="21"/>
              </w:rPr>
              <w:t xml:space="preserve">Smart &amp; Sustainable Home Automation</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1"/>
                <w:szCs w:val="21"/>
              </w:rPr>
              <w:t xml:space="preserve">03</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Campus 360: One Intelligent Ecosystem</w:t>
            </w:r>
          </w:p>
        </w:tc>
      </w:tr>
      <w:tr>
        <w:tc>
          <w:tcPr>
            <w:tcW w:type="dxa" w:w="1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bCs/>
                <w:sz w:val="21"/>
                <w:szCs w:val="21"/>
              </w:rPr>
              <w:t xml:space="preserve">04</w:t>
            </w:r>
          </w:p>
        </w:tc>
        <w:tc>
          <w:tcPr>
            <w:tcW w:type="dxa" w:w="80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1"/>
                <w:szCs w:val="21"/>
              </w:rPr>
              <w:t xml:space="preserve">Future-Ready Cities &amp; Communities</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1"/>
                <w:szCs w:val="21"/>
              </w:rPr>
              <w:t xml:space="preserve">05</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Smart Agriculture &amp; Food Security</w:t>
            </w:r>
          </w:p>
        </w:tc>
      </w:tr>
      <w:tr>
        <w:tc>
          <w:tcPr>
            <w:tcW w:type="dxa" w:w="1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bCs/>
                <w:sz w:val="21"/>
                <w:szCs w:val="21"/>
              </w:rPr>
              <w:t xml:space="preserve">06</w:t>
            </w:r>
          </w:p>
        </w:tc>
        <w:tc>
          <w:tcPr>
            <w:tcW w:type="dxa" w:w="80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1"/>
                <w:szCs w:val="21"/>
              </w:rPr>
              <w:t xml:space="preserve">Health, Well-being &amp; Assistive Technology</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1"/>
                <w:szCs w:val="21"/>
              </w:rPr>
              <w:t xml:space="preserve">07</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Waste to Value</w:t>
            </w:r>
          </w:p>
        </w:tc>
      </w:tr>
      <w:tr>
        <w:tc>
          <w:tcPr>
            <w:tcW w:type="dxa" w:w="1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bCs/>
                <w:sz w:val="21"/>
                <w:szCs w:val="21"/>
              </w:rPr>
              <w:t xml:space="preserve">08</w:t>
            </w:r>
          </w:p>
        </w:tc>
        <w:tc>
          <w:tcPr>
            <w:tcW w:type="dxa" w:w="80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1"/>
                <w:szCs w:val="21"/>
              </w:rPr>
              <w:t xml:space="preserve">AI for Social Good</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1"/>
                <w:szCs w:val="21"/>
              </w:rPr>
              <w:t xml:space="preserve">09</w:t>
            </w:r>
          </w:p>
        </w:tc>
        <w:tc>
          <w:tcPr>
            <w:tcW w:type="dxa" w:w="8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Climate Resilience &amp; Disaster Management</w:t>
            </w:r>
          </w:p>
        </w:tc>
      </w:tr>
      <w:tr>
        <w:tc>
          <w:tcPr>
            <w:tcW w:type="dxa" w:w="1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bCs/>
                <w:sz w:val="21"/>
                <w:szCs w:val="21"/>
              </w:rPr>
              <w:t xml:space="preserve">10</w:t>
            </w:r>
          </w:p>
        </w:tc>
        <w:tc>
          <w:tcPr>
            <w:tcW w:type="dxa" w:w="80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1"/>
                <w:szCs w:val="21"/>
              </w:rPr>
              <w:t xml:space="preserve">Inclusive Innovation for a Better Society</w:t>
            </w:r>
          </w:p>
        </w:tc>
      </w:tr>
    </w:tbl>
    <w:p>
      <w:pPr>
        <w:pStyle w:val="Heading1"/>
      </w:pPr>
      <w:r>
        <w:t xml:space="preserve">5. Team Formation and Mentorship</w:t>
      </w:r>
    </w:p>
    <w:p>
      <w:pPr>
        <w:pStyle w:val="Heading2"/>
      </w:pPr>
      <w:r>
        <w:t xml:space="preserve">5.1 Interdisciplinary Teams</w:t>
      </w:r>
    </w:p>
    <w:p>
      <w:pPr>
        <w:spacing w:after="120" w:line="276"/>
        <w:jc w:val="both"/>
      </w:pPr>
      <w:r>
        <w:t xml:space="preserve">Interdisciplinary teams were formed among the first-year students, bringing together learners from different branches. Every first-year student was required to take part in their assigned team, building collaboration and problem-solving skills from the very start of their engineering journey.</w:t>
      </w:r>
    </w:p>
    <w:p>
      <w:pPr>
        <w:pStyle w:val="Heading2"/>
      </w:pPr>
      <w:r>
        <w:t xml:space="preserve">5.2 Mentors</w:t>
      </w:r>
    </w:p>
    <w:p>
      <w:pPr>
        <w:spacing w:after="120" w:line="276"/>
        <w:jc w:val="both"/>
      </w:pPr>
      <w:r>
        <w:t xml:space="preserve">Nearly 45 mentors were selected from the pre-final and final year students. Mentors were allocated to teams on Day 3, based on the domain preferences given by the mentors, so that each team received guidance in an area familiar to its mentor.</w:t>
      </w:r>
    </w:p>
    <w:p>
      <w:pPr>
        <w:pStyle w:val="Heading1"/>
      </w:pPr>
      <w:r>
        <w:t xml:space="preserve">6. Phase 1: Day-wise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4826"/>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Day</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Session</w:t>
            </w:r>
          </w:p>
        </w:tc>
        <w:tc>
          <w:tcPr>
            <w:tcW w:type="dxa" w:w="48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Activities</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1"/>
                <w:szCs w:val="21"/>
              </w:rPr>
              <w:t xml:space="preserve">Day 1</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Ice-breaker session and inauguration</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Event inaugurated by the Director, Dean, Principal and Vice Principal.</w:t>
            </w:r>
          </w:p>
        </w:tc>
      </w:tr>
      <w:tr>
        <w:tc>
          <w:tcPr>
            <w:tcW w:type="dxa" w:w="9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bCs/>
                <w:sz w:val="21"/>
                <w:szCs w:val="21"/>
              </w:rPr>
              <w:t xml:space="preserve">Day 2</w:t>
            </w:r>
          </w:p>
        </w:tc>
        <w:tc>
          <w:tcPr>
            <w:tcW w:type="dxa" w:w="33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1"/>
                <w:szCs w:val="21"/>
              </w:rPr>
              <w:t xml:space="preserve">Session on Entrepreneurship by Mr. Chandrasekar Srivatsa</w:t>
            </w:r>
          </w:p>
        </w:tc>
        <w:tc>
          <w:tcPr>
            <w:tcW w:type="dxa" w:w="48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1"/>
                <w:szCs w:val="21"/>
              </w:rPr>
              <w:t xml:space="preserve">Students and their teams registered on the Envision website.</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1"/>
                <w:szCs w:val="21"/>
              </w:rPr>
              <w:t xml:space="preserve">Day 3</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Session on Problem Solving and Ideation by Ms. Sujaya Rao and Ms. Agnes Roshini</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Teams selected a domain for their problem statement; mentors were allocated based on mentors' domain preferences.</w:t>
            </w:r>
          </w:p>
        </w:tc>
      </w:tr>
      <w:tr>
        <w:tc>
          <w:tcPr>
            <w:tcW w:type="dxa" w:w="9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bCs/>
                <w:sz w:val="21"/>
                <w:szCs w:val="21"/>
              </w:rPr>
              <w:t xml:space="preserve">Day 4</w:t>
            </w:r>
          </w:p>
        </w:tc>
        <w:tc>
          <w:tcPr>
            <w:tcW w:type="dxa" w:w="33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1"/>
                <w:szCs w:val="21"/>
              </w:rPr>
              <w:t xml:space="preserve">Working session</w:t>
            </w:r>
          </w:p>
        </w:tc>
        <w:tc>
          <w:tcPr>
            <w:tcW w:type="dxa" w:w="48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1"/>
                <w:szCs w:val="21"/>
              </w:rPr>
              <w:t xml:space="preserve">Teams worked on their problem statement and began ideating solutions.</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1"/>
                <w:szCs w:val="21"/>
              </w:rPr>
              <w:t xml:space="preserve">Day 5</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Working session</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Teams continued problem definition and solution ideation.</w:t>
            </w:r>
          </w:p>
        </w:tc>
      </w:tr>
      <w:tr>
        <w:tc>
          <w:tcPr>
            <w:tcW w:type="dxa" w:w="9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bCs/>
                <w:sz w:val="21"/>
                <w:szCs w:val="21"/>
              </w:rPr>
              <w:t xml:space="preserve">Day 6</w:t>
            </w:r>
          </w:p>
        </w:tc>
        <w:tc>
          <w:tcPr>
            <w:tcW w:type="dxa" w:w="33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1"/>
                <w:szCs w:val="21"/>
              </w:rPr>
              <w:t xml:space="preserve">Session on Problem-Solution Fit by Mr. Pathy Lakshminarayanan and Ms. Subashini Ganeshan</w:t>
            </w:r>
          </w:p>
        </w:tc>
        <w:tc>
          <w:tcPr>
            <w:tcW w:type="dxa" w:w="48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1"/>
                <w:szCs w:val="21"/>
              </w:rPr>
              <w:t xml:space="preserve">Teams refined their solutions based on the session.</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1"/>
                <w:szCs w:val="21"/>
              </w:rPr>
              <w:t xml:space="preserve">Day 7</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Working session</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Teams finalised their solutions and updated project details on the Envision website.</w:t>
            </w:r>
          </w:p>
        </w:tc>
      </w:tr>
      <w:tr>
        <w:tc>
          <w:tcPr>
            <w:tcW w:type="dxa" w:w="9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bCs/>
                <w:sz w:val="21"/>
                <w:szCs w:val="21"/>
              </w:rPr>
              <w:t xml:space="preserve">Day 8</w:t>
            </w:r>
          </w:p>
        </w:tc>
        <w:tc>
          <w:tcPr>
            <w:tcW w:type="dxa" w:w="33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1"/>
                <w:szCs w:val="21"/>
              </w:rPr>
              <w:t xml:space="preserve">Phase 1 Ideation Pitch Day</w:t>
            </w:r>
          </w:p>
        </w:tc>
        <w:tc>
          <w:tcPr>
            <w:tcW w:type="dxa" w:w="48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1"/>
                <w:szCs w:val="21"/>
              </w:rPr>
              <w:t xml:space="preserve">Teams pitched their problem statements and proposed solutions.</w:t>
            </w:r>
          </w:p>
        </w:tc>
      </w:tr>
    </w:tbl>
    <w:p>
      <w:pPr>
        <w:spacing w:after="80"/>
      </w:pPr>
    </w:p>
    <w:p>
      <w:pPr>
        <w:pStyle w:val="Heading2"/>
      </w:pPr>
      <w:r>
        <w:t xml:space="preserve">6.1 Expert Sessions</w:t>
      </w:r>
    </w:p>
    <w:p>
      <w:pPr>
        <w:spacing w:after="120" w:line="276"/>
        <w:jc w:val="both"/>
      </w:pPr>
      <w:r>
        <w:t xml:space="preserve">Three expert sessions were held during Phase 1 to prepare students for the work ahead:</w:t>
      </w:r>
    </w:p>
    <w:p>
      <w:pPr>
        <w:pStyle w:val="ListParagraph"/>
        <w:numPr>
          <w:ilvl w:val="0"/>
          <w:numId w:val="2"/>
        </w:numPr>
        <w:spacing w:after="60"/>
      </w:pPr>
      <w:r>
        <w:t xml:space="preserve">Entrepreneurship (Day 2) by Mr. Chandrasekar Srivatsa, introducing students to an entrepreneurial mindset.</w:t>
      </w:r>
    </w:p>
    <w:p>
      <w:pPr>
        <w:pStyle w:val="ListParagraph"/>
        <w:numPr>
          <w:ilvl w:val="0"/>
          <w:numId w:val="2"/>
        </w:numPr>
        <w:spacing w:after="60"/>
      </w:pPr>
      <w:r>
        <w:t xml:space="preserve">Problem Solving and Ideation (Day 3) by Ms. Sujaya Rao and Ms. Agnes Roshini, covering how to define problems and generate ideas.</w:t>
      </w:r>
    </w:p>
    <w:p>
      <w:pPr>
        <w:pStyle w:val="ListParagraph"/>
        <w:numPr>
          <w:ilvl w:val="0"/>
          <w:numId w:val="2"/>
        </w:numPr>
        <w:spacing w:after="60"/>
      </w:pPr>
      <w:r>
        <w:t xml:space="preserve">Problem-Solution Fit (Day 6) by Mr. Pathy Lakshminarayanan and Ms. Subashini Ganeshan, helping teams check that their solutions truly address the identified problem.</w:t>
      </w:r>
    </w:p>
    <w:p>
      <w:pPr>
        <w:pStyle w:val="Heading2"/>
      </w:pPr>
      <w:r>
        <w:t xml:space="preserve">6.2 Working Phase</w:t>
      </w:r>
    </w:p>
    <w:p>
      <w:pPr>
        <w:spacing w:after="120" w:line="276"/>
        <w:jc w:val="both"/>
      </w:pPr>
      <w:r>
        <w:t xml:space="preserve">Days 4, 5 and 7 were dedicated to teamwork. Teams researched their chosen problem statements, ideated solutions with their mentors' guidance and, on Day 7, updated their project details on the Envision website ahead of the pitch.</w:t>
      </w:r>
    </w:p>
    <w:p>
      <w:pPr>
        <w:pStyle w:val="Heading2"/>
      </w:pPr>
      <w:r>
        <w:t xml:space="preserve">6.3 Ideation Pitch Day</w:t>
      </w:r>
    </w:p>
    <w:p>
      <w:pPr>
        <w:spacing w:after="120" w:line="276"/>
        <w:jc w:val="both"/>
      </w:pPr>
      <w:r>
        <w:t xml:space="preserve">Phase 1 concluded on Day 8 with the ideation pitch, where each team presented the problem it had identified and its proposed solution.</w:t>
      </w:r>
    </w:p>
    <w:p>
      <w:pPr>
        <w:pStyle w:val="Heading1"/>
      </w:pPr>
      <w:r>
        <w:t xml:space="preserve">7. Leaderboard and Top Scores</w:t>
      </w:r>
    </w:p>
    <w:p>
      <w:pPr>
        <w:spacing w:after="120"/>
      </w:pPr>
      <w:r>
        <w:rPr>
          <w:highlight w:val="yellow"/>
          <w:highlightCs w:val="yellow"/>
        </w:rPr>
        <w:t xml:space="preserve">[Add: evaluation criteria and the leaderboard below. Edit or add rows as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700"/>
        <w:gridCol w:w="1200"/>
        <w:gridCol w:w="1226"/>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Rank</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Team Name</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Theme</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Mentor</w:t>
            </w:r>
          </w:p>
        </w:tc>
        <w:tc>
          <w:tcPr>
            <w:tcW w:type="dxa" w:w="12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Score</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highlight w:val="yellow"/>
                <w:highlightCs w:val="yellow"/>
              </w:rPr>
              <w:t xml:space="preserve">1</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highlight w:val="yellow"/>
                <w:highlightCs w:val="yellow"/>
              </w:rPr>
              <w:t xml:space="preserve"/>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highlight w:val="yellow"/>
                <w:highlightCs w:val="yellow"/>
              </w:rPr>
              <w:t xml:space="preserve"/>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highlight w:val="yellow"/>
                <w:highlightCs w:val="yellow"/>
              </w:rPr>
              <w:t xml:space="preserve"/>
            </w:r>
          </w:p>
        </w:tc>
        <w:tc>
          <w:tcPr>
            <w:tcW w:type="dxa" w:w="1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highlight w:val="yellow"/>
                <w:highlightCs w:val="yellow"/>
              </w:rPr>
              <w:t xml:space="preserve"/>
            </w:r>
          </w:p>
        </w:tc>
      </w:tr>
      <w:tr>
        <w:tc>
          <w:tcPr>
            <w:tcW w:type="dxa" w:w="9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1"/>
                <w:szCs w:val="21"/>
                <w:highlight w:val="yellow"/>
                <w:highlightCs w:val="yellow"/>
              </w:rPr>
              <w:t xml:space="preserve">2</w:t>
            </w:r>
          </w:p>
        </w:tc>
        <w:tc>
          <w:tcPr>
            <w:tcW w:type="dxa" w:w="3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1"/>
                <w:szCs w:val="21"/>
                <w:highlight w:val="yellow"/>
                <w:highlightCs w:val="yellow"/>
              </w:rPr>
              <w:t xml:space="preserve"/>
            </w:r>
          </w:p>
        </w:tc>
        <w:tc>
          <w:tcPr>
            <w:tcW w:type="dxa" w:w="2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1"/>
                <w:szCs w:val="21"/>
                <w:highlight w:val="yellow"/>
                <w:highlightCs w:val="yellow"/>
              </w:rPr>
              <w:t xml:space="preserve"/>
            </w:r>
          </w:p>
        </w:tc>
        <w:tc>
          <w:tcPr>
            <w:tcW w:type="dxa" w:w="12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1"/>
                <w:szCs w:val="21"/>
                <w:highlight w:val="yellow"/>
                <w:highlightCs w:val="yellow"/>
              </w:rPr>
              <w:t xml:space="preserve"/>
            </w:r>
          </w:p>
        </w:tc>
        <w:tc>
          <w:tcPr>
            <w:tcW w:type="dxa" w:w="12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1"/>
                <w:szCs w:val="21"/>
                <w:highlight w:val="yellow"/>
                <w:highlightCs w:val="yellow"/>
              </w:rPr>
              <w:t xml:space="preserve"/>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highlight w:val="yellow"/>
                <w:highlightCs w:val="yellow"/>
              </w:rPr>
              <w:t xml:space="preserve">3</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highlight w:val="yellow"/>
                <w:highlightCs w:val="yellow"/>
              </w:rPr>
              <w:t xml:space="preserve"/>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highlight w:val="yellow"/>
                <w:highlightCs w:val="yellow"/>
              </w:rPr>
              <w:t xml:space="preserve"/>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highlight w:val="yellow"/>
                <w:highlightCs w:val="yellow"/>
              </w:rPr>
              <w:t xml:space="preserve"/>
            </w:r>
          </w:p>
        </w:tc>
        <w:tc>
          <w:tcPr>
            <w:tcW w:type="dxa" w:w="1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highlight w:val="yellow"/>
                <w:highlightCs w:val="yellow"/>
              </w:rPr>
              <w:t xml:space="preserve"/>
            </w:r>
          </w:p>
        </w:tc>
      </w:tr>
      <w:tr>
        <w:tc>
          <w:tcPr>
            <w:tcW w:type="dxa" w:w="9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1"/>
                <w:szCs w:val="21"/>
                <w:highlight w:val="yellow"/>
                <w:highlightCs w:val="yellow"/>
              </w:rPr>
              <w:t xml:space="preserve">4</w:t>
            </w:r>
          </w:p>
        </w:tc>
        <w:tc>
          <w:tcPr>
            <w:tcW w:type="dxa" w:w="3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1"/>
                <w:szCs w:val="21"/>
                <w:highlight w:val="yellow"/>
                <w:highlightCs w:val="yellow"/>
              </w:rPr>
              <w:t xml:space="preserve"/>
            </w:r>
          </w:p>
        </w:tc>
        <w:tc>
          <w:tcPr>
            <w:tcW w:type="dxa" w:w="2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1"/>
                <w:szCs w:val="21"/>
                <w:highlight w:val="yellow"/>
                <w:highlightCs w:val="yellow"/>
              </w:rPr>
              <w:t xml:space="preserve"/>
            </w:r>
          </w:p>
        </w:tc>
        <w:tc>
          <w:tcPr>
            <w:tcW w:type="dxa" w:w="12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1"/>
                <w:szCs w:val="21"/>
                <w:highlight w:val="yellow"/>
                <w:highlightCs w:val="yellow"/>
              </w:rPr>
              <w:t xml:space="preserve"/>
            </w:r>
          </w:p>
        </w:tc>
        <w:tc>
          <w:tcPr>
            <w:tcW w:type="dxa" w:w="122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r>
              <w:rPr>
                <w:b w:val="false"/>
                <w:bCs w:val="false"/>
                <w:sz w:val="21"/>
                <w:szCs w:val="21"/>
                <w:highlight w:val="yellow"/>
                <w:highlightCs w:val="yellow"/>
              </w:rPr>
              <w:t xml:space="preserve"/>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highlight w:val="yellow"/>
                <w:highlightCs w:val="yellow"/>
              </w:rPr>
              <w:t xml:space="preserve">5</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highlight w:val="yellow"/>
                <w:highlightCs w:val="yellow"/>
              </w:rPr>
              <w:t xml:space="preserve"/>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highlight w:val="yellow"/>
                <w:highlightCs w:val="yellow"/>
              </w:rPr>
              <w:t xml:space="preserve"/>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highlight w:val="yellow"/>
                <w:highlightCs w:val="yellow"/>
              </w:rPr>
              <w:t xml:space="preserve"/>
            </w:r>
          </w:p>
        </w:tc>
        <w:tc>
          <w:tcPr>
            <w:tcW w:type="dxa" w:w="1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highlight w:val="yellow"/>
                <w:highlightCs w:val="yellow"/>
              </w:rPr>
              <w:t xml:space="preserve"/>
            </w:r>
          </w:p>
        </w:tc>
      </w:tr>
    </w:tbl>
    <w:p>
      <w:pPr>
        <w:spacing w:after="80"/>
      </w:pPr>
    </w:p>
    <w:p>
      <w:pPr>
        <w:spacing w:after="120"/>
      </w:pPr>
      <w:r>
        <w:rPr>
          <w:highlight w:val="yellow"/>
          <w:highlightCs w:val="yellow"/>
        </w:rPr>
        <w:t xml:space="preserve">[Add: number of teams shortlisted for Phase 2, and any standout ideas noted by the judges]</w:t>
      </w:r>
    </w:p>
    <w:p>
      <w:pPr>
        <w:pStyle w:val="Heading1"/>
      </w:pPr>
      <w:r>
        <w:t xml:space="preserve">8. Outcomes</w:t>
      </w:r>
    </w:p>
    <w:p>
      <w:pPr>
        <w:pStyle w:val="ListParagraph"/>
        <w:numPr>
          <w:ilvl w:val="0"/>
          <w:numId w:val="2"/>
        </w:numPr>
        <w:spacing w:after="60"/>
      </w:pPr>
      <w:r>
        <w:t xml:space="preserve">All first-year students were engaged in team-based problem solving, giving them an early introduction to engineering practice.</w:t>
      </w:r>
    </w:p>
    <w:p>
      <w:pPr>
        <w:pStyle w:val="ListParagraph"/>
        <w:numPr>
          <w:ilvl w:val="0"/>
          <w:numId w:val="2"/>
        </w:numPr>
        <w:spacing w:after="60"/>
      </w:pPr>
      <w:r>
        <w:t xml:space="preserve">Students learned to identify real-world problems and relate them to the SDGs.</w:t>
      </w:r>
    </w:p>
    <w:p>
      <w:pPr>
        <w:pStyle w:val="ListParagraph"/>
        <w:numPr>
          <w:ilvl w:val="0"/>
          <w:numId w:val="2"/>
        </w:numPr>
        <w:spacing w:after="60"/>
      </w:pPr>
      <w:r>
        <w:t xml:space="preserve">Close interaction with senior mentors strengthened the bond between batches.</w:t>
      </w:r>
    </w:p>
    <w:p>
      <w:pPr>
        <w:pStyle w:val="ListParagraph"/>
        <w:numPr>
          <w:ilvl w:val="0"/>
          <w:numId w:val="2"/>
        </w:numPr>
        <w:spacing w:after="60"/>
      </w:pPr>
      <w:r>
        <w:t xml:space="preserve">Expert sessions gave students foundations in entrepreneurship, ideation and problem-solution fit.</w:t>
      </w:r>
    </w:p>
    <w:p>
      <w:pPr>
        <w:pStyle w:val="Heading1"/>
      </w:pPr>
      <w:r>
        <w:t xml:space="preserve">9. Way Forward: Phase 2</w:t>
      </w:r>
    </w:p>
    <w:p>
      <w:pPr>
        <w:spacing w:after="120" w:line="276"/>
        <w:jc w:val="both"/>
      </w:pPr>
      <w:r>
        <w:t xml:space="preserve">In Phase 2, teams will move from ideas to execution by developing a proof of concept and implementing their solutions, with continued guidance from their mentors.</w:t>
      </w:r>
    </w:p>
    <w:p>
      <w:pPr>
        <w:spacing w:after="120"/>
      </w:pPr>
      <w:r>
        <w:rPr>
          <w:highlight w:val="yellow"/>
          <w:highlightCs w:val="yellow"/>
        </w:rPr>
        <w:t xml:space="preserve">[Add: Phase 2 dates and format]</w:t>
      </w:r>
    </w:p>
    <w:p>
      <w:pPr>
        <w:pStyle w:val="Heading1"/>
      </w:pPr>
      <w:r>
        <w:t xml:space="preserve">10. Conclusion</w:t>
      </w:r>
    </w:p>
    <w:p>
      <w:pPr>
        <w:spacing w:after="120" w:line="276"/>
        <w:jc w:val="both"/>
      </w:pPr>
      <w:r>
        <w:t xml:space="preserve">Phase 1 of Envision'26 successfully introduced the first-year students to structured problem solving through a mix of expert sessions, mentorship and teamwork, ending in an ideation pitch. The IIC thanks the management, faculty in-charge, core committee, resource persons, mentors and all participants for making Phase 1 a success.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Envision'26 – Phase 1 Report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2"/>
      </w:pBdr>
      <w:spacing w:after="140" w:before="3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2026-10-05T08:47:32.940Z</dcterms:created>
  <dcterms:modified xsi:type="dcterms:W3CDTF">2026-10-05T08:47:32.956Z</dcterms:modified>
</cp:coreProperties>
</file>

<file path=docProps/custom.xml><?xml version="1.0" encoding="utf-8"?>
<Properties xmlns="http://schemas.openxmlformats.org/officeDocument/2006/custom-properties" xmlns:vt="http://schemas.openxmlformats.org/officeDocument/2006/docPropsVTypes"/>
</file>