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7: Implementing Queries in a Microservice Architecture</w:t>
      </w:r>
    </w:p>
    <w:p>
      <w:pPr>
        <w:spacing w:after="60"/>
      </w:pPr>
      <w:r>
        <w:rPr>
          <w:rFonts w:ascii="Arial" w:cs="Arial" w:eastAsia="Arial" w:hAnsi="Arial"/>
          <w:i/>
          <w:iCs/>
          <w:color w:val="555555"/>
          <w:sz w:val="22"/>
          <w:szCs w:val="22"/>
        </w:rPr>
        <w:t xml:space="preserve">Microservice Patterns — Chris Richardson</w:t>
      </w:r>
    </w:p>
    <w:p>
      <w:pPr>
        <w:spacing w:after="200"/>
      </w:pPr>
      <w:r>
        <w:rPr>
          <w:rFonts w:ascii="Arial" w:cs="Arial" w:eastAsia="Arial" w:hAnsi="Arial"/>
          <w:color w:val="777777"/>
          <w:sz w:val="20"/>
          <w:szCs w:val="20"/>
        </w:rPr>
        <w:t xml:space="preserve">Comprehensive Knowledge Extraction</w:t>
      </w:r>
    </w:p>
    <w:p>
      <w:pPr>
        <w:pStyle w:val="Heading2"/>
      </w:pPr>
      <w:r>
        <w:t xml:space="preserve">Extracted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4260"/>
        <w:gridCol w:w="2400"/>
      </w:tblGrid>
      <w:tr>
        <w:tc>
          <w:tcPr>
            <w:tcW w:type="dxa" w:w="18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Concept/Pattern</w:t>
            </w:r>
          </w:p>
        </w:tc>
        <w:tc>
          <w:tcPr>
            <w:tcW w:type="dxa" w:w="9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Cat.</w:t>
            </w:r>
          </w:p>
        </w:tc>
        <w:tc>
          <w:tcPr>
            <w:tcW w:type="dxa" w:w="426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4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Relations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Cross-Service Query Problem</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Problem</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 a microservice architecture, queries often need data scattered across multiple services' private databases. Traditional distributed queries (SQL joins across databases) are not possible because they violate service encapsulation. Example: findOrder() needs data from Order Service, Kitchen Service, Delivery Service, and Accounting Service.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Motivates API Composition and CQRS patterns.</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Inefficient In-Memory Joins (API Composition limitation)</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Problem</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Some multi-service queries (e.g., findOrderHistory() with keyword filtering) cannot be efficiently implemented by API Composition because provider services don't store the attributes needed for filtering/sorting. The API composer must retrieve large datasets from all providers and perform in-memory joins — duplicating RDBMS query engine functionality inefficiently.</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Motivates CQRS pattern. Limitation of API Composition.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Database Doesn't Support Required Query</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Problem</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 single service's database may not efficiently support a required query. Example: findAvailableRestaurants() requires geospatial search, but the service's database may lack geospatial indexes/datatypes. Requires maintaining a replica in a database that supports the query.</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Motivates CQRS within a single service.</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Separation of Concerns in Query Ownership</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Problem</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The service that owns the data isn't always the right service to implement a query. Example: Restaurant Service owns restaurant data but its team's primary responsibility is restaurant management, not implementing a high-volume, critical query like findAvailableRestaurants(). Deploying changes to the data-owning service risks breaking critical queries. A separate query service is more appropriate.</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Motivates CQRS query-only services.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Replication Lag (CQRS drawback)</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Problem</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Unavoidable delay between command-side event publication and query-side view update. A client that updates an aggregate and immediately queries a CQRS view may see stale data. Solutions: (1) Command-side returns event ID token; client passes it to query, which returns error if view hasn't processed that event. (2) Client-side UI updates local model optimistically after command succeeds, avoiding immediate query.</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Key drawback of CQRS. Client must handle eventual consistency.</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API Composition Pattern</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b/>
                <w:bCs/>
                <w:sz w:val="20"/>
                <w:szCs w:val="20"/>
              </w:rPr>
              <w:t xml:space="preserve">Problem</w:t>
            </w:r>
            <w:r>
              <w:rPr>
                <w:rFonts w:ascii="Arial" w:cs="Arial" w:eastAsia="Arial" w:hAnsi="Arial"/>
                <w:sz w:val="20"/>
                <w:szCs w:val="20"/>
              </w:rPr>
              <w:t xml:space="preserve">: Need to implement queries that retrieve data from multiple services. </w:t>
            </w:r>
            <w:r>
              <w:rPr>
                <w:rFonts w:ascii="Arial" w:cs="Arial" w:eastAsia="Arial" w:hAnsi="Arial"/>
                <w:b/>
                <w:bCs/>
                <w:sz w:val="20"/>
                <w:szCs w:val="20"/>
              </w:rPr>
              <w:t xml:space="preserve">Forces</w:t>
            </w:r>
            <w:r>
              <w:rPr>
                <w:rFonts w:ascii="Arial" w:cs="Arial" w:eastAsia="Arial" w:hAnsi="Arial"/>
                <w:sz w:val="20"/>
                <w:szCs w:val="20"/>
              </w:rPr>
              <w:t xml:space="preserve">: Data scattered across services; can't use distributed queries. </w:t>
            </w:r>
            <w:r>
              <w:rPr>
                <w:rFonts w:ascii="Arial" w:cs="Arial" w:eastAsia="Arial" w:hAnsi="Arial"/>
                <w:b/>
                <w:bCs/>
                <w:sz w:val="20"/>
                <w:szCs w:val="20"/>
              </w:rPr>
              <w:t xml:space="preserve">Solution</w:t>
            </w:r>
            <w:r>
              <w:rPr>
                <w:rFonts w:ascii="Arial" w:cs="Arial" w:eastAsia="Arial" w:hAnsi="Arial"/>
                <w:sz w:val="20"/>
                <w:szCs w:val="20"/>
              </w:rPr>
              <w:t xml:space="preserve">: An API composer queries multiple provider services via their APIs and combines the results. Two participants: API composer (implements the query) and provider services (own parts of the data). </w:t>
            </w:r>
            <w:r>
              <w:rPr>
                <w:rFonts w:ascii="Arial" w:cs="Arial" w:eastAsia="Arial" w:hAnsi="Arial"/>
                <w:b/>
                <w:bCs/>
                <w:sz w:val="20"/>
                <w:szCs w:val="20"/>
              </w:rPr>
              <w:t xml:space="preserve">Who is the composer?</w:t>
            </w:r>
            <w:r>
              <w:rPr>
                <w:rFonts w:ascii="Arial" w:cs="Arial" w:eastAsia="Arial" w:hAnsi="Arial"/>
                <w:sz w:val="20"/>
                <w:szCs w:val="20"/>
              </w:rPr>
              <w:t xml:space="preserve"> (1) Client (web app on same LAN) — not practical for external clients. (2) API Gateway — good for external API queries. (3) Standalone service — for queries used by multiple clients/services or with complex aggregation logic. </w:t>
            </w:r>
            <w:r>
              <w:rPr>
                <w:rFonts w:ascii="Arial" w:cs="Arial" w:eastAsia="Arial" w:hAnsi="Arial"/>
                <w:b/>
                <w:bCs/>
                <w:sz w:val="20"/>
                <w:szCs w:val="20"/>
              </w:rPr>
              <w:t xml:space="preserve">Reactive model</w:t>
            </w:r>
            <w:r>
              <w:rPr>
                <w:rFonts w:ascii="Arial" w:cs="Arial" w:eastAsia="Arial" w:hAnsi="Arial"/>
                <w:sz w:val="20"/>
                <w:szCs w:val="20"/>
              </w:rPr>
              <w:t xml:space="preserve">: Composer should call providers in parallel when possible (Java CompletableFuture, RxJava). Sequential calls only when dependencies exist between results. </w:t>
            </w:r>
            <w:r>
              <w:rPr>
                <w:rFonts w:ascii="Arial" w:cs="Arial" w:eastAsia="Arial" w:hAnsi="Arial"/>
                <w:b/>
                <w:bCs/>
                <w:sz w:val="20"/>
                <w:szCs w:val="20"/>
              </w:rPr>
              <w:t xml:space="preserve">Benefits</w:t>
            </w:r>
            <w:r>
              <w:rPr>
                <w:rFonts w:ascii="Arial" w:cs="Arial" w:eastAsia="Arial" w:hAnsi="Arial"/>
                <w:sz w:val="20"/>
                <w:szCs w:val="20"/>
              </w:rPr>
              <w:t xml:space="preserve">: Simple, intuitive, works for many queries. </w:t>
            </w:r>
            <w:r>
              <w:rPr>
                <w:rFonts w:ascii="Arial" w:cs="Arial" w:eastAsia="Arial" w:hAnsi="Arial"/>
                <w:b/>
                <w:bCs/>
                <w:sz w:val="20"/>
                <w:szCs w:val="20"/>
              </w:rPr>
              <w:t xml:space="preserve">Drawbacks</w:t>
            </w:r>
            <w:r>
              <w:rPr>
                <w:rFonts w:ascii="Arial" w:cs="Arial" w:eastAsia="Arial" w:hAnsi="Arial"/>
                <w:sz w:val="20"/>
                <w:szCs w:val="20"/>
              </w:rPr>
              <w:t xml:space="preserve">: Increased overhead (multiple requests/DB queries), reduced availability (product of all service availabilities; mitigated by caching or returning incomplete data), lack of transactional consistency (different services may return data at different points in time — composer must handle discrepancies).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Alternative to CQRS. Should be used whenever possible. Simpler but limited.</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CQRS Pattern (Command Query Responsibility Segregation)</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b/>
                <w:bCs/>
                <w:sz w:val="20"/>
                <w:szCs w:val="20"/>
              </w:rPr>
              <w:t xml:space="preserve">Problem</w:t>
            </w:r>
            <w:r>
              <w:rPr>
                <w:rFonts w:ascii="Arial" w:cs="Arial" w:eastAsia="Arial" w:hAnsi="Arial"/>
                <w:sz w:val="20"/>
                <w:szCs w:val="20"/>
              </w:rPr>
              <w:t xml:space="preserve">: Some queries can't be efficiently implemented by API Composition (in-memory joins), single-service databases don't support required queries, or query ownership should be separate from data ownership. </w:t>
            </w:r>
            <w:r>
              <w:rPr>
                <w:rFonts w:ascii="Arial" w:cs="Arial" w:eastAsia="Arial" w:hAnsi="Arial"/>
                <w:b/>
                <w:bCs/>
                <w:sz w:val="20"/>
                <w:szCs w:val="20"/>
              </w:rPr>
              <w:t xml:space="preserve">Forces</w:t>
            </w:r>
            <w:r>
              <w:rPr>
                <w:rFonts w:ascii="Arial" w:cs="Arial" w:eastAsia="Arial" w:hAnsi="Arial"/>
                <w:sz w:val="20"/>
                <w:szCs w:val="20"/>
              </w:rPr>
              <w:t xml:space="preserve">: Need efficient diverse queries; event sourcing limits queries to primary key; separation of concerns. </w:t>
            </w:r>
            <w:r>
              <w:rPr>
                <w:rFonts w:ascii="Arial" w:cs="Arial" w:eastAsia="Arial" w:hAnsi="Arial"/>
                <w:b/>
                <w:bCs/>
                <w:sz w:val="20"/>
                <w:szCs w:val="20"/>
              </w:rPr>
              <w:t xml:space="preserve">Solution</w:t>
            </w:r>
            <w:r>
              <w:rPr>
                <w:rFonts w:ascii="Arial" w:cs="Arial" w:eastAsia="Arial" w:hAnsi="Arial"/>
                <w:sz w:val="20"/>
                <w:szCs w:val="20"/>
              </w:rPr>
              <w:t xml:space="preserve">: Split persistent data model into command side (CUD operations, domain model, publishes events) and query side (read operations, view database kept synchronized via event subscription). May have multiple query models for different query types. Can be applied within a service or as standalone query-only services. </w:t>
            </w:r>
            <w:r>
              <w:rPr>
                <w:rFonts w:ascii="Arial" w:cs="Arial" w:eastAsia="Arial" w:hAnsi="Arial"/>
                <w:b/>
                <w:bCs/>
                <w:sz w:val="20"/>
                <w:szCs w:val="20"/>
              </w:rPr>
              <w:t xml:space="preserve">Benefits</w:t>
            </w:r>
            <w:r>
              <w:rPr>
                <w:rFonts w:ascii="Arial" w:cs="Arial" w:eastAsia="Arial" w:hAnsi="Arial"/>
                <w:sz w:val="20"/>
                <w:szCs w:val="20"/>
              </w:rPr>
              <w:t xml:space="preserve">: Efficient multi-service queries (pre-joined views), efficient diverse queries (different DB types per query), enables querying in event-sourcing apps, improves separation of concerns (query service separate from data-owning service). </w:t>
            </w:r>
            <w:r>
              <w:rPr>
                <w:rFonts w:ascii="Arial" w:cs="Arial" w:eastAsia="Arial" w:hAnsi="Arial"/>
                <w:b/>
                <w:bCs/>
                <w:sz w:val="20"/>
                <w:szCs w:val="20"/>
              </w:rPr>
              <w:t xml:space="preserve">Drawbacks</w:t>
            </w:r>
            <w:r>
              <w:rPr>
                <w:rFonts w:ascii="Arial" w:cs="Arial" w:eastAsia="Arial" w:hAnsi="Arial"/>
                <w:sz w:val="20"/>
                <w:szCs w:val="20"/>
              </w:rPr>
              <w:t xml:space="preserve">: More complex architecture (extra services, datastores, operational complexity), replication lag (eventual consistency between command and query sides).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Alternative to API Composition. More powerful but more complex. Uses Domain Events (Ch. 5), Transactional Messaging (Ch. 3).</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CQRS Query-only Service</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Definition</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 standalone service with an API consisting only of query operations (no commands). Maintains a view database by subscribing to events from one or more other services. Appropriate when the view is built from multiple services' data (doesn't belong to any single service), or when the data-owning service shouldn't implement the query. Examples: Order History Service (subscribes to Order, Kitchen, Delivery, Accounting events), Available Restaurants Service (subscribes to Restaurant Service events, maintains geospatial index).</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Implementation variant of CQRS. Uses Domain Events for synchronization.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API Composer: Three Placement Options</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Definition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 </w:t>
            </w:r>
            <w:r>
              <w:rPr>
                <w:rFonts w:ascii="Arial" w:cs="Arial" w:eastAsia="Arial" w:hAnsi="Arial"/>
                <w:b/>
                <w:bCs/>
                <w:sz w:val="20"/>
                <w:szCs w:val="20"/>
              </w:rPr>
              <w:t xml:space="preserve">Client</w:t>
            </w:r>
            <w:r>
              <w:rPr>
                <w:rFonts w:ascii="Arial" w:cs="Arial" w:eastAsia="Arial" w:hAnsi="Arial"/>
                <w:sz w:val="20"/>
                <w:szCs w:val="20"/>
              </w:rPr>
              <w:t xml:space="preserve"> (e.g., web app): queries providers directly; works on LAN but impractical for external clients. (2) </w:t>
            </w:r>
            <w:r>
              <w:rPr>
                <w:rFonts w:ascii="Arial" w:cs="Arial" w:eastAsia="Arial" w:hAnsi="Arial"/>
                <w:b/>
                <w:bCs/>
                <w:sz w:val="20"/>
                <w:szCs w:val="20"/>
              </w:rPr>
              <w:t xml:space="preserve">API Gateway</w:t>
            </w:r>
            <w:r>
              <w:rPr>
                <w:rFonts w:ascii="Arial" w:cs="Arial" w:eastAsia="Arial" w:hAnsi="Arial"/>
                <w:sz w:val="20"/>
                <w:szCs w:val="20"/>
              </w:rPr>
              <w:t xml:space="preserve">: implements composition for external API queries; enables single API call from mobile devices. (3) </w:t>
            </w:r>
            <w:r>
              <w:rPr>
                <w:rFonts w:ascii="Arial" w:cs="Arial" w:eastAsia="Arial" w:hAnsi="Arial"/>
                <w:b/>
                <w:bCs/>
                <w:sz w:val="20"/>
                <w:szCs w:val="20"/>
              </w:rPr>
              <w:t xml:space="preserve">Standalone service</w:t>
            </w:r>
            <w:r>
              <w:rPr>
                <w:rFonts w:ascii="Arial" w:cs="Arial" w:eastAsia="Arial" w:hAnsi="Arial"/>
                <w:sz w:val="20"/>
                <w:szCs w:val="20"/>
              </w:rPr>
              <w:t xml:space="preserve">: for queries used by multiple clients or with complex aggregation logic that shouldn't live in the API Gateway.</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Design decision for API Composition pattern.</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Reactive Programming Model for API Composers</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Principle</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API composers should invoke provider services in parallel whenever possible to minimize latency. Use reactive abstractions (Java CompletableFuture, RxJava Observables) to manage mixtures of parallel and sequential invocations. Sequential calls only when one provider's result is needed to query another.</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Performance principle for API Composition.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API Composition: Availability Mitigation Strategies</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Principle</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Availability = product of all service availabilities (e.g., 99.5%^5 = 97.5%). Two strategies: (1) Return cached data when a provider is unavailable (may be stale). (2) Return incomplete data, omitting unavailable provider's portion (UI can still show useful info).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Addresses reduced availability drawback of API Composition.</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API Composition: Lack of Transactional Consistency</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Tradeoff</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Multiple queries against multiple databases means no ACID transaction guarantees across them. Risk of inconsistent data (e.g., Order shows CANCELLED but Ticket not yet cancelled). Composer must handle discrepancies, increasing code complexity. May not always detect inconsistencies.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Fundamental tradeoff of API Composition.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CQRS View Module Structure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Definition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Three submodules: (1) </w:t>
            </w:r>
            <w:r>
              <w:rPr>
                <w:rFonts w:ascii="Arial" w:cs="Arial" w:eastAsia="Arial" w:hAnsi="Arial"/>
                <w:b/>
                <w:bCs/>
                <w:sz w:val="20"/>
                <w:szCs w:val="20"/>
              </w:rPr>
              <w:t xml:space="preserve">Event handlers</w:t>
            </w:r>
            <w:r>
              <w:rPr>
                <w:rFonts w:ascii="Arial" w:cs="Arial" w:eastAsia="Arial" w:hAnsi="Arial"/>
                <w:sz w:val="20"/>
                <w:szCs w:val="20"/>
              </w:rPr>
              <w:t xml:space="preserve"> — subscribe to domain events and invoke data access module to update the view database. (2) </w:t>
            </w:r>
            <w:r>
              <w:rPr>
                <w:rFonts w:ascii="Arial" w:cs="Arial" w:eastAsia="Arial" w:hAnsi="Arial"/>
                <w:b/>
                <w:bCs/>
                <w:sz w:val="20"/>
                <w:szCs w:val="20"/>
              </w:rPr>
              <w:t xml:space="preserve">Query API</w:t>
            </w:r>
            <w:r>
              <w:rPr>
                <w:rFonts w:ascii="Arial" w:cs="Arial" w:eastAsia="Arial" w:hAnsi="Arial"/>
                <w:sz w:val="20"/>
                <w:szCs w:val="20"/>
              </w:rPr>
              <w:t xml:space="preserve"> — implements query operations by invoking data access module. (3) </w:t>
            </w:r>
            <w:r>
              <w:rPr>
                <w:rFonts w:ascii="Arial" w:cs="Arial" w:eastAsia="Arial" w:hAnsi="Arial"/>
                <w:b/>
                <w:bCs/>
                <w:sz w:val="20"/>
                <w:szCs w:val="20"/>
              </w:rPr>
              <w:t xml:space="preserve">Data access module (DAO)</w:t>
            </w:r>
            <w:r>
              <w:rPr>
                <w:rFonts w:ascii="Arial" w:cs="Arial" w:eastAsia="Arial" w:hAnsi="Arial"/>
                <w:sz w:val="20"/>
                <w:szCs w:val="20"/>
              </w:rPr>
              <w:t xml:space="preserve"> — implements update and query operations against the view database, handles concurrency, ensures idempotency. Plus the view database itself.</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Internal structure of CQRS query-side.</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Choosing a View Datastore</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Tradeoff</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Choose based on query characteristics. Options: document store (MongoDB, DynamoDB) for JSON lookups; text search engine (Elasticsearch) for text queries; graph database (Neo4j) for graph queries; RDBMS for SQL/BI reporting. NoSQL databases leverage strengths (flexible model, performance, scalability) while CQRS view avoids their weaknesses (limited transactions, fixed query patterns). SQL databases have excellent performance on modern hardware and broader team familiarity. Consider update operation efficiency too, not just queries.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Key design decision for CQRS views.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Handling Concurrent Updates in CQRS Views</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Problem</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If a view subscribes to events from multiple aggregate types, event handlers for different aggregates may simultaneously update the same view record (e.g., Order event + Delivery event for same order). DAO must handle this: use pessimistic/optimistic locking if read-then-write, or use atomic field-level updates (e.g., DynamoDB UpdateItem) that update different attributes without reading first.</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Design issue for CQRS Data Access module.</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Idempotent Event Handlers in CQRS Views</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Principle</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Event handlers may receive duplicate events (at-least-once delivery). Idempotent handlers (setting attributes to values) tolerate duplicates — worst case is temporarily out-of-date view. Non-idempotent handlers (incrementing counters) must detect and discard duplicates by recording processed event IDs. For SQL: PROCESSED_EVENTS table in same transaction. For NoSQL: store max(eventId) per aggregate source as an attribute in the view record itself. Records tracking multiple aggregate sources store a map of [aggregateType+aggregateId] → max(eventId).</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Reliability principle for CQRS. Uses duplicate detection from Ch. 3.</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Enabling Clients to Handle Replication Lag</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Principle</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Command-side operation returns a token containing the published event ID. Client passes token to query operation, which returns error if the view hasn't been updated by that event yet. Uses the duplicate-event-detection mechanism (event ID tracking) to check. Alternative: client-side UI updates local model optimistically after successful command.</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Design technique for dealing with CQRS eventual consistency.</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Building and Rebuilding CQRS Views</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Problem</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Views must be buildable from scratch (new view) or rebuilt (schema change, bug fix). Two challenges: (1) Message brokers don't store events indefinitely (even Kafka has retention limits). Solution: read archived events from storage (e.g., AWS S3) using big data tools (e.g., Apache Spark), then process recent events from broker. (2) Processing all events grows expensive over time. Solution: incremental two-step algorithm — periodically compute aggregate snapshots, then create view from snapshots + subsequent events.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Operational concern for CQRS. Archived events + incremental snapshots.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DynamoDB as CQRS View Store (Implementation Example)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Technology</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AWS DynamoDB used for Order History Service CQRS view. Key design: ftgo-order-history table with orderId as primary key, items storing Order as hierarchical attributes. Global Secondary Index (GSI) with consumerId as partition key and orderCreationDate as sort key for findOrderHistory(). Non-key attributes (status, keywords) in index for filter expressions. Keyword search via tokenized keywords stored as set-valued attribute using contains() filter. Pagination via opaque LastEvaluatedKey tokens. Updates via UpdateItem() (atomic field-level, avoids lost updates without read-then-write). Duplicate detection via conditional update expressions checking max(eventId) per aggregate source.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Concrete implementation of CQRS View Module using NoSQL.</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DynamoDB UpdateItem vs. PutItem for CQRS</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Tradeoff</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PutItem replaces entire item — risks lost updates when concurrent handlers modify same item (requires optimistic locking). UpdateItem modifies individual attributes atomically — simpler and more efficient since different event handlers update different attributes, no need to read first. Preferred for CQRS views where events update distinct fields.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DynamoDB-specific design decision for CQRS.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Conditional Updates for Duplicate Detection (DynamoDB)</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Technology</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DynamoDB UpdateItem supports condition expressions: attribute_not_exists(«attr») OR «attr» &lt; :eventId. Each view record stores max eventId per aggregate source as «aggregateType»«aggregateId» attribute. Update only executes if event is newer than last processed. ConditionalCheckFailedException caught and ignored for duplicates.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Implementation of idempotent event handling in DynamoDB CQRS view.</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Use API Composition whenever possible, CQRS only when needed</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Principle</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API Composition is simpler and should be the default for multi-service queries. CQRS should only be used when API Composition can't efficiently implement the query (in-memory joins of large datasets, unsupported query types, separation of concerns requirements, event sourcing).</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Guiding principle for choosing between the two query patterns.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CQRS as generalization of RDBMS + text search pattern</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Definition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Many applications already use RDBMS as system of record plus Elasticsearch for text search. CQRS generalizes this: broader range of database types (not just text search), near-real-time synchronization via domain events (not batch ETL), and query-side views can be maintained by subscribing to events published by any number of services.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Positions CQRS in familiar architectural context.</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CQRS enables querying in Event Sourcing</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Principle</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Event stores only support primary key-based queries. CQRS overcomes this limitation by defining views kept up-to-date by subscribing to event streams published by event-sourced aggregates. Event sourcing-based applications invariably use CQRS.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Critical relationship between CQRS and Event Sourcing (Ch. 6).</w:t>
            </w:r>
          </w:p>
        </w:tc>
      </w:tr>
    </w:tbl>
    <w:p>
      <w:r>
        <w:br w:type="page"/>
      </w:r>
    </w:p>
    <w:p>
      <w:pPr>
        <w:pStyle w:val="Heading1"/>
      </w:pPr>
      <w:r>
        <w:t xml:space="preserve">Relationship Map</w:t>
      </w:r>
    </w:p>
    <w:p>
      <w:pPr>
        <w:spacing w:after="200"/>
      </w:pPr>
      <w:r>
        <w:rPr>
          <w:rFonts w:ascii="Arial" w:cs="Arial" w:eastAsia="Arial" w:hAnsi="Arial"/>
          <w:i/>
          <w:iCs/>
          <w:color w:val="555555"/>
          <w:sz w:val="20"/>
          <w:szCs w:val="20"/>
        </w:rPr>
        <w:t xml:space="preserve">How concepts from Chapter 7 connect, organized by thematic area.</w:t>
      </w:r>
    </w:p>
    <w:p>
      <w:pPr>
        <w:spacing w:after="100" w:before="200"/>
      </w:pPr>
      <w:r>
        <w:rPr>
          <w:rFonts w:ascii="Arial" w:cs="Arial" w:eastAsia="Arial" w:hAnsi="Arial"/>
          <w:b/>
          <w:bCs/>
          <w:color w:val="1B4F72"/>
          <w:sz w:val="22"/>
          <w:szCs w:val="22"/>
        </w:rPr>
        <w:t xml:space="preserve">1. The Core Problem: Querying Across Services</w:t>
      </w:r>
    </w:p>
    <w:p>
      <w:pPr>
        <w:spacing w:after="40"/>
        <w:ind w:left="360"/>
      </w:pPr>
      <w:r>
        <w:rPr>
          <w:rFonts w:ascii="Arial" w:cs="Arial" w:eastAsia="Arial" w:hAnsi="Arial"/>
          <w:sz w:val="20"/>
          <w:szCs w:val="20"/>
        </w:rPr>
        <w:t xml:space="preserve">• Data scattered across services with private databases → can't use distributed SQL queries</w:t>
      </w:r>
    </w:p>
    <w:p>
      <w:pPr>
        <w:spacing w:after="40"/>
        <w:ind w:left="360"/>
      </w:pPr>
      <w:r>
        <w:rPr>
          <w:rFonts w:ascii="Arial" w:cs="Arial" w:eastAsia="Arial" w:hAnsi="Arial"/>
          <w:sz w:val="20"/>
          <w:szCs w:val="20"/>
        </w:rPr>
        <w:t xml:space="preserve">• Two patterns: API Composition (simple, default) &lt;— ALTERNATIVE —&gt; CQRS (powerful, complex)</w:t>
      </w:r>
    </w:p>
    <w:p>
      <w:pPr>
        <w:spacing w:after="40"/>
        <w:ind w:left="360"/>
      </w:pPr>
      <w:r>
        <w:rPr>
          <w:rFonts w:ascii="Arial" w:cs="Arial" w:eastAsia="Arial" w:hAnsi="Arial"/>
          <w:sz w:val="20"/>
          <w:szCs w:val="20"/>
        </w:rPr>
        <w:t xml:space="preserve">• Guiding principle: use API Composition whenever possible, CQRS only when needed</w:t>
      </w:r>
    </w:p>
    <w:p>
      <w:pPr>
        <w:spacing w:after="100" w:before="200"/>
      </w:pPr>
      <w:r>
        <w:rPr>
          <w:rFonts w:ascii="Arial" w:cs="Arial" w:eastAsia="Arial" w:hAnsi="Arial"/>
          <w:b/>
          <w:bCs/>
          <w:color w:val="1B4F72"/>
          <w:sz w:val="22"/>
          <w:szCs w:val="22"/>
        </w:rPr>
        <w:t xml:space="preserve">2. API Composition Pattern</w:t>
      </w:r>
    </w:p>
    <w:p>
      <w:pPr>
        <w:spacing w:after="40"/>
        <w:ind w:left="360"/>
      </w:pPr>
      <w:r>
        <w:rPr>
          <w:rFonts w:ascii="Arial" w:cs="Arial" w:eastAsia="Arial" w:hAnsi="Arial"/>
          <w:sz w:val="20"/>
          <w:szCs w:val="20"/>
        </w:rPr>
        <w:t xml:space="preserve">• API Composer queries multiple Provider Services and combines results</w:t>
      </w:r>
    </w:p>
    <w:p>
      <w:pPr>
        <w:spacing w:after="40"/>
        <w:ind w:left="360"/>
      </w:pPr>
      <w:r>
        <w:rPr>
          <w:rFonts w:ascii="Arial" w:cs="Arial" w:eastAsia="Arial" w:hAnsi="Arial"/>
          <w:sz w:val="20"/>
          <w:szCs w:val="20"/>
        </w:rPr>
        <w:t xml:space="preserve">• Three composer placement options: Client | API Gateway | Standalone Service</w:t>
      </w:r>
    </w:p>
    <w:p>
      <w:pPr>
        <w:spacing w:after="40"/>
        <w:ind w:left="360"/>
      </w:pPr>
      <w:r>
        <w:rPr>
          <w:rFonts w:ascii="Arial" w:cs="Arial" w:eastAsia="Arial" w:hAnsi="Arial"/>
          <w:sz w:val="20"/>
          <w:szCs w:val="20"/>
        </w:rPr>
        <w:t xml:space="preserve">• Reactive programming model: parallel invocations, sequential only when dependent</w:t>
      </w:r>
    </w:p>
    <w:p>
      <w:pPr>
        <w:spacing w:after="40"/>
        <w:ind w:left="360"/>
      </w:pPr>
      <w:r>
        <w:rPr>
          <w:rFonts w:ascii="Arial" w:cs="Arial" w:eastAsia="Arial" w:hAnsi="Arial"/>
          <w:sz w:val="20"/>
          <w:szCs w:val="20"/>
        </w:rPr>
        <w:t xml:space="preserve">• Drawbacks: increased overhead, reduced availability (mitigated by caching/incomplete data), no transactional consistency across providers</w:t>
      </w:r>
    </w:p>
    <w:p>
      <w:pPr>
        <w:spacing w:after="100" w:before="200"/>
      </w:pPr>
      <w:r>
        <w:rPr>
          <w:rFonts w:ascii="Arial" w:cs="Arial" w:eastAsia="Arial" w:hAnsi="Arial"/>
          <w:b/>
          <w:bCs/>
          <w:color w:val="1B4F72"/>
          <w:sz w:val="22"/>
          <w:szCs w:val="22"/>
        </w:rPr>
        <w:t xml:space="preserve">3. Why CQRS: Three Motivating Problems</w:t>
      </w:r>
    </w:p>
    <w:p>
      <w:pPr>
        <w:spacing w:after="40"/>
        <w:ind w:left="360"/>
      </w:pPr>
      <w:r>
        <w:rPr>
          <w:rFonts w:ascii="Arial" w:cs="Arial" w:eastAsia="Arial" w:hAnsi="Arial"/>
          <w:sz w:val="20"/>
          <w:szCs w:val="20"/>
        </w:rPr>
        <w:t xml:space="preserve">• Problem 1: API Composition requires inefficient in-memory joins of large datasets (findOrderHistory with keyword filtering)</w:t>
      </w:r>
    </w:p>
    <w:p>
      <w:pPr>
        <w:spacing w:after="40"/>
        <w:ind w:left="360"/>
      </w:pPr>
      <w:r>
        <w:rPr>
          <w:rFonts w:ascii="Arial" w:cs="Arial" w:eastAsia="Arial" w:hAnsi="Arial"/>
          <w:sz w:val="20"/>
          <w:szCs w:val="20"/>
        </w:rPr>
        <w:t xml:space="preserve">• Problem 2: Service's database doesn't support required query type (geospatial search without geo-capable DB)</w:t>
      </w:r>
    </w:p>
    <w:p>
      <w:pPr>
        <w:spacing w:after="40"/>
        <w:ind w:left="360"/>
      </w:pPr>
      <w:r>
        <w:rPr>
          <w:rFonts w:ascii="Arial" w:cs="Arial" w:eastAsia="Arial" w:hAnsi="Arial"/>
          <w:sz w:val="20"/>
          <w:szCs w:val="20"/>
        </w:rPr>
        <w:t xml:space="preserve">• Problem 3: Separation of concerns — data-owning service shouldn't implement critical high-volume query</w:t>
      </w:r>
    </w:p>
    <w:p>
      <w:pPr>
        <w:spacing w:after="100" w:before="200"/>
      </w:pPr>
      <w:r>
        <w:rPr>
          <w:rFonts w:ascii="Arial" w:cs="Arial" w:eastAsia="Arial" w:hAnsi="Arial"/>
          <w:b/>
          <w:bCs/>
          <w:color w:val="1B4F72"/>
          <w:sz w:val="22"/>
          <w:szCs w:val="22"/>
        </w:rPr>
        <w:t xml:space="preserve">4. CQRS Pattern Architecture</w:t>
      </w:r>
    </w:p>
    <w:p>
      <w:pPr>
        <w:spacing w:after="40"/>
        <w:ind w:left="360"/>
      </w:pPr>
      <w:r>
        <w:rPr>
          <w:rFonts w:ascii="Arial" w:cs="Arial" w:eastAsia="Arial" w:hAnsi="Arial"/>
          <w:sz w:val="20"/>
          <w:szCs w:val="20"/>
        </w:rPr>
        <w:t xml:space="preserve">• Split into Command Side (CUD + domain model + event publishing) and Query Side (views + event handlers)</w:t>
      </w:r>
    </w:p>
    <w:p>
      <w:pPr>
        <w:spacing w:after="40"/>
        <w:ind w:left="360"/>
      </w:pPr>
      <w:r>
        <w:rPr>
          <w:rFonts w:ascii="Arial" w:cs="Arial" w:eastAsia="Arial" w:hAnsi="Arial"/>
          <w:sz w:val="20"/>
          <w:szCs w:val="20"/>
        </w:rPr>
        <w:t xml:space="preserve">• Query-only Services: standalone services subscribing to events from multiple services (Order History Service, Available Restaurants Service)</w:t>
      </w:r>
    </w:p>
    <w:p>
      <w:pPr>
        <w:spacing w:after="40"/>
        <w:ind w:left="360"/>
      </w:pPr>
      <w:r>
        <w:rPr>
          <w:rFonts w:ascii="Arial" w:cs="Arial" w:eastAsia="Arial" w:hAnsi="Arial"/>
          <w:sz w:val="20"/>
          <w:szCs w:val="20"/>
        </w:rPr>
        <w:t xml:space="preserve">• Generalization of RDBMS + text search pattern: broader DB types, event-based near-real-time sync</w:t>
      </w:r>
    </w:p>
    <w:p>
      <w:pPr>
        <w:spacing w:after="40"/>
        <w:ind w:left="360"/>
      </w:pPr>
      <w:r>
        <w:rPr>
          <w:rFonts w:ascii="Arial" w:cs="Arial" w:eastAsia="Arial" w:hAnsi="Arial"/>
          <w:sz w:val="20"/>
          <w:szCs w:val="20"/>
        </w:rPr>
        <w:t xml:space="preserve">• Enables querying in event sourcing apps (event stores only support PK queries)</w:t>
      </w:r>
    </w:p>
    <w:p>
      <w:pPr>
        <w:spacing w:after="40"/>
        <w:ind w:left="360"/>
      </w:pPr>
      <w:r>
        <w:rPr>
          <w:rFonts w:ascii="Arial" w:cs="Arial" w:eastAsia="Arial" w:hAnsi="Arial"/>
          <w:sz w:val="20"/>
          <w:szCs w:val="20"/>
        </w:rPr>
        <w:t xml:space="preserve">• Benefits: efficient multi-service queries, diverse query types, separation of concerns</w:t>
      </w:r>
    </w:p>
    <w:p>
      <w:pPr>
        <w:spacing w:after="40"/>
        <w:ind w:left="360"/>
      </w:pPr>
      <w:r>
        <w:rPr>
          <w:rFonts w:ascii="Arial" w:cs="Arial" w:eastAsia="Arial" w:hAnsi="Arial"/>
          <w:sz w:val="20"/>
          <w:szCs w:val="20"/>
        </w:rPr>
        <w:t xml:space="preserve">• Drawbacks: architectural complexity, replication lag (eventual consistency)</w:t>
      </w:r>
    </w:p>
    <w:p>
      <w:pPr>
        <w:spacing w:after="100" w:before="200"/>
      </w:pPr>
      <w:r>
        <w:rPr>
          <w:rFonts w:ascii="Arial" w:cs="Arial" w:eastAsia="Arial" w:hAnsi="Arial"/>
          <w:b/>
          <w:bCs/>
          <w:color w:val="1B4F72"/>
          <w:sz w:val="22"/>
          <w:szCs w:val="22"/>
        </w:rPr>
        <w:t xml:space="preserve">5. CQRS View Module Design</w:t>
      </w:r>
    </w:p>
    <w:p>
      <w:pPr>
        <w:spacing w:after="40"/>
        <w:ind w:left="360"/>
      </w:pPr>
      <w:r>
        <w:rPr>
          <w:rFonts w:ascii="Arial" w:cs="Arial" w:eastAsia="Arial" w:hAnsi="Arial"/>
          <w:sz w:val="20"/>
          <w:szCs w:val="20"/>
        </w:rPr>
        <w:t xml:space="preserve">• Structure: Event Handlers + Query API + Data Access Module (DAO) + View Database</w:t>
      </w:r>
    </w:p>
    <w:p>
      <w:pPr>
        <w:spacing w:after="40"/>
        <w:ind w:left="360"/>
      </w:pPr>
      <w:r>
        <w:rPr>
          <w:rFonts w:ascii="Arial" w:cs="Arial" w:eastAsia="Arial" w:hAnsi="Arial"/>
          <w:sz w:val="20"/>
          <w:szCs w:val="20"/>
        </w:rPr>
        <w:t xml:space="preserve">• Datastore choice driven by query type: document store, text search, graph DB, RDBMS</w:t>
      </w:r>
    </w:p>
    <w:p>
      <w:pPr>
        <w:spacing w:after="40"/>
        <w:ind w:left="360"/>
      </w:pPr>
      <w:r>
        <w:rPr>
          <w:rFonts w:ascii="Arial" w:cs="Arial" w:eastAsia="Arial" w:hAnsi="Arial"/>
          <w:sz w:val="20"/>
          <w:szCs w:val="20"/>
        </w:rPr>
        <w:t xml:space="preserve">• DAO handles: concurrent updates (locking or atomic field-level updates), idempotent event handling (track max eventId per aggregate source), update and query operations</w:t>
      </w:r>
    </w:p>
    <w:p>
      <w:pPr>
        <w:spacing w:after="40"/>
        <w:ind w:left="360"/>
      </w:pPr>
      <w:r>
        <w:rPr>
          <w:rFonts w:ascii="Arial" w:cs="Arial" w:eastAsia="Arial" w:hAnsi="Arial"/>
          <w:sz w:val="20"/>
          <w:szCs w:val="20"/>
        </w:rPr>
        <w:t xml:space="preserve">• Replication lag handling: event ID tokens for client consistency checks, or client-side optimistic UI updates</w:t>
      </w:r>
    </w:p>
    <w:p>
      <w:pPr>
        <w:spacing w:after="100" w:before="200"/>
      </w:pPr>
      <w:r>
        <w:rPr>
          <w:rFonts w:ascii="Arial" w:cs="Arial" w:eastAsia="Arial" w:hAnsi="Arial"/>
          <w:b/>
          <w:bCs/>
          <w:color w:val="1B4F72"/>
          <w:sz w:val="22"/>
          <w:szCs w:val="22"/>
        </w:rPr>
        <w:t xml:space="preserve">6. Building/Rebuilding Views</w:t>
      </w:r>
    </w:p>
    <w:p>
      <w:pPr>
        <w:spacing w:after="40"/>
        <w:ind w:left="360"/>
      </w:pPr>
      <w:r>
        <w:rPr>
          <w:rFonts w:ascii="Arial" w:cs="Arial" w:eastAsia="Arial" w:hAnsi="Arial"/>
          <w:sz w:val="20"/>
          <w:szCs w:val="20"/>
        </w:rPr>
        <w:t xml:space="preserve">• Message brokers don't store events indefinitely → use archived events (S3 + Spark)</w:t>
      </w:r>
    </w:p>
    <w:p>
      <w:pPr>
        <w:spacing w:after="40"/>
        <w:ind w:left="360"/>
      </w:pPr>
      <w:r>
        <w:rPr>
          <w:rFonts w:ascii="Arial" w:cs="Arial" w:eastAsia="Arial" w:hAnsi="Arial"/>
          <w:sz w:val="20"/>
          <w:szCs w:val="20"/>
        </w:rPr>
        <w:t xml:space="preserve">• Processing all events grows expensive → incremental snapshots + subsequent events</w:t>
      </w:r>
    </w:p>
    <w:p>
      <w:pPr>
        <w:spacing w:after="100" w:before="200"/>
      </w:pPr>
      <w:r>
        <w:rPr>
          <w:rFonts w:ascii="Arial" w:cs="Arial" w:eastAsia="Arial" w:hAnsi="Arial"/>
          <w:b/>
          <w:bCs/>
          <w:color w:val="1B4F72"/>
          <w:sz w:val="22"/>
          <w:szCs w:val="22"/>
        </w:rPr>
        <w:t xml:space="preserve">7. DynamoDB Implementation Example</w:t>
      </w:r>
    </w:p>
    <w:p>
      <w:pPr>
        <w:spacing w:after="40"/>
        <w:ind w:left="360"/>
      </w:pPr>
      <w:r>
        <w:rPr>
          <w:rFonts w:ascii="Arial" w:cs="Arial" w:eastAsia="Arial" w:hAnsi="Arial"/>
          <w:sz w:val="20"/>
          <w:szCs w:val="20"/>
        </w:rPr>
        <w:t xml:space="preserve">• Order History table: orderId PK, hierarchical item attributes, GSI on (consumerId, orderCreationDate)</w:t>
      </w:r>
    </w:p>
    <w:p>
      <w:pPr>
        <w:spacing w:after="40"/>
        <w:ind w:left="360"/>
      </w:pPr>
      <w:r>
        <w:rPr>
          <w:rFonts w:ascii="Arial" w:cs="Arial" w:eastAsia="Arial" w:hAnsi="Arial"/>
          <w:sz w:val="20"/>
          <w:szCs w:val="20"/>
        </w:rPr>
        <w:t xml:space="preserve">• Keyword search: tokenized keywords set attribute + contains() filter expression</w:t>
      </w:r>
    </w:p>
    <w:p>
      <w:pPr>
        <w:spacing w:after="40"/>
        <w:ind w:left="360"/>
      </w:pPr>
      <w:r>
        <w:rPr>
          <w:rFonts w:ascii="Arial" w:cs="Arial" w:eastAsia="Arial" w:hAnsi="Arial"/>
          <w:sz w:val="20"/>
          <w:szCs w:val="20"/>
        </w:rPr>
        <w:t xml:space="preserve">• Updates: UpdateItem (atomic field-level) preferred over PutItem (full replacement) for concurrency safety</w:t>
      </w:r>
    </w:p>
    <w:p>
      <w:pPr>
        <w:spacing w:after="40"/>
        <w:ind w:left="360"/>
      </w:pPr>
      <w:r>
        <w:rPr>
          <w:rFonts w:ascii="Arial" w:cs="Arial" w:eastAsia="Arial" w:hAnsi="Arial"/>
          <w:sz w:val="20"/>
          <w:szCs w:val="20"/>
        </w:rPr>
        <w:t xml:space="preserve">• Duplicate detection: conditional update expression checking max eventId per aggregate source attribute</w:t>
      </w:r>
    </w:p>
    <w:p>
      <w:pPr>
        <w:spacing w:after="40"/>
        <w:ind w:left="360"/>
      </w:pPr>
      <w:r>
        <w:rPr>
          <w:rFonts w:ascii="Arial" w:cs="Arial" w:eastAsia="Arial" w:hAnsi="Arial"/>
          <w:sz w:val="20"/>
          <w:szCs w:val="20"/>
        </w:rPr>
        <w:t xml:space="preserve">• Pagination: opaque LastEvaluatedKey tokens</w:t>
      </w:r>
    </w:p>
    <w:p>
      <w:r>
        <w:br w:type="page"/>
      </w:r>
    </w:p>
    <w:p>
      <w:pPr>
        <w:pStyle w:val="Heading2"/>
      </w:pPr>
      <w:r>
        <w:t xml:space="preserve">Summary Statistics</w:t>
      </w:r>
    </w:p>
    <w:p>
      <w:pPr>
        <w:spacing w:after="80"/>
      </w:pPr>
      <w:r>
        <w:rPr>
          <w:rFonts w:ascii="Arial" w:cs="Arial" w:eastAsia="Arial" w:hAnsi="Arial"/>
          <w:sz w:val="22"/>
          <w:szCs w:val="22"/>
        </w:rPr>
        <w:t xml:space="preserve">Total: 24</w:t>
      </w:r>
    </w:p>
    <w:p>
      <w:pPr>
        <w:spacing w:after="80"/>
      </w:pPr>
      <w:r>
        <w:rPr>
          <w:rFonts w:ascii="Arial" w:cs="Arial" w:eastAsia="Arial" w:hAnsi="Arial"/>
          <w:sz w:val="22"/>
          <w:szCs w:val="22"/>
        </w:rPr>
        <w:t xml:space="preserve">Patterns: 2</w:t>
      </w:r>
    </w:p>
    <w:p>
      <w:pPr>
        <w:spacing w:after="80"/>
      </w:pPr>
      <w:r>
        <w:rPr>
          <w:rFonts w:ascii="Arial" w:cs="Arial" w:eastAsia="Arial" w:hAnsi="Arial"/>
          <w:sz w:val="22"/>
          <w:szCs w:val="22"/>
        </w:rPr>
        <w:t xml:space="preserve">Definitions: 4</w:t>
      </w:r>
    </w:p>
    <w:p>
      <w:pPr>
        <w:spacing w:after="80"/>
      </w:pPr>
      <w:r>
        <w:rPr>
          <w:rFonts w:ascii="Arial" w:cs="Arial" w:eastAsia="Arial" w:hAnsi="Arial"/>
          <w:sz w:val="22"/>
          <w:szCs w:val="22"/>
        </w:rPr>
        <w:t xml:space="preserve">Principles: 6</w:t>
      </w:r>
    </w:p>
    <w:p>
      <w:pPr>
        <w:spacing w:after="80"/>
      </w:pPr>
      <w:r>
        <w:rPr>
          <w:rFonts w:ascii="Arial" w:cs="Arial" w:eastAsia="Arial" w:hAnsi="Arial"/>
          <w:sz w:val="22"/>
          <w:szCs w:val="22"/>
        </w:rPr>
        <w:t xml:space="preserve">Problems: 7</w:t>
      </w:r>
    </w:p>
    <w:p>
      <w:pPr>
        <w:spacing w:after="80"/>
      </w:pPr>
      <w:r>
        <w:rPr>
          <w:rFonts w:ascii="Arial" w:cs="Arial" w:eastAsia="Arial" w:hAnsi="Arial"/>
          <w:sz w:val="22"/>
          <w:szCs w:val="22"/>
        </w:rPr>
        <w:t xml:space="preserve">Tradeoffs: 3</w:t>
      </w:r>
    </w:p>
    <w:p>
      <w:pPr>
        <w:spacing w:after="80"/>
      </w:pPr>
      <w:r>
        <w:rPr>
          <w:rFonts w:ascii="Arial" w:cs="Arial" w:eastAsia="Arial" w:hAnsi="Arial"/>
          <w:sz w:val="22"/>
          <w:szCs w:val="22"/>
        </w:rPr>
        <w:t xml:space="preserve">Technologies: 2</w:t>
      </w:r>
    </w:p>
    <w:sectPr>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471A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2026-04-02T11:45:25.861Z</dcterms:created>
  <dcterms:modified xsi:type="dcterms:W3CDTF">2026-04-02T11:45:25.864Z</dcterms:modified>
</cp:coreProperties>
</file>

<file path=docProps/custom.xml><?xml version="1.0" encoding="utf-8"?>
<Properties xmlns="http://schemas.openxmlformats.org/officeDocument/2006/custom-properties" xmlns:vt="http://schemas.openxmlformats.org/officeDocument/2006/docPropsVTypes"/>
</file>