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right"/>
        <w:rPr>
          <w:rFonts w:hint="eastAsia"/>
          <w:color w:val="000000"/>
          <w:kern w:val="0"/>
          <w:sz w:val="28"/>
          <w:szCs w:val="28"/>
        </w:rPr>
      </w:pPr>
      <w:bookmarkStart w:id="28" w:name="_GoBack"/>
      <w:bookmarkEnd w:id="28"/>
      <w:r>
        <w:rPr>
          <w:rFonts w:hint="eastAsia"/>
          <w:b/>
          <w:color w:val="000000"/>
          <w:sz w:val="28"/>
          <w:szCs w:val="28"/>
        </w:rPr>
        <w:t>报告编号：</w:t>
      </w:r>
    </w:p>
    <w:p>
      <w:pPr>
        <w:widowControl/>
        <w:jc w:val="right"/>
        <w:rPr>
          <w:color w:val="000000"/>
          <w:kern w:val="0"/>
          <w:sz w:val="28"/>
          <w:szCs w:val="28"/>
        </w:rPr>
      </w:pPr>
    </w:p>
    <w:p>
      <w:pPr>
        <w:pStyle w:val="66"/>
        <w:ind w:firstLine="420"/>
        <w:rPr>
          <w:rFonts w:ascii="Times New Roman"/>
          <w:color w:val="000000"/>
        </w:rPr>
      </w:pPr>
    </w:p>
    <w:p>
      <w:pPr>
        <w:spacing w:before="312" w:beforeLines="100" w:after="312" w:afterLines="100" w:line="480" w:lineRule="auto"/>
        <w:jc w:val="center"/>
        <w:rPr>
          <w:b/>
          <w:sz w:val="44"/>
          <w:szCs w:val="44"/>
        </w:rPr>
      </w:pPr>
    </w:p>
    <w:p>
      <w:pPr>
        <w:spacing w:before="312" w:beforeLines="100" w:after="312" w:afterLines="100" w:line="480" w:lineRule="auto"/>
        <w:jc w:val="center"/>
        <w:rPr>
          <w:b/>
          <w:sz w:val="44"/>
          <w:szCs w:val="44"/>
        </w:rPr>
      </w:pPr>
    </w:p>
    <w:p>
      <w:pPr>
        <w:spacing w:before="312" w:beforeLines="100" w:after="312" w:afterLines="100" w:line="480" w:lineRule="auto"/>
        <w:jc w:val="center"/>
        <w:rPr>
          <w:b/>
          <w:sz w:val="44"/>
          <w:szCs w:val="44"/>
        </w:rPr>
      </w:pPr>
    </w:p>
    <w:p>
      <w:pPr>
        <w:spacing w:before="312" w:beforeLines="100" w:after="312" w:afterLines="100" w:line="480" w:lineRule="auto"/>
        <w:jc w:val="center"/>
        <w:rPr>
          <w:b/>
          <w:sz w:val="44"/>
          <w:szCs w:val="44"/>
        </w:rPr>
      </w:pPr>
    </w:p>
    <w:p>
      <w:pPr>
        <w:pStyle w:val="26"/>
        <w:spacing w:after="0" w:line="560" w:lineRule="exact"/>
        <w:ind w:left="0"/>
        <w:jc w:val="center"/>
        <w:rPr>
          <w:b/>
          <w:sz w:val="44"/>
          <w:szCs w:val="44"/>
        </w:rPr>
      </w:pPr>
      <w:r>
        <w:rPr>
          <w:rFonts w:hint="eastAsia" w:eastAsia="方正小标宋简体"/>
          <w:kern w:val="0"/>
          <w:sz w:val="44"/>
          <w:szCs w:val="44"/>
        </w:rPr>
        <w:t>互联网新技术新业务信息安全评估报告</w:t>
      </w:r>
    </w:p>
    <w:p>
      <w:pPr>
        <w:spacing w:before="312" w:beforeLines="100" w:after="312" w:afterLines="100" w:line="480" w:lineRule="auto"/>
        <w:jc w:val="center"/>
        <w:rPr>
          <w:b/>
          <w:sz w:val="32"/>
          <w:szCs w:val="44"/>
        </w:rPr>
      </w:pPr>
    </w:p>
    <w:p>
      <w:pPr>
        <w:spacing w:line="360" w:lineRule="auto"/>
        <w:jc w:val="center"/>
        <w:rPr>
          <w:b/>
          <w:sz w:val="32"/>
          <w:szCs w:val="44"/>
        </w:rPr>
      </w:pPr>
    </w:p>
    <w:tbl>
      <w:tblPr>
        <w:tblStyle w:val="54"/>
        <w:tblW w:w="74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5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trHeight w:val="567" w:hRule="exact"/>
          <w:jc w:val="center"/>
        </w:trPr>
        <w:tc>
          <w:tcPr>
            <w:tcW w:w="1704" w:type="dxa"/>
            <w:tcBorders>
              <w:top w:val="nil"/>
              <w:left w:val="nil"/>
              <w:bottom w:val="nil"/>
              <w:right w:val="nil"/>
            </w:tcBorders>
            <w:noWrap w:val="0"/>
            <w:vAlign w:val="top"/>
          </w:tcPr>
          <w:p>
            <w:pPr>
              <w:wordWrap w:val="0"/>
              <w:spacing w:line="360" w:lineRule="auto"/>
              <w:jc w:val="right"/>
              <w:rPr>
                <w:b/>
                <w:sz w:val="32"/>
                <w:szCs w:val="44"/>
              </w:rPr>
            </w:pPr>
            <w:r>
              <w:rPr>
                <w:rFonts w:hint="eastAsia"/>
                <w:b/>
                <w:sz w:val="32"/>
                <w:szCs w:val="44"/>
              </w:rPr>
              <w:t>委托单位：</w:t>
            </w:r>
            <w:r>
              <w:rPr>
                <w:b/>
                <w:sz w:val="32"/>
                <w:szCs w:val="44"/>
              </w:rPr>
              <w:t xml:space="preserve"> </w:t>
            </w:r>
          </w:p>
        </w:tc>
        <w:tc>
          <w:tcPr>
            <w:tcW w:w="5703" w:type="dxa"/>
            <w:tcBorders>
              <w:top w:val="nil"/>
              <w:left w:val="nil"/>
              <w:right w:val="nil"/>
            </w:tcBorders>
            <w:noWrap w:val="0"/>
            <w:vAlign w:val="top"/>
          </w:tcPr>
          <w:p>
            <w:pPr>
              <w:spacing w:line="360" w:lineRule="auto"/>
              <w:jc w:val="center"/>
              <w:rPr>
                <w:b/>
                <w:sz w:val="32"/>
                <w:szCs w:val="44"/>
              </w:rPr>
            </w:pPr>
            <w:r>
              <w:rPr>
                <w:rFonts w:hint="eastAsia"/>
                <w:b/>
                <w:sz w:val="32"/>
                <w:szCs w:val="44"/>
              </w:rPr>
              <w:t>中国移动通信集团贵州有限公司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trHeight w:val="567" w:hRule="exact"/>
          <w:jc w:val="center"/>
        </w:trPr>
        <w:tc>
          <w:tcPr>
            <w:tcW w:w="1704" w:type="dxa"/>
            <w:tcBorders>
              <w:top w:val="nil"/>
              <w:left w:val="nil"/>
              <w:bottom w:val="nil"/>
              <w:right w:val="nil"/>
            </w:tcBorders>
            <w:noWrap w:val="0"/>
            <w:vAlign w:val="top"/>
          </w:tcPr>
          <w:p>
            <w:pPr>
              <w:wordWrap w:val="0"/>
              <w:spacing w:line="360" w:lineRule="auto"/>
              <w:jc w:val="right"/>
              <w:rPr>
                <w:b/>
                <w:sz w:val="32"/>
                <w:szCs w:val="44"/>
              </w:rPr>
            </w:pPr>
            <w:r>
              <w:rPr>
                <w:rFonts w:hint="eastAsia"/>
                <w:b/>
                <w:sz w:val="32"/>
                <w:szCs w:val="44"/>
              </w:rPr>
              <w:t>业务名称：</w:t>
            </w:r>
            <w:r>
              <w:rPr>
                <w:b/>
                <w:sz w:val="32"/>
                <w:szCs w:val="44"/>
              </w:rPr>
              <w:t xml:space="preserve"> </w:t>
            </w:r>
          </w:p>
        </w:tc>
        <w:tc>
          <w:tcPr>
            <w:tcW w:w="5703" w:type="dxa"/>
            <w:tcBorders>
              <w:left w:val="nil"/>
              <w:right w:val="nil"/>
            </w:tcBorders>
            <w:noWrap w:val="0"/>
            <w:vAlign w:val="top"/>
          </w:tcPr>
          <w:p>
            <w:pPr>
              <w:spacing w:line="360" w:lineRule="auto"/>
              <w:jc w:val="center"/>
              <w:rPr>
                <w:b/>
                <w:sz w:val="32"/>
                <w:szCs w:val="44"/>
              </w:rPr>
            </w:pPr>
            <w:r>
              <w:rPr>
                <w:rFonts w:hint="eastAsia"/>
                <w:b/>
                <w:sz w:val="32"/>
                <w:szCs w:val="44"/>
              </w:rPr>
              <w:t>一卡通平台</w:t>
            </w:r>
          </w:p>
        </w:tc>
      </w:tr>
    </w:tbl>
    <w:p>
      <w:pPr>
        <w:spacing w:before="312" w:beforeLines="100" w:after="312" w:afterLines="100" w:line="480" w:lineRule="auto"/>
        <w:jc w:val="center"/>
        <w:rPr>
          <w:b/>
          <w:sz w:val="32"/>
          <w:szCs w:val="44"/>
        </w:rPr>
      </w:pPr>
    </w:p>
    <w:p>
      <w:pPr>
        <w:spacing w:before="312" w:beforeLines="100" w:after="312" w:afterLines="100" w:line="480" w:lineRule="auto"/>
        <w:jc w:val="center"/>
        <w:rPr>
          <w:rFonts w:eastAsia="仿宋_GB2312"/>
          <w:b/>
          <w:sz w:val="44"/>
          <w:szCs w:val="44"/>
        </w:rPr>
      </w:pPr>
    </w:p>
    <w:p>
      <w:pPr>
        <w:spacing w:before="312" w:beforeLines="100" w:after="312" w:afterLines="100" w:line="480" w:lineRule="auto"/>
        <w:jc w:val="center"/>
        <w:rPr>
          <w:rFonts w:eastAsia="仿宋_GB2312"/>
          <w:b/>
          <w:sz w:val="44"/>
          <w:szCs w:val="44"/>
        </w:rPr>
      </w:pPr>
    </w:p>
    <w:p>
      <w:pPr>
        <w:jc w:val="center"/>
        <w:rPr>
          <w:rFonts w:eastAsia="仿宋_GB2312"/>
          <w:b/>
          <w:sz w:val="32"/>
          <w:szCs w:val="32"/>
        </w:rPr>
      </w:pPr>
      <w:r>
        <w:rPr>
          <w:rFonts w:hint="eastAsia" w:eastAsia="仿宋_GB2312"/>
          <w:b/>
          <w:sz w:val="32"/>
          <w:szCs w:val="32"/>
        </w:rPr>
        <w:t>评估单位：国家计算机网络与信息安全管理中心</w:t>
      </w:r>
    </w:p>
    <w:p>
      <w:pPr>
        <w:jc w:val="center"/>
        <w:rPr>
          <w:rFonts w:eastAsia="仿宋_GB2312"/>
          <w:b/>
          <w:sz w:val="32"/>
          <w:szCs w:val="32"/>
        </w:rPr>
      </w:pPr>
      <w:r>
        <w:rPr>
          <w:rFonts w:eastAsia="仿宋_GB2312"/>
          <w:b/>
          <w:sz w:val="32"/>
          <w:szCs w:val="32"/>
        </w:rPr>
        <w:t>2017</w:t>
      </w:r>
      <w:r>
        <w:rPr>
          <w:rFonts w:hint="eastAsia" w:eastAsia="仿宋_GB2312"/>
          <w:b/>
          <w:sz w:val="32"/>
          <w:szCs w:val="32"/>
        </w:rPr>
        <w:t>年12月</w:t>
      </w:r>
    </w:p>
    <w:p>
      <w:pPr>
        <w:jc w:val="center"/>
        <w:rPr>
          <w:rFonts w:eastAsia="仿宋_GB2312"/>
          <w:b/>
          <w:sz w:val="32"/>
          <w:szCs w:val="32"/>
        </w:rPr>
        <w:sectPr>
          <w:headerReference r:id="rId5" w:type="first"/>
          <w:headerReference r:id="rId3" w:type="default"/>
          <w:footerReference r:id="rId6" w:type="default"/>
          <w:headerReference r:id="rId4" w:type="even"/>
          <w:pgSz w:w="11906" w:h="16838"/>
          <w:pgMar w:top="1440" w:right="1797" w:bottom="1440" w:left="1287" w:header="851" w:footer="992" w:gutter="0"/>
          <w:cols w:space="425" w:num="1"/>
          <w:docGrid w:type="lines" w:linePitch="312" w:charSpace="0"/>
        </w:sectPr>
      </w:pPr>
    </w:p>
    <w:p>
      <w:pPr>
        <w:pStyle w:val="224"/>
        <w:spacing w:before="0" w:line="540" w:lineRule="exact"/>
        <w:jc w:val="center"/>
        <w:rPr>
          <w:rFonts w:ascii="Times New Roman" w:hAnsi="Times New Roman"/>
          <w:sz w:val="36"/>
          <w:szCs w:val="36"/>
        </w:rPr>
      </w:pPr>
      <w:r>
        <w:rPr>
          <w:rFonts w:hint="eastAsia" w:ascii="Times New Roman" w:hAnsi="Times New Roman"/>
          <w:color w:val="auto"/>
          <w:sz w:val="36"/>
          <w:szCs w:val="36"/>
          <w:lang w:val="zh-CN"/>
        </w:rPr>
        <w:t>目录</w:t>
      </w:r>
    </w:p>
    <w:p>
      <w:pPr>
        <w:pStyle w:val="19"/>
        <w:spacing w:line="540" w:lineRule="exact"/>
        <w:rPr>
          <w:rFonts w:ascii="Calibri" w:eastAsia="宋体" w:cs="Times New Roman"/>
          <w:b w:val="0"/>
          <w:bCs w:val="0"/>
          <w:caps w:val="0"/>
          <w:sz w:val="21"/>
          <w:szCs w:val="22"/>
          <w:lang/>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HYPERLINK \l "_Toc492772544"</w:instrText>
      </w:r>
      <w:r>
        <w:fldChar w:fldCharType="separate"/>
      </w:r>
      <w:r>
        <w:rPr>
          <w:rStyle w:val="47"/>
          <w:rFonts w:eastAsia="仿宋_GB2312"/>
          <w:lang/>
        </w:rPr>
        <w:t xml:space="preserve">1 </w:t>
      </w:r>
      <w:r>
        <w:rPr>
          <w:rStyle w:val="47"/>
          <w:rFonts w:hint="eastAsia" w:eastAsia="仿宋_GB2312"/>
          <w:lang/>
        </w:rPr>
        <w:t>业务基本情况介绍</w:t>
      </w:r>
      <w:r>
        <w:rPr>
          <w:lang/>
        </w:rPr>
        <w:tab/>
      </w:r>
      <w:r>
        <w:rPr>
          <w:lang/>
        </w:rPr>
        <w:fldChar w:fldCharType="begin"/>
      </w:r>
      <w:r>
        <w:rPr>
          <w:lang/>
        </w:rPr>
        <w:instrText xml:space="preserve"> PAGEREF _Toc492772544 \h </w:instrText>
      </w:r>
      <w:r>
        <w:rPr>
          <w:lang/>
        </w:rPr>
        <w:fldChar w:fldCharType="separate"/>
      </w:r>
      <w:r>
        <w:rPr>
          <w:lang/>
        </w:rPr>
        <w:t>3</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"_Toc492772545"</w:instrText>
      </w:r>
      <w:r>
        <w:fldChar w:fldCharType="separate"/>
      </w:r>
      <w:r>
        <w:rPr>
          <w:rStyle w:val="47"/>
          <w:rFonts w:eastAsia="仿宋_GB2312"/>
          <w:lang/>
        </w:rPr>
        <w:t xml:space="preserve">1.1 </w:t>
      </w:r>
      <w:r>
        <w:rPr>
          <w:rStyle w:val="47"/>
          <w:rFonts w:hint="eastAsia" w:eastAsia="仿宋_GB2312"/>
          <w:lang/>
        </w:rPr>
        <w:t>业务名称</w:t>
      </w:r>
      <w:r>
        <w:rPr>
          <w:lang/>
        </w:rPr>
        <w:tab/>
      </w:r>
      <w:r>
        <w:rPr>
          <w:lang/>
        </w:rPr>
        <w:fldChar w:fldCharType="begin"/>
      </w:r>
      <w:r>
        <w:rPr>
          <w:lang/>
        </w:rPr>
        <w:instrText xml:space="preserve"> PAGEREF _Toc492772545 \h </w:instrText>
      </w:r>
      <w:r>
        <w:rPr>
          <w:lang/>
        </w:rPr>
        <w:fldChar w:fldCharType="separate"/>
      </w:r>
      <w:r>
        <w:rPr>
          <w:lang/>
        </w:rPr>
        <w:t>3</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"_Toc492772546"</w:instrText>
      </w:r>
      <w:r>
        <w:fldChar w:fldCharType="separate"/>
      </w:r>
      <w:r>
        <w:rPr>
          <w:rStyle w:val="47"/>
          <w:rFonts w:eastAsia="仿宋_GB2312"/>
          <w:lang/>
        </w:rPr>
        <w:t xml:space="preserve">1.2 </w:t>
      </w:r>
      <w:r>
        <w:rPr>
          <w:rStyle w:val="47"/>
          <w:rFonts w:hint="eastAsia" w:eastAsia="仿宋_GB2312"/>
          <w:lang/>
        </w:rPr>
        <w:t>业务功能介绍</w:t>
      </w:r>
      <w:r>
        <w:rPr>
          <w:lang/>
        </w:rPr>
        <w:tab/>
      </w:r>
      <w:r>
        <w:rPr>
          <w:lang/>
        </w:rPr>
        <w:fldChar w:fldCharType="begin"/>
      </w:r>
      <w:r>
        <w:rPr>
          <w:lang/>
        </w:rPr>
        <w:instrText xml:space="preserve"> PAGEREF _Toc492772546 \h </w:instrText>
      </w:r>
      <w:r>
        <w:rPr>
          <w:lang/>
        </w:rPr>
        <w:fldChar w:fldCharType="separate"/>
      </w:r>
      <w:r>
        <w:rPr>
          <w:lang/>
        </w:rPr>
        <w:t>3</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"_Toc492772547"</w:instrText>
      </w:r>
      <w:r>
        <w:fldChar w:fldCharType="separate"/>
      </w:r>
      <w:r>
        <w:rPr>
          <w:rStyle w:val="47"/>
          <w:rFonts w:eastAsia="仿宋_GB2312"/>
          <w:lang/>
        </w:rPr>
        <w:t>1.3</w:t>
      </w:r>
      <w:r>
        <w:rPr>
          <w:rStyle w:val="47"/>
          <w:rFonts w:hint="eastAsia" w:eastAsia="仿宋_GB2312"/>
          <w:lang/>
        </w:rPr>
        <w:t>技术实现方式介绍</w:t>
      </w:r>
      <w:r>
        <w:rPr>
          <w:lang/>
        </w:rPr>
        <w:tab/>
      </w:r>
      <w:r>
        <w:rPr>
          <w:lang/>
        </w:rPr>
        <w:fldChar w:fldCharType="begin"/>
      </w:r>
      <w:r>
        <w:rPr>
          <w:lang/>
        </w:rPr>
        <w:instrText xml:space="preserve"> PAGEREF _Toc492772547 \h </w:instrText>
      </w:r>
      <w:r>
        <w:rPr>
          <w:lang/>
        </w:rPr>
        <w:fldChar w:fldCharType="separate"/>
      </w:r>
      <w:r>
        <w:rPr>
          <w:lang/>
        </w:rPr>
        <w:t>4</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"_Toc492772548"</w:instrText>
      </w:r>
      <w:r>
        <w:fldChar w:fldCharType="separate"/>
      </w:r>
      <w:r>
        <w:rPr>
          <w:rStyle w:val="47"/>
          <w:rFonts w:eastAsia="仿宋_GB2312"/>
          <w:lang/>
        </w:rPr>
        <w:t>1.4</w:t>
      </w:r>
      <w:r>
        <w:rPr>
          <w:rStyle w:val="47"/>
          <w:rFonts w:hint="eastAsia" w:eastAsia="仿宋_GB2312"/>
          <w:lang/>
        </w:rPr>
        <w:t>（预期）用户规模</w:t>
      </w:r>
      <w:r>
        <w:rPr>
          <w:lang/>
        </w:rPr>
        <w:tab/>
      </w:r>
      <w:r>
        <w:rPr>
          <w:lang/>
        </w:rPr>
        <w:fldChar w:fldCharType="begin"/>
      </w:r>
      <w:r>
        <w:rPr>
          <w:lang/>
        </w:rPr>
        <w:instrText xml:space="preserve"> PAGEREF _Toc492772548 \h </w:instrText>
      </w:r>
      <w:r>
        <w:rPr>
          <w:lang/>
        </w:rPr>
        <w:fldChar w:fldCharType="separate"/>
      </w:r>
      <w:r>
        <w:rPr>
          <w:lang/>
        </w:rPr>
        <w:t>5</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"_Toc492772549"</w:instrText>
      </w:r>
      <w:r>
        <w:fldChar w:fldCharType="separate"/>
      </w:r>
      <w:r>
        <w:rPr>
          <w:rStyle w:val="47"/>
          <w:rFonts w:eastAsia="仿宋_GB2312"/>
          <w:lang/>
        </w:rPr>
        <w:t xml:space="preserve">1.5 </w:t>
      </w:r>
      <w:r>
        <w:rPr>
          <w:rStyle w:val="47"/>
          <w:rFonts w:hint="eastAsia" w:eastAsia="仿宋_GB2312"/>
          <w:lang/>
        </w:rPr>
        <w:t>市场发展情况</w:t>
      </w:r>
      <w:r>
        <w:rPr>
          <w:lang/>
        </w:rPr>
        <w:tab/>
      </w:r>
      <w:r>
        <w:rPr>
          <w:lang/>
        </w:rPr>
        <w:fldChar w:fldCharType="begin"/>
      </w:r>
      <w:r>
        <w:rPr>
          <w:lang/>
        </w:rPr>
        <w:instrText xml:space="preserve"> PAGEREF _Toc492772549 \h </w:instrText>
      </w:r>
      <w:r>
        <w:rPr>
          <w:lang/>
        </w:rPr>
        <w:fldChar w:fldCharType="separate"/>
      </w:r>
      <w:r>
        <w:rPr>
          <w:lang/>
        </w:rPr>
        <w:t>5</w:t>
      </w:r>
      <w:r>
        <w:rPr>
          <w:lang/>
        </w:rPr>
        <w:fldChar w:fldCharType="end"/>
      </w:r>
      <w:r>
        <w:fldChar w:fldCharType="end"/>
      </w:r>
    </w:p>
    <w:p>
      <w:pPr>
        <w:pStyle w:val="19"/>
        <w:spacing w:line="540" w:lineRule="exact"/>
        <w:rPr>
          <w:rFonts w:ascii="Calibri" w:eastAsia="宋体" w:cs="Times New Roman"/>
          <w:b w:val="0"/>
          <w:bCs w:val="0"/>
          <w:caps w:val="0"/>
          <w:sz w:val="21"/>
          <w:szCs w:val="22"/>
          <w:lang/>
        </w:rPr>
      </w:pPr>
      <w:r>
        <w:fldChar w:fldCharType="begin"/>
      </w:r>
      <w:r>
        <w:instrText xml:space="preserve">HYPERLINK \l "_Toc492772550"</w:instrText>
      </w:r>
      <w:r>
        <w:fldChar w:fldCharType="separate"/>
      </w:r>
      <w:r>
        <w:rPr>
          <w:rStyle w:val="47"/>
          <w:rFonts w:eastAsia="仿宋_GB2312"/>
          <w:lang/>
        </w:rPr>
        <w:t xml:space="preserve">2 </w:t>
      </w:r>
      <w:r>
        <w:rPr>
          <w:rStyle w:val="47"/>
          <w:rFonts w:hint="eastAsia" w:eastAsia="仿宋_GB2312"/>
          <w:lang/>
        </w:rPr>
        <w:t>安全评估情况</w:t>
      </w:r>
      <w:r>
        <w:rPr>
          <w:lang/>
        </w:rPr>
        <w:tab/>
      </w:r>
      <w:r>
        <w:rPr>
          <w:lang/>
        </w:rPr>
        <w:fldChar w:fldCharType="begin"/>
      </w:r>
      <w:r>
        <w:rPr>
          <w:lang/>
        </w:rPr>
        <w:instrText xml:space="preserve"> PAGEREF _Toc492772550 \h </w:instrText>
      </w:r>
      <w:r>
        <w:rPr>
          <w:lang/>
        </w:rPr>
        <w:fldChar w:fldCharType="separate"/>
      </w:r>
      <w:r>
        <w:rPr>
          <w:lang/>
        </w:rPr>
        <w:t>7</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"_Toc492772551"</w:instrText>
      </w:r>
      <w:r>
        <w:fldChar w:fldCharType="separate"/>
      </w:r>
      <w:r>
        <w:rPr>
          <w:rStyle w:val="47"/>
          <w:rFonts w:eastAsia="仿宋_GB2312"/>
          <w:lang/>
        </w:rPr>
        <w:t xml:space="preserve">2.1 </w:t>
      </w:r>
      <w:r>
        <w:rPr>
          <w:rStyle w:val="47"/>
          <w:rFonts w:hint="eastAsia" w:eastAsia="仿宋_GB2312"/>
          <w:lang/>
        </w:rPr>
        <w:t>安全评估情况概述</w:t>
      </w:r>
      <w:r>
        <w:rPr>
          <w:lang/>
        </w:rPr>
        <w:tab/>
      </w:r>
      <w:r>
        <w:rPr>
          <w:lang/>
        </w:rPr>
        <w:fldChar w:fldCharType="begin"/>
      </w:r>
      <w:r>
        <w:rPr>
          <w:lang/>
        </w:rPr>
        <w:instrText xml:space="preserve"> PAGEREF _Toc492772551 \h </w:instrText>
      </w:r>
      <w:r>
        <w:rPr>
          <w:lang/>
        </w:rPr>
        <w:fldChar w:fldCharType="separate"/>
      </w:r>
      <w:r>
        <w:rPr>
          <w:lang/>
        </w:rPr>
        <w:t>7</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"_Toc492772552"</w:instrText>
      </w:r>
      <w:r>
        <w:fldChar w:fldCharType="separate"/>
      </w:r>
      <w:r>
        <w:rPr>
          <w:rStyle w:val="47"/>
          <w:rFonts w:eastAsia="仿宋_GB2312"/>
          <w:lang/>
        </w:rPr>
        <w:t xml:space="preserve">2.2 </w:t>
      </w:r>
      <w:r>
        <w:rPr>
          <w:rStyle w:val="47"/>
          <w:rFonts w:hint="eastAsia" w:eastAsia="仿宋_GB2312"/>
          <w:lang/>
        </w:rPr>
        <w:t>评估人员组成</w:t>
      </w:r>
      <w:r>
        <w:rPr>
          <w:lang/>
        </w:rPr>
        <w:tab/>
      </w:r>
      <w:r>
        <w:rPr>
          <w:lang/>
        </w:rPr>
        <w:fldChar w:fldCharType="begin"/>
      </w:r>
      <w:r>
        <w:rPr>
          <w:lang/>
        </w:rPr>
        <w:instrText xml:space="preserve"> PAGEREF _Toc492772552 \h </w:instrText>
      </w:r>
      <w:r>
        <w:rPr>
          <w:lang/>
        </w:rPr>
        <w:fldChar w:fldCharType="separate"/>
      </w:r>
      <w:r>
        <w:rPr>
          <w:lang/>
        </w:rPr>
        <w:t>11</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"_Toc492772553"</w:instrText>
      </w:r>
      <w:r>
        <w:fldChar w:fldCharType="separate"/>
      </w:r>
      <w:r>
        <w:rPr>
          <w:rStyle w:val="47"/>
          <w:rFonts w:eastAsia="仿宋_GB2312"/>
          <w:lang/>
        </w:rPr>
        <w:t xml:space="preserve">2.3 </w:t>
      </w:r>
      <w:r>
        <w:rPr>
          <w:rStyle w:val="47"/>
          <w:rFonts w:hint="eastAsia" w:eastAsia="仿宋_GB2312"/>
          <w:lang/>
        </w:rPr>
        <w:t>评估实施流程</w:t>
      </w:r>
      <w:r>
        <w:rPr>
          <w:lang/>
        </w:rPr>
        <w:tab/>
      </w:r>
      <w:r>
        <w:rPr>
          <w:lang/>
        </w:rPr>
        <w:fldChar w:fldCharType="begin"/>
      </w:r>
      <w:r>
        <w:rPr>
          <w:lang/>
        </w:rPr>
        <w:instrText xml:space="preserve"> PAGEREF _Toc492772553 \h </w:instrText>
      </w:r>
      <w:r>
        <w:rPr>
          <w:lang/>
        </w:rPr>
        <w:fldChar w:fldCharType="separate"/>
      </w:r>
      <w:r>
        <w:rPr>
          <w:lang/>
        </w:rPr>
        <w:t>11</w:t>
      </w:r>
      <w:r>
        <w:rPr>
          <w:lang/>
        </w:rPr>
        <w:fldChar w:fldCharType="end"/>
      </w:r>
      <w:r>
        <w:fldChar w:fldCharType="end"/>
      </w:r>
    </w:p>
    <w:p>
      <w:pPr>
        <w:pStyle w:val="19"/>
        <w:spacing w:line="540" w:lineRule="exact"/>
        <w:rPr>
          <w:rFonts w:ascii="Calibri" w:eastAsia="宋体" w:cs="Times New Roman"/>
          <w:b w:val="0"/>
          <w:bCs w:val="0"/>
          <w:caps w:val="0"/>
          <w:sz w:val="21"/>
          <w:szCs w:val="22"/>
          <w:lang/>
        </w:rPr>
      </w:pPr>
      <w:r>
        <w:fldChar w:fldCharType="begin"/>
      </w:r>
      <w:r>
        <w:instrText xml:space="preserve">HYPERLINK \l "_Toc492772554"</w:instrText>
      </w:r>
      <w:r>
        <w:fldChar w:fldCharType="separate"/>
      </w:r>
      <w:r>
        <w:rPr>
          <w:rStyle w:val="47"/>
          <w:rFonts w:eastAsia="仿宋_GB2312"/>
          <w:lang/>
        </w:rPr>
        <w:t xml:space="preserve">3 </w:t>
      </w:r>
      <w:r>
        <w:rPr>
          <w:rStyle w:val="47"/>
          <w:rFonts w:hint="eastAsia" w:eastAsia="仿宋_GB2312"/>
          <w:lang/>
        </w:rPr>
        <w:t>业务安全风险分析</w:t>
      </w:r>
      <w:r>
        <w:rPr>
          <w:lang/>
        </w:rPr>
        <w:tab/>
      </w:r>
      <w:r>
        <w:rPr>
          <w:lang/>
        </w:rPr>
        <w:fldChar w:fldCharType="begin"/>
      </w:r>
      <w:r>
        <w:rPr>
          <w:lang/>
        </w:rPr>
        <w:instrText xml:space="preserve"> PAGEREF _Toc492772554 \h </w:instrText>
      </w:r>
      <w:r>
        <w:rPr>
          <w:lang/>
        </w:rPr>
        <w:fldChar w:fldCharType="separate"/>
      </w:r>
      <w:r>
        <w:rPr>
          <w:lang/>
        </w:rPr>
        <w:t>12</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"_Toc492772555"</w:instrText>
      </w:r>
      <w:r>
        <w:fldChar w:fldCharType="separate"/>
      </w:r>
      <w:r>
        <w:rPr>
          <w:rStyle w:val="47"/>
          <w:rFonts w:eastAsia="仿宋_GB2312"/>
          <w:lang/>
        </w:rPr>
        <w:t xml:space="preserve">3.1 </w:t>
      </w:r>
      <w:r>
        <w:rPr>
          <w:rStyle w:val="47"/>
          <w:rFonts w:hint="eastAsia" w:eastAsia="仿宋_GB2312"/>
          <w:lang/>
        </w:rPr>
        <w:t>安全风险分析表</w:t>
      </w:r>
      <w:r>
        <w:rPr>
          <w:lang/>
        </w:rPr>
        <w:tab/>
      </w:r>
      <w:r>
        <w:rPr>
          <w:lang/>
        </w:rPr>
        <w:fldChar w:fldCharType="begin"/>
      </w:r>
      <w:r>
        <w:rPr>
          <w:lang/>
        </w:rPr>
        <w:instrText xml:space="preserve"> PAGEREF _Toc492772555 \h </w:instrText>
      </w:r>
      <w:r>
        <w:rPr>
          <w:lang/>
        </w:rPr>
        <w:fldChar w:fldCharType="separate"/>
      </w:r>
      <w:r>
        <w:rPr>
          <w:lang/>
        </w:rPr>
        <w:t>12</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"_Toc492772556"</w:instrText>
      </w:r>
      <w:r>
        <w:fldChar w:fldCharType="separate"/>
      </w:r>
      <w:r>
        <w:rPr>
          <w:rStyle w:val="47"/>
          <w:rFonts w:eastAsia="仿宋_GB2312"/>
          <w:lang/>
        </w:rPr>
        <w:t xml:space="preserve">3.2 </w:t>
      </w:r>
      <w:r>
        <w:rPr>
          <w:rStyle w:val="47"/>
          <w:rFonts w:hint="eastAsia" w:eastAsia="仿宋_GB2312"/>
          <w:lang/>
        </w:rPr>
        <w:t>风险说明</w:t>
      </w:r>
      <w:r>
        <w:rPr>
          <w:lang/>
        </w:rPr>
        <w:tab/>
      </w:r>
      <w:r>
        <w:rPr>
          <w:lang/>
        </w:rPr>
        <w:fldChar w:fldCharType="begin"/>
      </w:r>
      <w:r>
        <w:rPr>
          <w:lang/>
        </w:rPr>
        <w:instrText xml:space="preserve"> PAGEREF _Toc492772556 \h </w:instrText>
      </w:r>
      <w:r>
        <w:rPr>
          <w:lang/>
        </w:rPr>
        <w:fldChar w:fldCharType="separate"/>
      </w:r>
      <w:r>
        <w:rPr>
          <w:lang/>
        </w:rPr>
        <w:t>15</w:t>
      </w:r>
      <w:r>
        <w:rPr>
          <w:lang/>
        </w:rPr>
        <w:fldChar w:fldCharType="end"/>
      </w:r>
      <w:r>
        <w:fldChar w:fldCharType="end"/>
      </w:r>
    </w:p>
    <w:p>
      <w:pPr>
        <w:pStyle w:val="19"/>
        <w:spacing w:line="540" w:lineRule="exact"/>
        <w:rPr>
          <w:rFonts w:ascii="Calibri" w:eastAsia="宋体" w:cs="Times New Roman"/>
          <w:b w:val="0"/>
          <w:bCs w:val="0"/>
          <w:caps w:val="0"/>
          <w:sz w:val="21"/>
          <w:szCs w:val="22"/>
          <w:lang/>
        </w:rPr>
      </w:pPr>
      <w:r>
        <w:fldChar w:fldCharType="begin"/>
      </w:r>
      <w:r>
        <w:instrText xml:space="preserve">HYPERLINK \l "_Toc492772557"</w:instrText>
      </w:r>
      <w:r>
        <w:fldChar w:fldCharType="separate"/>
      </w:r>
      <w:r>
        <w:rPr>
          <w:rStyle w:val="47"/>
          <w:rFonts w:eastAsia="仿宋_GB2312"/>
          <w:lang/>
        </w:rPr>
        <w:t xml:space="preserve">4 </w:t>
      </w:r>
      <w:r>
        <w:rPr>
          <w:rStyle w:val="47"/>
          <w:rFonts w:hint="eastAsia" w:eastAsia="仿宋_GB2312"/>
          <w:lang/>
        </w:rPr>
        <w:t>配套安全管理措施</w:t>
      </w:r>
      <w:r>
        <w:rPr>
          <w:lang/>
        </w:rPr>
        <w:tab/>
      </w:r>
      <w:r>
        <w:rPr>
          <w:lang/>
        </w:rPr>
        <w:fldChar w:fldCharType="begin"/>
      </w:r>
      <w:r>
        <w:rPr>
          <w:lang/>
        </w:rPr>
        <w:instrText xml:space="preserve"> PAGEREF _Toc492772557 \h </w:instrText>
      </w:r>
      <w:r>
        <w:rPr>
          <w:lang/>
        </w:rPr>
        <w:fldChar w:fldCharType="separate"/>
      </w:r>
      <w:r>
        <w:rPr>
          <w:lang/>
        </w:rPr>
        <w:t>16</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"_Toc492772558"</w:instrText>
      </w:r>
      <w:r>
        <w:fldChar w:fldCharType="separate"/>
      </w:r>
      <w:r>
        <w:rPr>
          <w:rStyle w:val="47"/>
          <w:rFonts w:eastAsia="仿宋_GB2312"/>
          <w:lang/>
        </w:rPr>
        <w:t xml:space="preserve">4.1 </w:t>
      </w:r>
      <w:r>
        <w:rPr>
          <w:rStyle w:val="47"/>
          <w:rFonts w:hint="eastAsia" w:eastAsia="仿宋_GB2312"/>
          <w:lang/>
        </w:rPr>
        <w:t>日常安全管理</w:t>
      </w:r>
      <w:bookmarkStart w:id="0" w:name="_Hlt501458323"/>
      <w:bookmarkStart w:id="1" w:name="_Hlt501458324"/>
      <w:r>
        <w:rPr>
          <w:rStyle w:val="47"/>
          <w:rFonts w:hint="eastAsia" w:eastAsia="仿宋_GB2312"/>
          <w:lang/>
        </w:rPr>
        <w:t>介</w:t>
      </w:r>
      <w:bookmarkEnd w:id="0"/>
      <w:bookmarkEnd w:id="1"/>
      <w:r>
        <w:rPr>
          <w:rStyle w:val="47"/>
          <w:rFonts w:hint="eastAsia" w:eastAsia="仿宋_GB2312"/>
          <w:lang/>
        </w:rPr>
        <w:t>绍</w:t>
      </w:r>
      <w:r>
        <w:rPr>
          <w:lang/>
        </w:rPr>
        <w:tab/>
      </w:r>
      <w:r>
        <w:rPr>
          <w:lang/>
        </w:rPr>
        <w:fldChar w:fldCharType="begin"/>
      </w:r>
      <w:r>
        <w:rPr>
          <w:lang/>
        </w:rPr>
        <w:instrText xml:space="preserve"> PAGEREF _Toc492772558 \h </w:instrText>
      </w:r>
      <w:r>
        <w:rPr>
          <w:lang/>
        </w:rPr>
        <w:fldChar w:fldCharType="separate"/>
      </w:r>
      <w:r>
        <w:rPr>
          <w:lang/>
        </w:rPr>
        <w:t>16</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"_Toc492772559"</w:instrText>
      </w:r>
      <w:r>
        <w:fldChar w:fldCharType="separate"/>
      </w:r>
      <w:r>
        <w:rPr>
          <w:rStyle w:val="47"/>
          <w:rFonts w:eastAsia="仿宋_GB2312"/>
          <w:lang/>
        </w:rPr>
        <w:t xml:space="preserve">4.2 </w:t>
      </w:r>
      <w:r>
        <w:rPr>
          <w:rStyle w:val="47"/>
          <w:rFonts w:hint="eastAsia" w:eastAsia="仿宋_GB2312"/>
          <w:lang/>
        </w:rPr>
        <w:t>应急管理措施介绍</w:t>
      </w:r>
      <w:r>
        <w:rPr>
          <w:lang/>
        </w:rPr>
        <w:tab/>
      </w:r>
      <w:r>
        <w:rPr>
          <w:lang/>
        </w:rPr>
        <w:fldChar w:fldCharType="begin"/>
      </w:r>
      <w:r>
        <w:rPr>
          <w:lang/>
        </w:rPr>
        <w:instrText xml:space="preserve"> PAGEREF _Toc492772559 \h </w:instrText>
      </w:r>
      <w:r>
        <w:rPr>
          <w:lang/>
        </w:rPr>
        <w:fldChar w:fldCharType="separate"/>
      </w:r>
      <w:r>
        <w:rPr>
          <w:lang/>
        </w:rPr>
        <w:t>17</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"_Toc492772560"</w:instrText>
      </w:r>
      <w:r>
        <w:fldChar w:fldCharType="separate"/>
      </w:r>
      <w:r>
        <w:rPr>
          <w:rStyle w:val="47"/>
          <w:rFonts w:eastAsia="仿宋_GB2312"/>
          <w:lang/>
        </w:rPr>
        <w:t xml:space="preserve">4.3 </w:t>
      </w:r>
      <w:r>
        <w:rPr>
          <w:rStyle w:val="47"/>
          <w:rFonts w:hint="eastAsia" w:eastAsia="仿宋_GB2312"/>
          <w:lang/>
        </w:rPr>
        <w:t>安全保障能力分析表</w:t>
      </w:r>
      <w:r>
        <w:rPr>
          <w:lang/>
        </w:rPr>
        <w:tab/>
      </w:r>
      <w:r>
        <w:rPr>
          <w:lang/>
        </w:rPr>
        <w:fldChar w:fldCharType="begin"/>
      </w:r>
      <w:r>
        <w:rPr>
          <w:lang/>
        </w:rPr>
        <w:instrText xml:space="preserve"> PAGEREF _Toc492772560 \h </w:instrText>
      </w:r>
      <w:r>
        <w:rPr>
          <w:lang/>
        </w:rPr>
        <w:fldChar w:fldCharType="separate"/>
      </w:r>
      <w:r>
        <w:rPr>
          <w:lang/>
        </w:rPr>
        <w:t>20</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"_Toc492772561"</w:instrText>
      </w:r>
      <w:r>
        <w:fldChar w:fldCharType="separate"/>
      </w:r>
      <w:r>
        <w:rPr>
          <w:rStyle w:val="47"/>
          <w:rFonts w:eastAsia="仿宋_GB2312"/>
          <w:lang/>
        </w:rPr>
        <w:t>4.4</w:t>
      </w:r>
      <w:r>
        <w:rPr>
          <w:rStyle w:val="47"/>
          <w:rFonts w:hint="eastAsia" w:eastAsia="仿宋_GB2312"/>
          <w:lang/>
        </w:rPr>
        <w:t>安全保障能力说明</w:t>
      </w:r>
      <w:r>
        <w:rPr>
          <w:lang/>
        </w:rPr>
        <w:tab/>
      </w:r>
      <w:r>
        <w:rPr>
          <w:lang/>
        </w:rPr>
        <w:fldChar w:fldCharType="begin"/>
      </w:r>
      <w:r>
        <w:rPr>
          <w:lang/>
        </w:rPr>
        <w:instrText xml:space="preserve"> PAGEREF _Toc492772561 \h </w:instrText>
      </w:r>
      <w:r>
        <w:rPr>
          <w:lang/>
        </w:rPr>
        <w:fldChar w:fldCharType="separate"/>
      </w:r>
      <w:r>
        <w:rPr>
          <w:lang/>
        </w:rPr>
        <w:t>26</w:t>
      </w:r>
      <w:r>
        <w:rPr>
          <w:lang/>
        </w:rPr>
        <w:fldChar w:fldCharType="end"/>
      </w:r>
      <w:r>
        <w:fldChar w:fldCharType="end"/>
      </w:r>
    </w:p>
    <w:p>
      <w:pPr>
        <w:pStyle w:val="19"/>
        <w:spacing w:line="540" w:lineRule="exact"/>
        <w:rPr>
          <w:rFonts w:ascii="Calibri" w:eastAsia="宋体" w:cs="Times New Roman"/>
          <w:b w:val="0"/>
          <w:bCs w:val="0"/>
          <w:caps w:val="0"/>
          <w:sz w:val="21"/>
          <w:szCs w:val="22"/>
          <w:lang/>
        </w:rPr>
      </w:pPr>
      <w:r>
        <w:fldChar w:fldCharType="begin"/>
      </w:r>
      <w:r>
        <w:instrText xml:space="preserve">HYPERLINK \l "_Toc492772562"</w:instrText>
      </w:r>
      <w:r>
        <w:fldChar w:fldCharType="separate"/>
      </w:r>
      <w:r>
        <w:rPr>
          <w:rStyle w:val="47"/>
          <w:rFonts w:eastAsia="仿宋_GB2312"/>
          <w:lang/>
        </w:rPr>
        <w:t xml:space="preserve">5 </w:t>
      </w:r>
      <w:r>
        <w:rPr>
          <w:rStyle w:val="47"/>
          <w:rFonts w:hint="eastAsia" w:eastAsia="仿宋_GB2312"/>
          <w:lang/>
        </w:rPr>
        <w:t>评估结果</w:t>
      </w:r>
      <w:r>
        <w:rPr>
          <w:lang/>
        </w:rPr>
        <w:tab/>
      </w:r>
      <w:r>
        <w:rPr>
          <w:lang/>
        </w:rPr>
        <w:fldChar w:fldCharType="begin"/>
      </w:r>
      <w:r>
        <w:rPr>
          <w:lang/>
        </w:rPr>
        <w:instrText xml:space="preserve"> PAGEREF _Toc492772562 \h </w:instrText>
      </w:r>
      <w:r>
        <w:rPr>
          <w:lang/>
        </w:rPr>
        <w:fldChar w:fldCharType="separate"/>
      </w:r>
      <w:r>
        <w:rPr>
          <w:lang/>
        </w:rPr>
        <w:t>27</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"_Toc492772563"</w:instrText>
      </w:r>
      <w:r>
        <w:fldChar w:fldCharType="separate"/>
      </w:r>
      <w:r>
        <w:rPr>
          <w:rStyle w:val="47"/>
          <w:rFonts w:eastAsia="仿宋_GB2312"/>
          <w:lang/>
        </w:rPr>
        <w:t xml:space="preserve">5.1 </w:t>
      </w:r>
      <w:r>
        <w:rPr>
          <w:rStyle w:val="47"/>
          <w:rFonts w:hint="eastAsia" w:eastAsia="仿宋_GB2312"/>
          <w:lang/>
        </w:rPr>
        <w:t>信息安全管理风险评估结果</w:t>
      </w:r>
      <w:r>
        <w:rPr>
          <w:lang/>
        </w:rPr>
        <w:tab/>
      </w:r>
      <w:r>
        <w:rPr>
          <w:lang/>
        </w:rPr>
        <w:fldChar w:fldCharType="begin"/>
      </w:r>
      <w:r>
        <w:rPr>
          <w:lang/>
        </w:rPr>
        <w:instrText xml:space="preserve"> PAGEREF _Toc492772563 \h </w:instrText>
      </w:r>
      <w:r>
        <w:rPr>
          <w:lang/>
        </w:rPr>
        <w:fldChar w:fldCharType="separate"/>
      </w:r>
      <w:r>
        <w:rPr>
          <w:lang/>
        </w:rPr>
        <w:t>27</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"_Toc492772564"</w:instrText>
      </w:r>
      <w:r>
        <w:fldChar w:fldCharType="separate"/>
      </w:r>
      <w:r>
        <w:rPr>
          <w:rStyle w:val="47"/>
          <w:rFonts w:eastAsia="仿宋_GB2312"/>
          <w:lang/>
        </w:rPr>
        <w:t xml:space="preserve">5.2 </w:t>
      </w:r>
      <w:r>
        <w:rPr>
          <w:rStyle w:val="47"/>
          <w:rFonts w:hint="eastAsia" w:eastAsia="仿宋_GB2312"/>
          <w:lang/>
        </w:rPr>
        <w:t>信息内容安全风险评估结果</w:t>
      </w:r>
      <w:r>
        <w:rPr>
          <w:lang/>
        </w:rPr>
        <w:tab/>
      </w:r>
      <w:r>
        <w:rPr>
          <w:lang/>
        </w:rPr>
        <w:fldChar w:fldCharType="begin"/>
      </w:r>
      <w:r>
        <w:rPr>
          <w:lang/>
        </w:rPr>
        <w:instrText xml:space="preserve"> PAGEREF _Toc492772564 \h </w:instrText>
      </w:r>
      <w:r>
        <w:rPr>
          <w:lang/>
        </w:rPr>
        <w:fldChar w:fldCharType="separate"/>
      </w:r>
      <w:r>
        <w:rPr>
          <w:lang/>
        </w:rPr>
        <w:t>28</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"_Toc492772565"</w:instrText>
      </w:r>
      <w:r>
        <w:fldChar w:fldCharType="separate"/>
      </w:r>
      <w:r>
        <w:rPr>
          <w:rStyle w:val="47"/>
          <w:rFonts w:eastAsia="仿宋_GB2312"/>
          <w:lang/>
        </w:rPr>
        <w:t xml:space="preserve">5.3 </w:t>
      </w:r>
      <w:r>
        <w:rPr>
          <w:rStyle w:val="47"/>
          <w:rFonts w:hint="eastAsia" w:eastAsia="仿宋_GB2312"/>
          <w:lang/>
        </w:rPr>
        <w:t>用户信息安全风险评估结果</w:t>
      </w:r>
      <w:r>
        <w:rPr>
          <w:lang/>
        </w:rPr>
        <w:tab/>
      </w:r>
      <w:r>
        <w:rPr>
          <w:lang/>
        </w:rPr>
        <w:fldChar w:fldCharType="begin"/>
      </w:r>
      <w:r>
        <w:rPr>
          <w:lang/>
        </w:rPr>
        <w:instrText xml:space="preserve"> PAGEREF _Toc492772565 \h </w:instrText>
      </w:r>
      <w:r>
        <w:rPr>
          <w:lang/>
        </w:rPr>
        <w:fldChar w:fldCharType="separate"/>
      </w:r>
      <w:r>
        <w:rPr>
          <w:lang/>
        </w:rPr>
        <w:t>29</w:t>
      </w:r>
      <w:r>
        <w:rPr>
          <w:lang/>
        </w:rPr>
        <w:fldChar w:fldCharType="end"/>
      </w:r>
      <w:r>
        <w:fldChar w:fldCharType="end"/>
      </w:r>
    </w:p>
    <w:p>
      <w:pPr>
        <w:pStyle w:val="18"/>
        <w:spacing w:line="540" w:lineRule="exact"/>
        <w:ind w:left="0"/>
        <w:rPr>
          <w:rFonts w:ascii="Calibri" w:eastAsia="宋体" w:cs="Times New Roman"/>
          <w:smallCaps w:val="0"/>
          <w:sz w:val="21"/>
          <w:szCs w:val="22"/>
          <w:lang/>
        </w:rPr>
      </w:pPr>
      <w:r>
        <w:fldChar w:fldCharType="begin"/>
      </w:r>
      <w:r>
        <w:instrText xml:space="preserve">HYPERLINK \l "_Toc492772566"</w:instrText>
      </w:r>
      <w:r>
        <w:fldChar w:fldCharType="separate"/>
      </w:r>
      <w:r>
        <w:rPr>
          <w:rStyle w:val="47"/>
          <w:rFonts w:eastAsia="仿宋_GB2312"/>
          <w:lang/>
        </w:rPr>
        <w:t xml:space="preserve">5.4 </w:t>
      </w:r>
      <w:r>
        <w:rPr>
          <w:rStyle w:val="47"/>
          <w:rFonts w:hint="eastAsia" w:eastAsia="仿宋_GB2312"/>
          <w:lang/>
        </w:rPr>
        <w:t>业务平台安全风险评估结果</w:t>
      </w:r>
      <w:r>
        <w:rPr>
          <w:lang/>
        </w:rPr>
        <w:tab/>
      </w:r>
      <w:r>
        <w:rPr>
          <w:lang/>
        </w:rPr>
        <w:fldChar w:fldCharType="begin"/>
      </w:r>
      <w:r>
        <w:rPr>
          <w:lang/>
        </w:rPr>
        <w:instrText xml:space="preserve"> PAGEREF _Toc492772566 \h </w:instrText>
      </w:r>
      <w:r>
        <w:rPr>
          <w:lang/>
        </w:rPr>
        <w:fldChar w:fldCharType="separate"/>
      </w:r>
      <w:r>
        <w:rPr>
          <w:lang/>
        </w:rPr>
        <w:t>30</w:t>
      </w:r>
      <w:r>
        <w:rPr>
          <w:lang/>
        </w:rPr>
        <w:fldChar w:fldCharType="end"/>
      </w:r>
      <w:r>
        <w:fldChar w:fldCharType="end"/>
      </w:r>
    </w:p>
    <w:p>
      <w:pPr>
        <w:pStyle w:val="19"/>
        <w:spacing w:line="540" w:lineRule="exact"/>
        <w:rPr>
          <w:rFonts w:ascii="Times New Roman" w:hAnsi="Times New Roman" w:cs="Times New Roman"/>
        </w:rPr>
      </w:pPr>
      <w:r>
        <w:fldChar w:fldCharType="begin"/>
      </w:r>
      <w:r>
        <w:instrText xml:space="preserve">HYPERLINK \l "_Toc492772567"</w:instrText>
      </w:r>
      <w:r>
        <w:fldChar w:fldCharType="separate"/>
      </w:r>
      <w:r>
        <w:rPr>
          <w:rStyle w:val="47"/>
          <w:rFonts w:eastAsia="仿宋_GB2312"/>
          <w:lang/>
        </w:rPr>
        <w:t xml:space="preserve">6 </w:t>
      </w:r>
      <w:r>
        <w:rPr>
          <w:rStyle w:val="47"/>
          <w:rFonts w:hint="eastAsia" w:eastAsia="仿宋_GB2312"/>
          <w:lang/>
        </w:rPr>
        <w:t>安全评估结论意见</w:t>
      </w:r>
      <w:r>
        <w:rPr>
          <w:lang/>
        </w:rPr>
        <w:tab/>
      </w:r>
      <w:r>
        <w:rPr>
          <w:lang/>
        </w:rPr>
        <w:fldChar w:fldCharType="begin"/>
      </w:r>
      <w:r>
        <w:rPr>
          <w:lang/>
        </w:rPr>
        <w:instrText xml:space="preserve"> PAGEREF _Toc492772567 \h </w:instrText>
      </w:r>
      <w:r>
        <w:rPr>
          <w:lang/>
        </w:rPr>
        <w:fldChar w:fldCharType="separate"/>
      </w:r>
      <w:r>
        <w:rPr>
          <w:lang/>
        </w:rPr>
        <w:t>30</w:t>
      </w:r>
      <w:r>
        <w:rPr>
          <w:lang/>
        </w:rPr>
        <w:fldChar w:fldCharType="end"/>
      </w:r>
      <w:r>
        <w:fldChar w:fldCharType="end"/>
      </w:r>
      <w:r>
        <w:rPr>
          <w:rFonts w:ascii="Times New Roman" w:hAnsi="Times New Roman" w:cs="Times New Roman"/>
        </w:rPr>
        <w:fldChar w:fldCharType="end"/>
      </w:r>
    </w:p>
    <w:p>
      <w:pPr>
        <w:pStyle w:val="2"/>
        <w:spacing w:before="0" w:after="0" w:line="240" w:lineRule="auto"/>
        <w:rPr>
          <w:rFonts w:hint="eastAsia" w:ascii="仿宋_GB2312" w:eastAsia="仿宋_GB2312"/>
          <w:sz w:val="32"/>
          <w:szCs w:val="32"/>
        </w:rPr>
      </w:pPr>
      <w:bookmarkStart w:id="2" w:name="_Toc492772544"/>
      <w:r>
        <w:rPr>
          <w:rFonts w:hint="eastAsia" w:ascii="仿宋_GB2312" w:eastAsia="仿宋_GB2312"/>
          <w:sz w:val="32"/>
          <w:szCs w:val="32"/>
        </w:rPr>
        <w:t>1 业务基本情况介绍</w:t>
      </w:r>
      <w:bookmarkEnd w:id="2"/>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“一卡通平台”是贵州移动为学校和企业提供一卡通产品服务的平台，能够帮助用户使用手机卡在食堂、超市等地刷卡消费，提供门禁功能、每月考勤统计等服务。</w:t>
      </w:r>
    </w:p>
    <w:p>
      <w:pPr>
        <w:pStyle w:val="3"/>
        <w:spacing w:before="0" w:after="0" w:line="240" w:lineRule="auto"/>
        <w:rPr>
          <w:rFonts w:hint="eastAsia" w:ascii="仿宋_GB2312" w:hAnsi="Times New Roman" w:eastAsia="仿宋_GB2312"/>
        </w:rPr>
      </w:pPr>
      <w:bookmarkStart w:id="3" w:name="_Toc492772545"/>
      <w:r>
        <w:rPr>
          <w:rFonts w:hint="eastAsia" w:ascii="仿宋_GB2312" w:hAnsi="Times New Roman" w:eastAsia="仿宋_GB2312"/>
        </w:rPr>
        <w:t>1.1 业务名称</w:t>
      </w:r>
      <w:bookmarkEnd w:id="3"/>
    </w:p>
    <w:p>
      <w:pPr>
        <w:pStyle w:val="26"/>
        <w:spacing w:after="0" w:line="600" w:lineRule="exact"/>
        <w:ind w:left="0"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一卡通平台</w:t>
      </w:r>
    </w:p>
    <w:p>
      <w:pPr>
        <w:pStyle w:val="3"/>
        <w:spacing w:before="0" w:after="0" w:line="240" w:lineRule="auto"/>
        <w:rPr>
          <w:rFonts w:hint="eastAsia" w:ascii="仿宋_GB2312" w:hAnsi="Times New Roman" w:eastAsia="仿宋_GB2312"/>
        </w:rPr>
      </w:pPr>
      <w:bookmarkStart w:id="4" w:name="_Toc492772546"/>
      <w:r>
        <w:rPr>
          <w:rFonts w:hint="eastAsia" w:ascii="仿宋_GB2312" w:hAnsi="Times New Roman" w:eastAsia="仿宋_GB2312"/>
        </w:rPr>
        <w:t>1.2 业务功能介绍</w:t>
      </w:r>
      <w:bookmarkEnd w:id="4"/>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密钥管理：根密匙的生成、密钥备份和删除与恢复；管理密钥、应用密钥的生成与发放。</w: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客户管理：实现集团企业或学校机构的信息维护管理；实现客户成员的信息管理；实现对集团客户、客户人员的产品订购关系管理。</w: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卡管理：卡片序列号生成、注册、发放；写入用户卡片初始管理密钥；对设备加密卡进行登记与写入应用密钥。</w: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应用功能：支持13.56M、2.4G双频读卡，兼容M1、CPU卡片规范，支持白卡、SIMPASS卡、RF-SIM卡等多种卡类型；支持传统消费、考勤、门禁、圈存、会议、巡更、水控管理等应用，实现电控管理、停车场管理、通道管理等接口对接应用，支持市面主流终端设备接入。</w: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统计分析功能：按时间、地域等多维度展现市场覆盖情况、用户发展分析报告、消费行为分析报告、业务质量分析报告等关键决策业务数据，为运营商提供精细化运营的可行性依据，为校企客户提供需求决策支撑。</w: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运营支撑功能：通过对系统多维度多层次的监控，确保系统可靠安全运营。对集成商的管理，使工程实施质量与进度得到有效管控。</w:t>
      </w:r>
    </w:p>
    <w:p>
      <w:pPr>
        <w:pStyle w:val="3"/>
        <w:spacing w:before="0" w:after="0" w:line="240" w:lineRule="auto"/>
        <w:rPr>
          <w:rFonts w:hint="eastAsia" w:ascii="仿宋_GB2312" w:hAnsi="Times New Roman" w:eastAsia="仿宋_GB2312"/>
        </w:rPr>
      </w:pPr>
      <w:bookmarkStart w:id="5" w:name="_Toc492772547"/>
      <w:r>
        <w:rPr>
          <w:rFonts w:hint="eastAsia" w:ascii="仿宋_GB2312" w:hAnsi="Times New Roman" w:eastAsia="仿宋_GB2312"/>
        </w:rPr>
        <w:t>1.3技术实现方式介绍</w:t>
      </w:r>
      <w:bookmarkEnd w:id="5"/>
    </w:p>
    <w:p>
      <w:pPr>
        <w:jc w:val="center"/>
        <w:rPr>
          <w:rFonts w:hint="eastAsia"/>
        </w:rPr>
      </w:pPr>
      <w:r>
        <w:rPr>
          <w:rFonts w:hint="eastAsia"/>
        </w:rPr>
        <w:object>
          <v:shape id="_x0000_i1025" o:spt="75" type="#_x0000_t75" style="height:274.5pt;width:337.5pt;" o:ole="t" filled="f" o:preferrelative="t" stroked="f" coordsize="21600,21600">
            <v:path/>
            <v:fill on="f" focussize="0,0"/>
            <v:stroke on="f"/>
            <v:imagedata r:id="rId13" o:title=""/>
            <o:lock v:ext="edit" aspectratio="t"/>
            <w10:wrap type="none"/>
            <w10:anchorlock/>
          </v:shape>
          <o:OLEObject Type="Embed" ProgID="Visio.Drawing.11" ShapeID="_x0000_i1025" DrawAspect="Content" ObjectID="_1468075725" r:id="rId12">
            <o:LockedField>false</o:LockedField>
          </o:OLEObject>
        </w:objec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一卡通平台采取开放式架构，松耦合体系，通过服务总线（ESB）和封装良好的开放适配接口为应用系统提供支撑。整个系统采取分层设计，并进行适当的抽象，在层次内部根据业务含义进行模块分解，并实现模块的内聚性，模块间的松耦性性，通过消息和SOA以及XML来实现各个模块的集成部署或者分离部署。同时，采用JBoos服务，利用EJB容器和JMX层次关系，将业务管理功能下沉和业务流程精细实现。从而为一卡通的应用服务集成和业务管理无缝的衔接，实现系统平台的整体技术架构。</w:t>
      </w:r>
    </w:p>
    <w:p>
      <w:pPr>
        <w:jc w:val="center"/>
        <w:rPr>
          <w:rFonts w:hint="eastAsia"/>
        </w:rPr>
      </w:pPr>
      <w:r>
        <w:rPr>
          <w:rFonts w:hint="eastAsia" w:ascii="宋体" w:hAnsi="宋体"/>
          <w:sz w:val="24"/>
        </w:rPr>
        <w:object>
          <v:shape id="_x0000_i1026" o:spt="75" type="#_x0000_t75" style="height:228pt;width:434.25pt;" o:ole="t" filled="f" o:preferrelative="t" stroked="f" coordsize="21600,21600">
            <v:path/>
            <v:fill on="f" focussize="0,0"/>
            <v:stroke on="f"/>
            <v:imagedata r:id="rId15" o:title=""/>
            <o:lock v:ext="edit" aspectratio="t"/>
            <w10:wrap type="none"/>
            <w10:anchorlock/>
          </v:shape>
          <o:OLEObject Type="Embed" ProgID="Visio.Drawing.11" ShapeID="_x0000_i1026" DrawAspect="Content" ObjectID="_1468075726" r:id="rId14">
            <o:LockedField>false</o:LockedField>
          </o:OLEObject>
        </w:objec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在体系结构上中小企业一卡通集中应用管理平台包括移动侧及企业侧两部分。</w:t>
      </w:r>
    </w:p>
    <w:p>
      <w:pPr>
        <w:spacing w:line="600" w:lineRule="exact"/>
        <w:ind w:firstLine="640" w:firstLineChars="200"/>
        <w:rPr>
          <w:rFonts w:ascii="仿宋_GB2312" w:hAnsi="仿宋_GB2312" w:eastAsia="仿宋_GB2312" w:cs="仿宋_GB2312"/>
          <w:iCs/>
          <w:sz w:val="32"/>
          <w:szCs w:val="32"/>
        </w:rPr>
      </w:pPr>
      <w:r>
        <w:rPr>
          <w:rFonts w:hint="eastAsia" w:ascii="仿宋_GB2312" w:hAnsi="仿宋_GB2312" w:eastAsia="仿宋_GB2312" w:cs="仿宋_GB2312"/>
          <w:iCs/>
          <w:sz w:val="32"/>
          <w:szCs w:val="32"/>
        </w:rPr>
        <w:t>移动侧：集中部署一卡通集中应用管理平台软件，实现一卡通基础管理、业务监控、数据运营、一卡通机具监控等服务。并通过后台与移动相关系统链接为客户提供优质服务：链接手机支付平台及银行接口，为中小企业提供消费圈存服务；集成现有移动信息化产品，为客户提供完整的行业解决方案，实现产品的交叉捆绑营销；链接增值服务网关，可为企业定制相关查询、提醒、通知等增值服务；链接</w:t>
      </w:r>
      <w:r>
        <w:rPr>
          <w:rFonts w:ascii="仿宋_GB2312" w:hAnsi="仿宋_GB2312" w:eastAsia="仿宋_GB2312" w:cs="仿宋_GB2312"/>
          <w:iCs/>
          <w:sz w:val="32"/>
          <w:szCs w:val="32"/>
        </w:rPr>
        <w:t>BOSS</w:t>
      </w:r>
      <w:r>
        <w:rPr>
          <w:rFonts w:hint="eastAsia" w:ascii="仿宋_GB2312" w:hAnsi="仿宋_GB2312" w:eastAsia="仿宋_GB2312" w:cs="仿宋_GB2312"/>
          <w:iCs/>
          <w:sz w:val="32"/>
          <w:szCs w:val="32"/>
        </w:rPr>
        <w:t>系统实现对一卡通业务的开通和订购管理，并为实现一卡通业务计费提供基础。链接中央平台实现全网一卡通业务发展统一管理。</w: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企业侧：支持三类业务发展模式:MAS模式、ADC模式、通道模式。</w: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（1）MAS模式：适用于大型的校园</w:t>
      </w:r>
      <w:r>
        <w:rPr>
          <w:rFonts w:ascii="仿宋_GB2312" w:hAnsi="仿宋_GB2312" w:eastAsia="仿宋_GB2312" w:cs="仿宋_GB2312"/>
          <w:iCs/>
          <w:sz w:val="32"/>
          <w:szCs w:val="32"/>
        </w:rPr>
        <w:t>/</w:t>
      </w:r>
      <w:r>
        <w:rPr>
          <w:rFonts w:hint="eastAsia" w:ascii="仿宋_GB2312" w:hAnsi="仿宋_GB2312" w:eastAsia="仿宋_GB2312" w:cs="仿宋_GB2312"/>
          <w:iCs/>
          <w:sz w:val="32"/>
          <w:szCs w:val="32"/>
        </w:rPr>
        <w:t>企业，部署各种符合移动规范终端和企业端管理系统。在企业</w:t>
      </w:r>
      <w:r>
        <w:rPr>
          <w:rFonts w:ascii="仿宋_GB2312" w:hAnsi="仿宋_GB2312" w:eastAsia="仿宋_GB2312" w:cs="仿宋_GB2312"/>
          <w:iCs/>
          <w:sz w:val="32"/>
          <w:szCs w:val="32"/>
        </w:rPr>
        <w:t>/</w:t>
      </w:r>
      <w:r>
        <w:rPr>
          <w:rFonts w:hint="eastAsia" w:ascii="仿宋_GB2312" w:hAnsi="仿宋_GB2312" w:eastAsia="仿宋_GB2312" w:cs="仿宋_GB2312"/>
          <w:iCs/>
          <w:sz w:val="32"/>
          <w:szCs w:val="32"/>
        </w:rPr>
        <w:t>校园侧需部署企业端管理系统和一卡通二类终端机具；一卡通二类终端机具由企业端管理系统管理；企业侧一卡通应用（门禁、考勤、内部消费等应用服务）由企业自行管理，也可根据企业</w:t>
      </w:r>
      <w:r>
        <w:rPr>
          <w:rFonts w:ascii="仿宋_GB2312" w:hAnsi="仿宋_GB2312" w:eastAsia="仿宋_GB2312" w:cs="仿宋_GB2312"/>
          <w:iCs/>
          <w:sz w:val="32"/>
          <w:szCs w:val="32"/>
        </w:rPr>
        <w:t>/</w:t>
      </w:r>
      <w:r>
        <w:rPr>
          <w:rFonts w:hint="eastAsia" w:ascii="仿宋_GB2312" w:hAnsi="仿宋_GB2312" w:eastAsia="仿宋_GB2312" w:cs="仿宋_GB2312"/>
          <w:iCs/>
          <w:sz w:val="32"/>
          <w:szCs w:val="32"/>
        </w:rPr>
        <w:t>校园需求进行功能扩展。</w:t>
      </w:r>
    </w:p>
    <w:p>
      <w:pPr>
        <w:spacing w:line="600" w:lineRule="exact"/>
        <w:ind w:firstLine="640" w:firstLineChars="200"/>
        <w:rPr>
          <w:rFonts w:ascii="仿宋_GB2312" w:hAnsi="仿宋_GB2312" w:eastAsia="仿宋_GB2312" w:cs="仿宋_GB2312"/>
          <w:iCs/>
          <w:sz w:val="32"/>
          <w:szCs w:val="32"/>
        </w:rPr>
      </w:pPr>
      <w:r>
        <w:rPr>
          <w:rFonts w:hint="eastAsia" w:ascii="仿宋_GB2312" w:hAnsi="仿宋_GB2312" w:eastAsia="仿宋_GB2312" w:cs="仿宋_GB2312"/>
          <w:iCs/>
          <w:sz w:val="32"/>
          <w:szCs w:val="32"/>
        </w:rPr>
        <w:t>（2）ADC模式：适用于中小型的校园</w:t>
      </w:r>
      <w:r>
        <w:rPr>
          <w:rFonts w:ascii="仿宋_GB2312" w:hAnsi="仿宋_GB2312" w:eastAsia="仿宋_GB2312" w:cs="仿宋_GB2312"/>
          <w:iCs/>
          <w:sz w:val="32"/>
          <w:szCs w:val="32"/>
        </w:rPr>
        <w:t>/</w:t>
      </w:r>
      <w:r>
        <w:rPr>
          <w:rFonts w:hint="eastAsia" w:ascii="仿宋_GB2312" w:hAnsi="仿宋_GB2312" w:eastAsia="仿宋_GB2312" w:cs="仿宋_GB2312"/>
          <w:iCs/>
          <w:sz w:val="32"/>
          <w:szCs w:val="32"/>
        </w:rPr>
        <w:t>企业，只部署各种标准终端或前置机。在企业</w:t>
      </w:r>
      <w:r>
        <w:rPr>
          <w:rFonts w:ascii="仿宋_GB2312" w:hAnsi="仿宋_GB2312" w:eastAsia="仿宋_GB2312" w:cs="仿宋_GB2312"/>
          <w:iCs/>
          <w:sz w:val="32"/>
          <w:szCs w:val="32"/>
        </w:rPr>
        <w:t>/</w:t>
      </w:r>
      <w:r>
        <w:rPr>
          <w:rFonts w:hint="eastAsia" w:ascii="仿宋_GB2312" w:hAnsi="仿宋_GB2312" w:eastAsia="仿宋_GB2312" w:cs="仿宋_GB2312"/>
          <w:iCs/>
          <w:sz w:val="32"/>
          <w:szCs w:val="32"/>
        </w:rPr>
        <w:t>校园侧只需部署一卡通一类终端机具；一卡通一类终端机具直连到一卡通省平台管理；移动侧一卡通省平台提供一卡通应用管理服务。</w:t>
      </w:r>
      <w:r>
        <w:rPr>
          <w:rFonts w:ascii="仿宋_GB2312" w:hAnsi="仿宋_GB2312" w:eastAsia="仿宋_GB2312" w:cs="仿宋_GB2312"/>
          <w:iCs/>
          <w:sz w:val="32"/>
          <w:szCs w:val="32"/>
        </w:rPr>
        <w:t>ADC</w:t>
      </w:r>
      <w:r>
        <w:rPr>
          <w:rFonts w:hint="eastAsia" w:ascii="仿宋_GB2312" w:hAnsi="仿宋_GB2312" w:eastAsia="仿宋_GB2312" w:cs="仿宋_GB2312"/>
          <w:iCs/>
          <w:sz w:val="32"/>
          <w:szCs w:val="32"/>
        </w:rPr>
        <w:t>模式根据企业规模和机具部署情况可分为两中情况：企业侧部署</w:t>
      </w:r>
      <w:r>
        <w:rPr>
          <w:rFonts w:ascii="仿宋_GB2312" w:hAnsi="仿宋_GB2312" w:eastAsia="仿宋_GB2312" w:cs="仿宋_GB2312"/>
          <w:iCs/>
          <w:sz w:val="32"/>
          <w:szCs w:val="32"/>
        </w:rPr>
        <w:t>VPN</w:t>
      </w:r>
      <w:r>
        <w:rPr>
          <w:rFonts w:hint="eastAsia" w:ascii="仿宋_GB2312" w:hAnsi="仿宋_GB2312" w:eastAsia="仿宋_GB2312" w:cs="仿宋_GB2312"/>
          <w:iCs/>
          <w:sz w:val="32"/>
          <w:szCs w:val="32"/>
        </w:rPr>
        <w:t>网络设备或通过</w:t>
      </w:r>
      <w:r>
        <w:rPr>
          <w:rFonts w:ascii="仿宋_GB2312" w:hAnsi="仿宋_GB2312" w:eastAsia="仿宋_GB2312" w:cs="仿宋_GB2312"/>
          <w:iCs/>
          <w:sz w:val="32"/>
          <w:szCs w:val="32"/>
        </w:rPr>
        <w:t>3G</w:t>
      </w:r>
      <w:r>
        <w:rPr>
          <w:rFonts w:hint="eastAsia" w:ascii="仿宋_GB2312" w:hAnsi="仿宋_GB2312" w:eastAsia="仿宋_GB2312" w:cs="仿宋_GB2312"/>
          <w:iCs/>
          <w:sz w:val="32"/>
          <w:szCs w:val="32"/>
        </w:rPr>
        <w:t>无线网络直接与移动公司平台对接，平台侧根据不同机具厂商部署机具厂商前置机实现应用功能对接。企业侧直接部署前置机，实现对企业机具的数据采集和应用功能连接。</w:t>
      </w:r>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3）通道模式：适用于空间租赁型的校园/企业。在企业/校园侧部署一卡通增值服务前置机，一卡通增值服务前置机与企业/校园侧已建一卡通管理系统对接，通过一卡通省平台实现手机支付账户、银行账户与企业/校园内部账户的资金互转，并实现一卡通业务的短彩信发送功能。同时实现统计数据的采集，实现对企业一卡通业务的发展分析功能。</w:t>
      </w:r>
    </w:p>
    <w:p>
      <w:pPr>
        <w:pStyle w:val="3"/>
        <w:spacing w:before="0" w:after="0" w:line="240" w:lineRule="auto"/>
        <w:rPr>
          <w:rFonts w:hint="eastAsia" w:ascii="仿宋_GB2312" w:hAnsi="Times New Roman" w:eastAsia="仿宋_GB2312"/>
        </w:rPr>
      </w:pPr>
      <w:bookmarkStart w:id="6" w:name="_Toc492772548"/>
      <w:r>
        <w:rPr>
          <w:rFonts w:hint="eastAsia" w:ascii="仿宋_GB2312" w:hAnsi="Times New Roman" w:eastAsia="仿宋_GB2312"/>
        </w:rPr>
        <w:t>1.4（预期）用户规模</w:t>
      </w:r>
      <w:bookmarkEnd w:id="6"/>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目前共接入70多家学校和企业，省公司及各地市分公司正在接入中，用户数量增长迅速。考勤、门禁、消费均等各项均得到广泛应用。</w:t>
      </w:r>
    </w:p>
    <w:p>
      <w:pPr>
        <w:pStyle w:val="3"/>
        <w:spacing w:before="0" w:after="0" w:line="240" w:lineRule="auto"/>
        <w:rPr>
          <w:rFonts w:hint="eastAsia" w:ascii="仿宋_GB2312" w:hAnsi="Times New Roman" w:eastAsia="仿宋_GB2312"/>
        </w:rPr>
      </w:pPr>
      <w:bookmarkStart w:id="7" w:name="_Toc492772549"/>
      <w:r>
        <w:rPr>
          <w:rFonts w:hint="eastAsia" w:ascii="仿宋_GB2312" w:hAnsi="Times New Roman" w:eastAsia="仿宋_GB2312"/>
        </w:rPr>
        <w:t>1.5 市场发展情况</w:t>
      </w:r>
      <w:bookmarkEnd w:id="7"/>
    </w:p>
    <w:p>
      <w:pPr>
        <w:spacing w:line="600" w:lineRule="exact"/>
        <w:ind w:firstLine="640" w:firstLineChars="200"/>
        <w:rPr>
          <w:rFonts w:hint="eastAsia" w:ascii="仿宋_GB2312" w:hAnsi="仿宋_GB2312" w:eastAsia="仿宋_GB2312" w:cs="仿宋_GB2312"/>
          <w:iCs/>
          <w:sz w:val="32"/>
          <w:szCs w:val="32"/>
        </w:rPr>
      </w:pPr>
      <w:r>
        <w:rPr>
          <w:rFonts w:hint="eastAsia" w:ascii="仿宋_GB2312" w:hAnsi="仿宋_GB2312" w:eastAsia="仿宋_GB2312" w:cs="仿宋_GB2312"/>
          <w:iCs/>
          <w:sz w:val="32"/>
          <w:szCs w:val="32"/>
        </w:rPr>
        <w:t>目前已经在贵州、湖北、青海、海南、江苏5省建设并持续投入使用。</w:t>
      </w:r>
    </w:p>
    <w:p>
      <w:pPr>
        <w:pStyle w:val="2"/>
        <w:spacing w:before="0" w:after="0" w:line="240" w:lineRule="auto"/>
        <w:rPr>
          <w:rFonts w:eastAsia="仿宋_GB2312"/>
          <w:sz w:val="32"/>
          <w:szCs w:val="32"/>
        </w:rPr>
        <w:sectPr>
          <w:headerReference r:id="rId9" w:type="first"/>
          <w:headerReference r:id="rId7" w:type="default"/>
          <w:footerReference r:id="rId10" w:type="default"/>
          <w:headerReference r:id="rId8" w:type="even"/>
          <w:type w:val="continuous"/>
          <w:pgSz w:w="11906" w:h="16838"/>
          <w:pgMar w:top="1440" w:right="1797" w:bottom="1440" w:left="1287" w:header="851" w:footer="992" w:gutter="0"/>
          <w:cols w:space="425" w:num="1"/>
          <w:docGrid w:type="lines" w:linePitch="312" w:charSpace="0"/>
        </w:sectPr>
      </w:pPr>
      <w:bookmarkStart w:id="8" w:name="_Toc492772550"/>
    </w:p>
    <w:p>
      <w:pPr>
        <w:pStyle w:val="2"/>
        <w:spacing w:before="0" w:after="0" w:line="240" w:lineRule="auto"/>
        <w:rPr>
          <w:rFonts w:hint="eastAsia" w:ascii="仿宋_GB2312" w:eastAsia="仿宋_GB2312"/>
          <w:sz w:val="32"/>
          <w:szCs w:val="32"/>
        </w:rPr>
      </w:pPr>
      <w:r>
        <w:rPr>
          <w:rFonts w:hint="eastAsia" w:ascii="仿宋_GB2312" w:eastAsia="仿宋_GB2312"/>
          <w:sz w:val="32"/>
          <w:szCs w:val="32"/>
        </w:rPr>
        <w:t>2 安全评估情况</w:t>
      </w:r>
      <w:bookmarkEnd w:id="8"/>
    </w:p>
    <w:p>
      <w:pPr>
        <w:pStyle w:val="3"/>
        <w:spacing w:before="0" w:after="0" w:line="240" w:lineRule="auto"/>
        <w:rPr>
          <w:rFonts w:hint="eastAsia" w:ascii="仿宋_GB2312" w:hAnsi="Times New Roman" w:eastAsia="仿宋_GB2312"/>
        </w:rPr>
      </w:pPr>
      <w:bookmarkStart w:id="9" w:name="_Toc492772551"/>
      <w:r>
        <w:rPr>
          <w:rFonts w:hint="eastAsia" w:ascii="仿宋_GB2312" w:hAnsi="Times New Roman" w:eastAsia="仿宋_GB2312"/>
        </w:rPr>
        <w:t>2.1 安全评估情况概述</w:t>
      </w:r>
      <w:bookmarkEnd w:id="9"/>
    </w:p>
    <w:p>
      <w:pPr>
        <w:spacing w:line="600" w:lineRule="exact"/>
        <w:ind w:firstLine="641" w:firstLineChars="200"/>
        <w:rPr>
          <w:rFonts w:hint="eastAsia" w:ascii="仿宋_GB2312" w:eastAsia="仿宋_GB2312"/>
          <w:b/>
          <w:sz w:val="32"/>
          <w:szCs w:val="32"/>
        </w:rPr>
      </w:pPr>
      <w:r>
        <w:rPr>
          <w:rFonts w:hint="eastAsia" w:ascii="仿宋_GB2312" w:eastAsia="仿宋_GB2312"/>
          <w:b/>
          <w:sz w:val="32"/>
          <w:szCs w:val="32"/>
        </w:rPr>
        <w:t>1.总体情况</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2017年11月21日至11月23日，国家计算机网络与信息安全管理中心对中国移动通信集团贵州有限公司（以下简称贵州移动）集团号簿、党建云等业务开展了新技术新业务信息安全现场评估工作。</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评估主要内容包括管理体系评估、业务风险评估和信息安全保障能力评估三个部分。评估方法包括人员访谈、制度文档核实、业务功能验证、内容安全测试、数据安全检测、漏洞扫描、渗透测试等。</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本报告主要给出一卡通平台业务的信息安全评估情况。</w:t>
      </w:r>
    </w:p>
    <w:p>
      <w:pPr>
        <w:spacing w:line="600" w:lineRule="exact"/>
        <w:ind w:firstLine="641" w:firstLineChars="200"/>
        <w:rPr>
          <w:rFonts w:hint="eastAsia" w:ascii="仿宋_GB2312" w:eastAsia="仿宋_GB2312"/>
          <w:b/>
          <w:sz w:val="32"/>
          <w:szCs w:val="32"/>
        </w:rPr>
      </w:pPr>
      <w:r>
        <w:rPr>
          <w:rFonts w:hint="eastAsia" w:ascii="仿宋_GB2312" w:eastAsia="仿宋_GB2312"/>
          <w:b/>
          <w:sz w:val="32"/>
          <w:szCs w:val="32"/>
        </w:rPr>
        <w:t>2.评估目的</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为进一步提升贵州移动公司新技术新业务的信息安全防护和处置能力，依据新技术新业务信息安全评估相关政策文件，结合通信安全分级保护、风险评估的基本方法和标准，发现并找出新技术新业务相关的管理制度、业务流程、网络系统、服务器以及应用系统等方面存在的安全漏洞和隐患。目的是为企业健全互联网新技术新业务管理制度、完善业务流程、提早启动保障措施、加固系统和网络漏洞提供参考和依据，进而提高业务系统的安全防护水平，为业务的发展创造安全可靠的环境。</w:t>
      </w:r>
    </w:p>
    <w:p>
      <w:pPr>
        <w:spacing w:line="600" w:lineRule="exact"/>
        <w:ind w:firstLine="641" w:firstLineChars="200"/>
        <w:rPr>
          <w:rFonts w:hint="eastAsia" w:ascii="仿宋_GB2312" w:eastAsia="仿宋_GB2312"/>
          <w:b/>
          <w:sz w:val="32"/>
          <w:szCs w:val="32"/>
        </w:rPr>
      </w:pPr>
      <w:bookmarkStart w:id="10" w:name="_Toc435526650"/>
      <w:r>
        <w:rPr>
          <w:rFonts w:hint="eastAsia" w:ascii="仿宋_GB2312" w:eastAsia="仿宋_GB2312"/>
          <w:b/>
          <w:sz w:val="32"/>
          <w:szCs w:val="32"/>
        </w:rPr>
        <w:t>3.评估内容</w:t>
      </w:r>
      <w:bookmarkEnd w:id="10"/>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新技术新业务安全评估工作主要涉及管理、业务和信息安全保障等方面的安全因素。管理方面，主要采用访谈调研、相关文件查阅的方式，查找管理方面存在的漏洞；业务方面，主要采用人员访谈、功能演示、业务试用、流程梳理等方式，查找业务方面存在的漏洞或隐患；信息安全保障能力方面，主要通过内容测试、漏洞扫描、渗透测试等手段，查验现有信息安全技术保障措施是否满足基本要求。各方面的评估重点如下：</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（1）管理体系方面：重点评估新技术新业务的信息安全管理体系和业务安全管理措施是否满足电信管理机构的安全管理要求，具体包括机构设置、管理制度、信息安全相关要求和技术标准以及具体执行情况。</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（2）业务风险方面：评估新技术新业务的完整业务流程，结合业务功能属性及技术实现，包括内容发布审核、业务边界安全、权限管理、用户信息保护等，评估系统潜在的信息安全风险。</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3）信息安全保障能力方面：评估现有的安全管理措施、技术手段等信息安全保障能力是否能够有效控制业务信息安全风险。开展内容过滤机制测试；对业务系统、操作系统、网络设备进行安全检测；通过渗透测试查看系统安全防护情况等；</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（4）其他：评估新技术新业务相关系统的安全性。</w:t>
      </w:r>
    </w:p>
    <w:p>
      <w:pPr>
        <w:spacing w:line="600" w:lineRule="exact"/>
        <w:ind w:firstLine="641" w:firstLineChars="200"/>
        <w:rPr>
          <w:rFonts w:hint="eastAsia" w:ascii="仿宋_GB2312" w:eastAsia="仿宋_GB2312"/>
          <w:b/>
          <w:sz w:val="32"/>
          <w:szCs w:val="32"/>
        </w:rPr>
      </w:pPr>
      <w:r>
        <w:rPr>
          <w:rFonts w:hint="eastAsia" w:ascii="仿宋_GB2312" w:eastAsia="仿宋_GB2312"/>
          <w:b/>
          <w:sz w:val="32"/>
          <w:szCs w:val="32"/>
        </w:rPr>
        <w:t>4.评估依据</w:t>
      </w:r>
    </w:p>
    <w:p>
      <w:pPr>
        <w:spacing w:line="600" w:lineRule="exact"/>
        <w:ind w:firstLine="641" w:firstLineChars="200"/>
        <w:rPr>
          <w:rFonts w:hint="eastAsia" w:ascii="仿宋_GB2312" w:eastAsia="仿宋_GB2312"/>
          <w:b/>
          <w:sz w:val="32"/>
          <w:szCs w:val="32"/>
        </w:rPr>
      </w:pPr>
      <w:r>
        <w:rPr>
          <w:rFonts w:hint="eastAsia" w:ascii="仿宋_GB2312" w:eastAsia="仿宋_GB2312"/>
          <w:b/>
          <w:sz w:val="32"/>
          <w:szCs w:val="32"/>
        </w:rPr>
        <w:t>（1）政策法规依据</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《网络安全法》</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《基础电信企业信息安全责任管理办法（试行）》</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《互联网新技术新业务信息安全评估管理办法（试行）》</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《关于开展基础电信企业网络与信息安全责任考核有关工作指导》</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《互联网用户账号名称管理规定》</w:t>
      </w:r>
    </w:p>
    <w:p>
      <w:pPr>
        <w:spacing w:line="600" w:lineRule="exact"/>
        <w:ind w:firstLine="641" w:firstLineChars="200"/>
        <w:rPr>
          <w:rFonts w:hint="eastAsia" w:ascii="仿宋_GB2312" w:eastAsia="仿宋_GB2312"/>
          <w:b/>
          <w:sz w:val="32"/>
          <w:szCs w:val="32"/>
        </w:rPr>
      </w:pPr>
      <w:bookmarkStart w:id="11" w:name="_Toc435526653"/>
      <w:r>
        <w:rPr>
          <w:rFonts w:hint="eastAsia" w:ascii="仿宋_GB2312" w:eastAsia="仿宋_GB2312"/>
          <w:b/>
          <w:sz w:val="32"/>
          <w:szCs w:val="32"/>
        </w:rPr>
        <w:t>（2）安全标准</w:t>
      </w:r>
      <w:bookmarkEnd w:id="11"/>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《互联网新技术新业务安全评估指南》</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《电信网和互联网安全防护管理指南》</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《电信网和互联网安全风险评估实施指南》</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《电信网和互联网灾难备份及恢复实施指南》</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《电信网和互联网物理环境安全等级保护要求》</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《电信网和互联网物理环境安全等级保护检测要求》</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《电信网和互联网管理安全等级保护要求》</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《电信网和互联网管理安全等级保护检测要求》</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《2017年省级基础电信企业网络与信息安全工作考核要点与评分标准》</w:t>
      </w:r>
    </w:p>
    <w:p>
      <w:pPr>
        <w:spacing w:line="600" w:lineRule="exact"/>
        <w:ind w:firstLine="641" w:firstLineChars="200"/>
        <w:rPr>
          <w:rFonts w:hint="eastAsia" w:ascii="仿宋_GB2312" w:eastAsia="仿宋_GB2312"/>
          <w:b/>
          <w:sz w:val="32"/>
          <w:szCs w:val="32"/>
        </w:rPr>
      </w:pPr>
      <w:r>
        <w:rPr>
          <w:rFonts w:hint="eastAsia" w:ascii="仿宋_GB2312" w:eastAsia="仿宋_GB2312"/>
          <w:b/>
          <w:sz w:val="32"/>
          <w:szCs w:val="32"/>
        </w:rPr>
        <w:t>5.评估方式</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本次信息安全评估的主要方式包括人员访谈、文档材料核查、业务功能验证、内容安全测试和安全测评等。</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人员访谈主要是通过对网络与信息安全管理人员、特定业务管理人员、技术维护人员进行访谈获取企业信息安全管理、业务应用及平台安全、安全保障措施等方面的现状。</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文档材料核查主要是指对企业信息安全、业务安全等相关制度的制定情况进行核实。</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业务功能验证通过检查业务功能和流程，对业务应用和系统平台潜在的安全风险做出研判。</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内容安全测试主要用于评估企业内容安全相关的保障能力，包括违法及不良信息样本的识别检测、传播扩散控制等方面。</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安全测评主要针对业务平台安全和数据安全，涉及漏洞分析、渗透测试等技术手段。</w:t>
      </w:r>
    </w:p>
    <w:p>
      <w:pPr>
        <w:pStyle w:val="3"/>
        <w:spacing w:before="0" w:after="0" w:line="240" w:lineRule="auto"/>
        <w:rPr>
          <w:rFonts w:hint="eastAsia" w:ascii="仿宋_GB2312" w:hAnsi="Times New Roman" w:eastAsia="仿宋_GB2312"/>
        </w:rPr>
      </w:pPr>
      <w:bookmarkStart w:id="12" w:name="_Toc492772552"/>
      <w:r>
        <w:rPr>
          <w:rFonts w:hint="eastAsia" w:ascii="仿宋_GB2312" w:hAnsi="Times New Roman" w:eastAsia="仿宋_GB2312"/>
        </w:rPr>
        <w:t>2.2 评估人员组成</w:t>
      </w:r>
      <w:bookmarkEnd w:id="12"/>
    </w:p>
    <w:tbl>
      <w:tblPr>
        <w:tblStyle w:val="54"/>
        <w:tblW w:w="870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3"/>
        <w:gridCol w:w="4070"/>
        <w:gridCol w:w="2744"/>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wBefore w:w="0" w:type="dxa"/>
          <w:wAfter w:w="0" w:type="dxa"/>
          <w:trHeight w:val="311" w:hRule="atLeast"/>
          <w:jc w:val="center"/>
        </w:trPr>
        <w:tc>
          <w:tcPr>
            <w:tcW w:w="1893" w:type="dxa"/>
            <w:tcBorders>
              <w:top w:val="single" w:color="000000" w:sz="12" w:space="0"/>
              <w:bottom w:val="single" w:color="000000" w:sz="6" w:space="0"/>
              <w:right w:val="single" w:color="000000" w:sz="6" w:space="0"/>
            </w:tcBorders>
            <w:noWrap w:val="0"/>
            <w:vAlign w:val="top"/>
          </w:tcPr>
          <w:p>
            <w:pPr>
              <w:spacing w:line="600" w:lineRule="exact"/>
              <w:jc w:val="center"/>
              <w:rPr>
                <w:rFonts w:hint="eastAsia" w:ascii="仿宋_GB2312" w:eastAsia="仿宋_GB2312"/>
                <w:b/>
                <w:sz w:val="32"/>
                <w:szCs w:val="32"/>
              </w:rPr>
            </w:pPr>
            <w:r>
              <w:rPr>
                <w:rFonts w:hint="eastAsia" w:ascii="仿宋_GB2312" w:eastAsia="仿宋_GB2312"/>
                <w:b/>
                <w:sz w:val="32"/>
                <w:szCs w:val="32"/>
              </w:rPr>
              <w:t>姓名</w:t>
            </w:r>
          </w:p>
        </w:tc>
        <w:tc>
          <w:tcPr>
            <w:tcW w:w="4070" w:type="dxa"/>
            <w:tcBorders>
              <w:top w:val="single" w:color="000000" w:sz="12" w:space="0"/>
              <w:bottom w:val="single" w:color="000000" w:sz="6" w:space="0"/>
            </w:tcBorders>
            <w:noWrap w:val="0"/>
            <w:vAlign w:val="top"/>
          </w:tcPr>
          <w:p>
            <w:pPr>
              <w:spacing w:line="600" w:lineRule="exact"/>
              <w:jc w:val="center"/>
              <w:rPr>
                <w:rFonts w:hint="eastAsia" w:ascii="仿宋_GB2312" w:eastAsia="仿宋_GB2312"/>
                <w:b/>
                <w:sz w:val="32"/>
                <w:szCs w:val="32"/>
              </w:rPr>
            </w:pPr>
            <w:r>
              <w:rPr>
                <w:rFonts w:hint="eastAsia" w:ascii="仿宋_GB2312" w:eastAsia="仿宋_GB2312"/>
                <w:b/>
                <w:sz w:val="32"/>
                <w:szCs w:val="32"/>
              </w:rPr>
              <w:t>职称/职务</w:t>
            </w:r>
          </w:p>
        </w:tc>
        <w:tc>
          <w:tcPr>
            <w:tcW w:w="2744" w:type="dxa"/>
            <w:tcBorders>
              <w:top w:val="single" w:color="000000" w:sz="12" w:space="0"/>
              <w:bottom w:val="single" w:color="000000" w:sz="6" w:space="0"/>
            </w:tcBorders>
            <w:noWrap w:val="0"/>
            <w:vAlign w:val="top"/>
          </w:tcPr>
          <w:p>
            <w:pPr>
              <w:tabs>
                <w:tab w:val="left" w:pos="855"/>
                <w:tab w:val="center" w:pos="1869"/>
              </w:tabs>
              <w:spacing w:line="600" w:lineRule="exact"/>
              <w:jc w:val="center"/>
              <w:rPr>
                <w:rFonts w:hint="eastAsia" w:ascii="仿宋_GB2312" w:eastAsia="仿宋_GB2312"/>
                <w:b/>
                <w:sz w:val="32"/>
                <w:szCs w:val="32"/>
              </w:rPr>
            </w:pPr>
            <w:r>
              <w:rPr>
                <w:rFonts w:hint="eastAsia" w:ascii="仿宋_GB2312" w:eastAsia="仿宋_GB2312"/>
                <w:b/>
                <w:sz w:val="32"/>
                <w:szCs w:val="32"/>
              </w:rPr>
              <w:t>职责</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wBefore w:w="0" w:type="dxa"/>
          <w:wAfter w:w="0" w:type="dxa"/>
          <w:trHeight w:val="256" w:hRule="atLeast"/>
          <w:jc w:val="center"/>
        </w:trPr>
        <w:tc>
          <w:tcPr>
            <w:tcW w:w="1893" w:type="dxa"/>
            <w:tcBorders>
              <w:right w:val="single" w:color="000000" w:sz="6" w:space="0"/>
            </w:tcBorders>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刘晓辉</w:t>
            </w:r>
          </w:p>
        </w:tc>
        <w:tc>
          <w:tcPr>
            <w:tcW w:w="4070"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高级工程师</w:t>
            </w:r>
          </w:p>
        </w:tc>
        <w:tc>
          <w:tcPr>
            <w:tcW w:w="2744"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评估组长</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wBefore w:w="0" w:type="dxa"/>
          <w:wAfter w:w="0" w:type="dxa"/>
          <w:trHeight w:val="256" w:hRule="atLeast"/>
          <w:jc w:val="center"/>
        </w:trPr>
        <w:tc>
          <w:tcPr>
            <w:tcW w:w="1893" w:type="dxa"/>
            <w:tcBorders>
              <w:right w:val="single" w:color="000000" w:sz="6" w:space="0"/>
            </w:tcBorders>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贾芳姝</w:t>
            </w:r>
          </w:p>
        </w:tc>
        <w:tc>
          <w:tcPr>
            <w:tcW w:w="4070"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工程师</w:t>
            </w:r>
          </w:p>
        </w:tc>
        <w:tc>
          <w:tcPr>
            <w:tcW w:w="2744"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wBefore w:w="0" w:type="dxa"/>
          <w:wAfter w:w="0" w:type="dxa"/>
          <w:trHeight w:val="256" w:hRule="atLeast"/>
          <w:jc w:val="center"/>
        </w:trPr>
        <w:tc>
          <w:tcPr>
            <w:tcW w:w="1893" w:type="dxa"/>
            <w:tcBorders>
              <w:right w:val="single" w:color="000000" w:sz="6" w:space="0"/>
            </w:tcBorders>
            <w:noWrap w:val="0"/>
            <w:vAlign w:val="top"/>
          </w:tcPr>
          <w:p>
            <w:pPr>
              <w:spacing w:line="600" w:lineRule="exact"/>
              <w:jc w:val="center"/>
              <w:rPr>
                <w:rFonts w:hint="eastAsia" w:ascii="仿宋_GB2312" w:eastAsia="仿宋_GB2312"/>
                <w:sz w:val="32"/>
                <w:szCs w:val="32"/>
              </w:rPr>
            </w:pPr>
          </w:p>
        </w:tc>
        <w:tc>
          <w:tcPr>
            <w:tcW w:w="4070"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工程师</w:t>
            </w:r>
          </w:p>
        </w:tc>
        <w:tc>
          <w:tcPr>
            <w:tcW w:w="2744"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wBefore w:w="0" w:type="dxa"/>
          <w:wAfter w:w="0" w:type="dxa"/>
          <w:trHeight w:val="256" w:hRule="atLeast"/>
          <w:jc w:val="center"/>
        </w:trPr>
        <w:tc>
          <w:tcPr>
            <w:tcW w:w="1893" w:type="dxa"/>
            <w:tcBorders>
              <w:right w:val="single" w:color="000000" w:sz="6" w:space="0"/>
            </w:tcBorders>
            <w:noWrap w:val="0"/>
            <w:vAlign w:val="top"/>
          </w:tcPr>
          <w:p>
            <w:pPr>
              <w:spacing w:line="600" w:lineRule="exact"/>
              <w:jc w:val="center"/>
              <w:rPr>
                <w:rFonts w:hint="eastAsia" w:ascii="仿宋_GB2312" w:eastAsia="仿宋_GB2312"/>
                <w:sz w:val="32"/>
                <w:szCs w:val="32"/>
              </w:rPr>
            </w:pPr>
          </w:p>
        </w:tc>
        <w:tc>
          <w:tcPr>
            <w:tcW w:w="4070"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工程师</w:t>
            </w:r>
          </w:p>
        </w:tc>
        <w:tc>
          <w:tcPr>
            <w:tcW w:w="2744"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wBefore w:w="0" w:type="dxa"/>
          <w:wAfter w:w="0" w:type="dxa"/>
          <w:trHeight w:val="256" w:hRule="atLeast"/>
          <w:jc w:val="center"/>
        </w:trPr>
        <w:tc>
          <w:tcPr>
            <w:tcW w:w="1893" w:type="dxa"/>
            <w:tcBorders>
              <w:right w:val="single" w:color="000000" w:sz="6" w:space="0"/>
            </w:tcBorders>
            <w:noWrap w:val="0"/>
            <w:vAlign w:val="top"/>
          </w:tcPr>
          <w:p>
            <w:pPr>
              <w:spacing w:line="600" w:lineRule="exact"/>
              <w:jc w:val="center"/>
              <w:rPr>
                <w:rFonts w:hint="eastAsia" w:ascii="仿宋_GB2312" w:eastAsia="仿宋_GB2312"/>
                <w:sz w:val="32"/>
                <w:szCs w:val="32"/>
              </w:rPr>
            </w:pPr>
          </w:p>
        </w:tc>
        <w:tc>
          <w:tcPr>
            <w:tcW w:w="4070"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工程师</w:t>
            </w:r>
          </w:p>
        </w:tc>
        <w:tc>
          <w:tcPr>
            <w:tcW w:w="2744"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wBefore w:w="0" w:type="dxa"/>
          <w:wAfter w:w="0" w:type="dxa"/>
          <w:trHeight w:val="256" w:hRule="atLeast"/>
          <w:jc w:val="center"/>
        </w:trPr>
        <w:tc>
          <w:tcPr>
            <w:tcW w:w="1893" w:type="dxa"/>
            <w:tcBorders>
              <w:right w:val="single" w:color="000000" w:sz="6" w:space="0"/>
            </w:tcBorders>
            <w:noWrap w:val="0"/>
            <w:vAlign w:val="top"/>
          </w:tcPr>
          <w:p>
            <w:pPr>
              <w:spacing w:line="600" w:lineRule="exact"/>
              <w:jc w:val="center"/>
              <w:rPr>
                <w:rFonts w:hint="eastAsia" w:ascii="仿宋_GB2312" w:eastAsia="仿宋_GB2312"/>
                <w:sz w:val="32"/>
                <w:szCs w:val="32"/>
              </w:rPr>
            </w:pPr>
          </w:p>
        </w:tc>
        <w:tc>
          <w:tcPr>
            <w:tcW w:w="4070"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工程师</w:t>
            </w:r>
          </w:p>
        </w:tc>
        <w:tc>
          <w:tcPr>
            <w:tcW w:w="2744"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wBefore w:w="0" w:type="dxa"/>
          <w:wAfter w:w="0" w:type="dxa"/>
          <w:trHeight w:val="256" w:hRule="atLeast"/>
          <w:jc w:val="center"/>
        </w:trPr>
        <w:tc>
          <w:tcPr>
            <w:tcW w:w="1893" w:type="dxa"/>
            <w:tcBorders>
              <w:right w:val="single" w:color="000000" w:sz="6" w:space="0"/>
            </w:tcBorders>
            <w:noWrap w:val="0"/>
            <w:vAlign w:val="top"/>
          </w:tcPr>
          <w:p>
            <w:pPr>
              <w:spacing w:line="600" w:lineRule="exact"/>
              <w:jc w:val="center"/>
              <w:rPr>
                <w:rFonts w:hint="eastAsia" w:ascii="仿宋_GB2312" w:eastAsia="仿宋_GB2312"/>
                <w:sz w:val="32"/>
                <w:szCs w:val="32"/>
              </w:rPr>
            </w:pPr>
          </w:p>
        </w:tc>
        <w:tc>
          <w:tcPr>
            <w:tcW w:w="4070"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工程师</w:t>
            </w:r>
          </w:p>
        </w:tc>
        <w:tc>
          <w:tcPr>
            <w:tcW w:w="2744" w:type="dxa"/>
            <w:noWrap w:val="0"/>
            <w:vAlign w:val="top"/>
          </w:tcPr>
          <w:p>
            <w:pPr>
              <w:spacing w:line="600" w:lineRule="exact"/>
              <w:jc w:val="center"/>
              <w:rPr>
                <w:rFonts w:hint="eastAsia" w:ascii="仿宋_GB2312" w:eastAsia="仿宋_GB2312"/>
                <w:sz w:val="32"/>
                <w:szCs w:val="32"/>
              </w:rPr>
            </w:pPr>
            <w:r>
              <w:rPr>
                <w:rFonts w:hint="eastAsia" w:ascii="仿宋_GB2312" w:eastAsia="仿宋_GB2312"/>
                <w:sz w:val="32"/>
                <w:szCs w:val="32"/>
              </w:rPr>
              <w:t>渗透测试</w:t>
            </w:r>
          </w:p>
        </w:tc>
      </w:tr>
    </w:tbl>
    <w:p>
      <w:pPr>
        <w:pStyle w:val="3"/>
        <w:spacing w:before="0" w:after="0" w:line="240" w:lineRule="auto"/>
        <w:rPr>
          <w:rFonts w:hint="eastAsia" w:ascii="仿宋_GB2312" w:hAnsi="Times New Roman" w:eastAsia="仿宋_GB2312"/>
        </w:rPr>
      </w:pPr>
      <w:bookmarkStart w:id="13" w:name="_Toc492772553"/>
      <w:r>
        <w:rPr>
          <w:rFonts w:hint="eastAsia" w:ascii="仿宋_GB2312" w:hAnsi="Times New Roman" w:eastAsia="仿宋_GB2312"/>
        </w:rPr>
        <w:t>2.3 评估实施流程</w:t>
      </w:r>
      <w:bookmarkEnd w:id="13"/>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评估实施流程包括评估准备、现场评估、评估总结三个阶段：</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（1）评估准备</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成立评估小组，确定小组成员，收集业务相关的管理文档、技术文档、业务市场发展情况、业务自身情况、企业现有的安全管理和保障措施等信息，充分了解业务的使用流程。并根据业务网络访问情况开展前期初步测试和预评估。根据业务情况与被评估方进行深入交流，明确评估重点。</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（2）现场评估</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现场评估包括管理制度核查、业务安全测试、内容安全测试、系统漏洞检测、设备安全检测五个方面内容。采用人员访谈、内容安全测试、网络安全扫描和渗透测试等方式对企业信息安全管理、业务和技术风险、保障能力进行综合评估。</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（3）评估总结</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评估总结阶段对评估结果进行综合分析，形成评估结论，撰写评估报告，并提出合理化的整改建议。</w:t>
      </w:r>
    </w:p>
    <w:p>
      <w:pPr>
        <w:pStyle w:val="2"/>
        <w:spacing w:before="0" w:after="0" w:line="240" w:lineRule="auto"/>
        <w:rPr>
          <w:rFonts w:eastAsia="仿宋_GB2312"/>
          <w:sz w:val="32"/>
          <w:szCs w:val="32"/>
        </w:rPr>
        <w:sectPr>
          <w:pgSz w:w="11906" w:h="16838"/>
          <w:pgMar w:top="1440" w:right="1797" w:bottom="1440" w:left="1287" w:header="851" w:footer="992" w:gutter="0"/>
          <w:cols w:space="425" w:num="1"/>
          <w:docGrid w:type="lines" w:linePitch="312" w:charSpace="0"/>
        </w:sectPr>
      </w:pPr>
      <w:bookmarkStart w:id="14" w:name="_Toc492772554"/>
    </w:p>
    <w:p>
      <w:pPr>
        <w:pStyle w:val="2"/>
        <w:spacing w:before="0" w:after="0" w:line="240" w:lineRule="auto"/>
        <w:rPr>
          <w:rFonts w:eastAsia="仿宋_GB2312"/>
          <w:sz w:val="32"/>
          <w:szCs w:val="32"/>
        </w:rPr>
      </w:pPr>
      <w:r>
        <w:rPr>
          <w:rFonts w:eastAsia="仿宋_GB2312"/>
          <w:sz w:val="32"/>
          <w:szCs w:val="32"/>
        </w:rPr>
        <w:t xml:space="preserve">3 </w:t>
      </w:r>
      <w:r>
        <w:rPr>
          <w:rFonts w:hint="eastAsia" w:eastAsia="仿宋_GB2312"/>
          <w:sz w:val="32"/>
          <w:szCs w:val="32"/>
        </w:rPr>
        <w:t>业务安全风险分析</w:t>
      </w:r>
      <w:bookmarkEnd w:id="14"/>
    </w:p>
    <w:p>
      <w:pPr>
        <w:pStyle w:val="3"/>
        <w:spacing w:before="0" w:after="0" w:line="240" w:lineRule="auto"/>
        <w:rPr>
          <w:rFonts w:ascii="Times New Roman" w:hAnsi="Times New Roman" w:eastAsia="仿宋_GB2312"/>
        </w:rPr>
      </w:pPr>
      <w:bookmarkStart w:id="15" w:name="_Toc492772555"/>
      <w:r>
        <w:rPr>
          <w:rFonts w:ascii="Times New Roman" w:hAnsi="Times New Roman" w:eastAsia="仿宋_GB2312"/>
        </w:rPr>
        <w:t xml:space="preserve">3.1 </w:t>
      </w:r>
      <w:r>
        <w:rPr>
          <w:rFonts w:hint="eastAsia" w:ascii="Times New Roman" w:hAnsi="Times New Roman" w:eastAsia="仿宋_GB2312"/>
        </w:rPr>
        <w:t>安全风险分析表</w:t>
      </w:r>
      <w:bookmarkEnd w:id="15"/>
    </w:p>
    <w:tbl>
      <w:tblPr>
        <w:tblStyle w:val="54"/>
        <w:tblW w:w="90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1367"/>
        <w:gridCol w:w="5052"/>
        <w:gridCol w:w="1253"/>
      </w:tblGrid>
      <w:tr>
        <w:trPr>
          <w:wBefore w:w="0" w:type="dxa"/>
          <w:wAfter w:w="0" w:type="dxa"/>
          <w:trHeight w:val="495" w:hRule="atLeast"/>
          <w:jc w:val="center"/>
        </w:trPr>
        <w:tc>
          <w:tcPr>
            <w:tcW w:w="1366" w:type="dxa"/>
            <w:shd w:val="clear" w:color="000000" w:fill="C0C0C0"/>
            <w:noWrap w:val="0"/>
            <w:vAlign w:val="center"/>
          </w:tcPr>
          <w:p>
            <w:pPr>
              <w:widowControl/>
              <w:jc w:val="center"/>
              <w:rPr>
                <w:rFonts w:ascii="宋体" w:hAnsi="宋体"/>
                <w:b/>
                <w:bCs/>
                <w:kern w:val="0"/>
                <w:sz w:val="18"/>
                <w:szCs w:val="18"/>
              </w:rPr>
            </w:pPr>
            <w:bookmarkStart w:id="16" w:name="_Toc492772556"/>
            <w:r>
              <w:rPr>
                <w:rFonts w:hint="eastAsia" w:ascii="宋体" w:hAnsi="宋体"/>
                <w:b/>
                <w:bCs/>
                <w:kern w:val="0"/>
                <w:sz w:val="18"/>
                <w:szCs w:val="18"/>
              </w:rPr>
              <w:t>风险类型</w:t>
            </w:r>
          </w:p>
        </w:tc>
        <w:tc>
          <w:tcPr>
            <w:tcW w:w="1367" w:type="dxa"/>
            <w:shd w:val="clear" w:color="000000" w:fill="C0C0C0"/>
            <w:noWrap w:val="0"/>
            <w:vAlign w:val="center"/>
          </w:tcPr>
          <w:p>
            <w:pPr>
              <w:widowControl/>
              <w:jc w:val="center"/>
              <w:rPr>
                <w:rFonts w:ascii="宋体" w:hAnsi="宋体"/>
                <w:b/>
                <w:bCs/>
                <w:kern w:val="0"/>
                <w:sz w:val="18"/>
                <w:szCs w:val="18"/>
              </w:rPr>
            </w:pPr>
            <w:r>
              <w:rPr>
                <w:rFonts w:ascii="宋体" w:hAnsi="宋体"/>
                <w:b/>
                <w:bCs/>
                <w:kern w:val="0"/>
                <w:sz w:val="18"/>
                <w:szCs w:val="18"/>
              </w:rPr>
              <w:t>FX</w:t>
            </w:r>
            <w:r>
              <w:rPr>
                <w:rFonts w:hint="eastAsia" w:ascii="宋体" w:hAnsi="宋体"/>
                <w:b/>
                <w:bCs/>
                <w:kern w:val="0"/>
                <w:sz w:val="18"/>
                <w:szCs w:val="18"/>
              </w:rPr>
              <w:t>编号</w:t>
            </w:r>
          </w:p>
        </w:tc>
        <w:tc>
          <w:tcPr>
            <w:tcW w:w="5052" w:type="dxa"/>
            <w:shd w:val="clear" w:color="000000" w:fill="C0C0C0"/>
            <w:noWrap w:val="0"/>
            <w:vAlign w:val="center"/>
          </w:tcPr>
          <w:p>
            <w:pPr>
              <w:widowControl/>
              <w:jc w:val="center"/>
              <w:rPr>
                <w:rFonts w:ascii="宋体" w:hAnsi="宋体"/>
                <w:b/>
                <w:bCs/>
                <w:kern w:val="0"/>
                <w:sz w:val="18"/>
                <w:szCs w:val="18"/>
              </w:rPr>
            </w:pPr>
            <w:r>
              <w:rPr>
                <w:rFonts w:hint="eastAsia" w:ascii="宋体" w:hAnsi="宋体"/>
                <w:b/>
                <w:bCs/>
                <w:kern w:val="0"/>
                <w:sz w:val="18"/>
                <w:szCs w:val="18"/>
              </w:rPr>
              <w:t>业务安全业务安全风险评估要点</w:t>
            </w:r>
          </w:p>
        </w:tc>
        <w:tc>
          <w:tcPr>
            <w:tcW w:w="1253" w:type="dxa"/>
            <w:shd w:val="clear" w:color="000000" w:fill="C0C0C0"/>
            <w:noWrap w:val="0"/>
            <w:vAlign w:val="center"/>
          </w:tcPr>
          <w:p>
            <w:pPr>
              <w:widowControl/>
              <w:jc w:val="center"/>
              <w:rPr>
                <w:rFonts w:ascii="宋体" w:hAnsi="宋体"/>
                <w:b/>
                <w:bCs/>
                <w:kern w:val="0"/>
                <w:sz w:val="18"/>
                <w:szCs w:val="18"/>
              </w:rPr>
            </w:pPr>
            <w:r>
              <w:rPr>
                <w:rFonts w:hint="eastAsia" w:ascii="宋体" w:hAnsi="宋体"/>
                <w:b/>
                <w:bCs/>
                <w:kern w:val="0"/>
                <w:sz w:val="18"/>
                <w:szCs w:val="18"/>
              </w:rPr>
              <w:t>评估意见</w:t>
            </w:r>
          </w:p>
        </w:tc>
      </w:tr>
      <w:tr>
        <w:trPr>
          <w:wBefore w:w="0" w:type="dxa"/>
          <w:wAfter w:w="0" w:type="dxa"/>
          <w:trHeight w:val="526" w:hRule="atLeast"/>
          <w:jc w:val="center"/>
        </w:trPr>
        <w:tc>
          <w:tcPr>
            <w:tcW w:w="1366" w:type="dxa"/>
            <w:vMerge w:val="restart"/>
            <w:noWrap w:val="0"/>
            <w:vAlign w:val="center"/>
          </w:tcPr>
          <w:p>
            <w:pPr>
              <w:jc w:val="center"/>
              <w:rPr>
                <w:rFonts w:ascii="宋体" w:hAnsi="宋体"/>
                <w:kern w:val="0"/>
                <w:sz w:val="18"/>
                <w:szCs w:val="18"/>
              </w:rPr>
            </w:pPr>
            <w:r>
              <w:rPr>
                <w:rFonts w:hint="eastAsia" w:ascii="宋体" w:hAnsi="宋体"/>
                <w:kern w:val="0"/>
                <w:sz w:val="18"/>
                <w:szCs w:val="18"/>
              </w:rPr>
              <w:t>业务应用安全风险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评估人员通过人员访谈的方式，了解被评估业务的用户规模。（被评估业务包括存量业务和未上线业务）</w:t>
            </w:r>
          </w:p>
        </w:tc>
        <w:tc>
          <w:tcPr>
            <w:tcW w:w="1253" w:type="dxa"/>
            <w:vMerge w:val="restart"/>
            <w:noWrap w:val="0"/>
            <w:vAlign w:val="center"/>
          </w:tcPr>
          <w:p>
            <w:pPr>
              <w:jc w:val="center"/>
            </w:pPr>
            <w:r>
              <w:rPr>
                <w:rFonts w:hint="eastAsia" w:ascii="宋体" w:hAnsi="宋体"/>
                <w:kern w:val="0"/>
                <w:sz w:val="18"/>
                <w:szCs w:val="18"/>
              </w:rPr>
              <w:t>无风险</w:t>
            </w:r>
          </w:p>
        </w:tc>
      </w:tr>
      <w:tr>
        <w:trPr>
          <w:wBefore w:w="0" w:type="dxa"/>
          <w:wAfter w:w="0" w:type="dxa"/>
          <w:trHeight w:val="450"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评估人员通过人员访谈的方式，了解被评估业务的用户类型（被评估业务包括存量业务和未上线业务）。</w:t>
            </w:r>
          </w:p>
        </w:tc>
        <w:tc>
          <w:tcPr>
            <w:tcW w:w="1253" w:type="dxa"/>
            <w:vMerge w:val="continue"/>
            <w:noWrap w:val="0"/>
            <w:vAlign w:val="center"/>
          </w:tcPr>
          <w:p>
            <w:pPr>
              <w:widowControl/>
              <w:jc w:val="center"/>
              <w:rPr>
                <w:rFonts w:ascii="宋体" w:hAnsi="宋体"/>
                <w:color w:val="808080"/>
                <w:kern w:val="0"/>
                <w:sz w:val="18"/>
                <w:szCs w:val="18"/>
              </w:rPr>
            </w:pPr>
          </w:p>
        </w:tc>
      </w:tr>
      <w:tr>
        <w:trPr>
          <w:wBefore w:w="0" w:type="dxa"/>
          <w:wAfter w:w="0" w:type="dxa"/>
          <w:trHeight w:val="57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评估人员通过人员访谈的方式，了解被评估业务用户之间的相关性（被评估业务包括存量业务和未上线业务）。</w:t>
            </w:r>
          </w:p>
        </w:tc>
        <w:tc>
          <w:tcPr>
            <w:tcW w:w="1253" w:type="dxa"/>
            <w:vMerge w:val="continue"/>
            <w:noWrap w:val="0"/>
            <w:vAlign w:val="center"/>
          </w:tcPr>
          <w:p>
            <w:pPr>
              <w:widowControl/>
              <w:jc w:val="center"/>
              <w:rPr>
                <w:rFonts w:ascii="宋体" w:hAnsi="宋体"/>
                <w:color w:val="808080"/>
                <w:kern w:val="0"/>
                <w:sz w:val="18"/>
                <w:szCs w:val="18"/>
              </w:rPr>
            </w:pPr>
          </w:p>
        </w:tc>
      </w:tr>
      <w:tr>
        <w:trPr>
          <w:wBefore w:w="0" w:type="dxa"/>
          <w:wAfter w:w="0" w:type="dxa"/>
          <w:trHeight w:val="653"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评估人员通过人员访谈、演示查验等方式，了解被评估业务的用户真实身份信息管理制度是否能够确保用户身份信息真实性，如用户注册过程中是否要求提供真实身份信息等。</w:t>
            </w:r>
          </w:p>
        </w:tc>
        <w:tc>
          <w:tcPr>
            <w:tcW w:w="1253" w:type="dxa"/>
            <w:noWrap w:val="0"/>
            <w:vAlign w:val="center"/>
          </w:tcPr>
          <w:p>
            <w:pPr>
              <w:jc w:val="center"/>
            </w:pPr>
            <w:r>
              <w:rPr>
                <w:rFonts w:hint="eastAsia" w:ascii="宋体" w:hAnsi="宋体"/>
                <w:kern w:val="0"/>
                <w:sz w:val="18"/>
                <w:szCs w:val="18"/>
              </w:rPr>
              <w:t>无风险</w:t>
            </w:r>
          </w:p>
        </w:tc>
      </w:tr>
      <w:tr>
        <w:trPr>
          <w:wBefore w:w="0" w:type="dxa"/>
          <w:wAfter w:w="0" w:type="dxa"/>
          <w:trHeight w:val="55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01-FX-04</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评估人员通过测试验证的方式，检查被评估业务是否具备用户真实身份鉴别功能是否存在身份仿冒或欺骗的可能。</w:t>
            </w:r>
          </w:p>
        </w:tc>
        <w:tc>
          <w:tcPr>
            <w:tcW w:w="1253" w:type="dxa"/>
            <w:noWrap w:val="0"/>
            <w:vAlign w:val="center"/>
          </w:tcPr>
          <w:p>
            <w:pPr>
              <w:jc w:val="center"/>
            </w:pPr>
            <w:r>
              <w:rPr>
                <w:rFonts w:hint="eastAsia" w:ascii="宋体" w:hAnsi="宋体"/>
                <w:kern w:val="0"/>
                <w:sz w:val="18"/>
                <w:szCs w:val="18"/>
              </w:rPr>
              <w:t>无风险</w:t>
            </w:r>
          </w:p>
        </w:tc>
      </w:tr>
      <w:tr>
        <w:trPr>
          <w:wBefore w:w="0" w:type="dxa"/>
          <w:wAfter w:w="0" w:type="dxa"/>
          <w:trHeight w:val="490"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01-FX-05</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评估人员通过人员访谈的方式，检查是否制定了会话失效机制、身份认证失效机制。</w:t>
            </w:r>
          </w:p>
        </w:tc>
        <w:tc>
          <w:tcPr>
            <w:tcW w:w="1253" w:type="dxa"/>
            <w:noWrap w:val="0"/>
            <w:vAlign w:val="center"/>
          </w:tcPr>
          <w:p>
            <w:pPr>
              <w:jc w:val="center"/>
            </w:pPr>
            <w:r>
              <w:rPr>
                <w:rFonts w:hint="eastAsia" w:ascii="宋体" w:hAnsi="宋体"/>
                <w:kern w:val="0"/>
                <w:sz w:val="18"/>
                <w:szCs w:val="18"/>
              </w:rPr>
              <w:t>无风险</w:t>
            </w:r>
          </w:p>
        </w:tc>
      </w:tr>
      <w:tr>
        <w:trPr>
          <w:wBefore w:w="0" w:type="dxa"/>
          <w:wAfter w:w="0" w:type="dxa"/>
          <w:trHeight w:val="556"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01-FX-06</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评估人员通过人员访谈、演示查验等方式，了解被评估的业务系统是否建立了用户身份信息保护管理制度和技术手段。</w:t>
            </w:r>
          </w:p>
        </w:tc>
        <w:tc>
          <w:tcPr>
            <w:tcW w:w="1253" w:type="dxa"/>
            <w:noWrap w:val="0"/>
            <w:vAlign w:val="center"/>
          </w:tcPr>
          <w:p>
            <w:pPr>
              <w:jc w:val="center"/>
              <w:rPr>
                <w:rFonts w:ascii="宋体" w:hAnsi="宋体"/>
                <w:kern w:val="0"/>
                <w:sz w:val="18"/>
                <w:szCs w:val="18"/>
              </w:rPr>
            </w:pPr>
            <w:r>
              <w:rPr>
                <w:rFonts w:hint="eastAsia" w:ascii="宋体" w:hAnsi="宋体"/>
                <w:kern w:val="0"/>
                <w:sz w:val="18"/>
                <w:szCs w:val="18"/>
              </w:rPr>
              <w:t>无风险</w:t>
            </w:r>
          </w:p>
        </w:tc>
      </w:tr>
      <w:tr>
        <w:trPr>
          <w:wBefore w:w="0" w:type="dxa"/>
          <w:wAfter w:w="0" w:type="dxa"/>
          <w:trHeight w:val="920"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01-FX-07</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评估人员通过人员访谈、演示查验等方式，了解被评估业务的中公共信息的可审核性，即是否包含大量审核难度较高的信息模块和信息格式（如图片和音视频等）。</w:t>
            </w:r>
          </w:p>
        </w:tc>
        <w:tc>
          <w:tcPr>
            <w:tcW w:w="1253" w:type="dxa"/>
            <w:noWrap w:val="0"/>
            <w:vAlign w:val="center"/>
          </w:tcPr>
          <w:p>
            <w:pPr>
              <w:jc w:val="center"/>
              <w:rPr>
                <w:rFonts w:ascii="宋体" w:hAnsi="宋体"/>
                <w:kern w:val="0"/>
                <w:sz w:val="18"/>
                <w:szCs w:val="18"/>
              </w:rPr>
            </w:pPr>
            <w:r>
              <w:rPr>
                <w:rFonts w:hint="eastAsia" w:ascii="宋体" w:hAnsi="宋体"/>
                <w:kern w:val="0"/>
                <w:sz w:val="18"/>
                <w:szCs w:val="18"/>
              </w:rPr>
              <w:t>不涉及</w:t>
            </w:r>
          </w:p>
        </w:tc>
      </w:tr>
      <w:tr>
        <w:trPr>
          <w:wBefore w:w="0" w:type="dxa"/>
          <w:wAfter w:w="0" w:type="dxa"/>
          <w:trHeight w:val="678"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01-FX-08</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评估人员通过人员访谈、文件审查等方式，了解业务发布的公共信息是否具有多样性属性，即是否包含多元主题模块。</w:t>
            </w:r>
          </w:p>
        </w:tc>
        <w:tc>
          <w:tcPr>
            <w:tcW w:w="1253" w:type="dxa"/>
            <w:noWrap w:val="0"/>
            <w:vAlign w:val="center"/>
          </w:tcPr>
          <w:p>
            <w:pPr>
              <w:jc w:val="center"/>
              <w:rPr>
                <w:rFonts w:hint="eastAsia" w:ascii="宋体" w:hAnsi="宋体"/>
                <w:kern w:val="0"/>
                <w:sz w:val="18"/>
                <w:szCs w:val="18"/>
              </w:rPr>
            </w:pPr>
            <w:r>
              <w:rPr>
                <w:rFonts w:hint="eastAsia" w:ascii="宋体" w:hAnsi="宋体"/>
                <w:kern w:val="0"/>
                <w:sz w:val="18"/>
                <w:szCs w:val="18"/>
              </w:rPr>
              <w:t>不涉及</w:t>
            </w:r>
          </w:p>
        </w:tc>
      </w:tr>
      <w:tr>
        <w:trPr>
          <w:wBefore w:w="0" w:type="dxa"/>
          <w:wAfter w:w="0" w:type="dxa"/>
          <w:trHeight w:val="560"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01-FX-09</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评估人员通过人员访谈、文件审查、测试验证等方式，了解业务公共信息内容的相关性，即信息内容是否围绕大致相近的主题。</w:t>
            </w:r>
          </w:p>
        </w:tc>
        <w:tc>
          <w:tcPr>
            <w:tcW w:w="1253" w:type="dxa"/>
            <w:noWrap w:val="0"/>
            <w:vAlign w:val="center"/>
          </w:tcPr>
          <w:p>
            <w:pPr>
              <w:jc w:val="center"/>
              <w:rPr>
                <w:rFonts w:ascii="宋体" w:hAnsi="宋体"/>
                <w:kern w:val="0"/>
                <w:sz w:val="18"/>
                <w:szCs w:val="18"/>
              </w:rPr>
            </w:pPr>
            <w:r>
              <w:rPr>
                <w:rFonts w:hint="eastAsia" w:ascii="宋体" w:hAnsi="宋体"/>
                <w:kern w:val="0"/>
                <w:sz w:val="18"/>
                <w:szCs w:val="18"/>
              </w:rPr>
              <w:t>不涉及</w:t>
            </w:r>
          </w:p>
        </w:tc>
      </w:tr>
      <w:tr>
        <w:trPr>
          <w:wBefore w:w="0" w:type="dxa"/>
          <w:wAfter w:w="0" w:type="dxa"/>
          <w:trHeight w:val="499"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01-FX-10</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评估人员通过人员访谈、演示查验等方式，了解业务信息呈现方式，即业务可承载的信息格式是否包括简单文本，文本、图片、语音、视频等文件。</w:t>
            </w:r>
          </w:p>
        </w:tc>
        <w:tc>
          <w:tcPr>
            <w:tcW w:w="1253" w:type="dxa"/>
            <w:noWrap w:val="0"/>
            <w:vAlign w:val="center"/>
          </w:tcPr>
          <w:p>
            <w:pPr>
              <w:jc w:val="center"/>
            </w:pPr>
            <w:r>
              <w:rPr>
                <w:rFonts w:hint="eastAsia" w:ascii="宋体" w:hAnsi="宋体"/>
                <w:kern w:val="0"/>
                <w:sz w:val="18"/>
                <w:szCs w:val="18"/>
              </w:rPr>
              <w:t>不涉及</w:t>
            </w:r>
          </w:p>
        </w:tc>
      </w:tr>
      <w:tr>
        <w:trPr>
          <w:wBefore w:w="0" w:type="dxa"/>
          <w:wAfter w:w="0" w:type="dxa"/>
          <w:trHeight w:val="423"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01-FX-11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评估人员通过人员访谈、演示查验等方式，了解业务语言类型是否包含小语种信息。</w:t>
            </w:r>
          </w:p>
        </w:tc>
        <w:tc>
          <w:tcPr>
            <w:tcW w:w="1253" w:type="dxa"/>
            <w:noWrap w:val="0"/>
            <w:vAlign w:val="center"/>
          </w:tcPr>
          <w:p>
            <w:pPr>
              <w:jc w:val="center"/>
            </w:pPr>
            <w:r>
              <w:rPr>
                <w:rFonts w:hint="eastAsia" w:ascii="宋体" w:hAnsi="宋体"/>
                <w:kern w:val="0"/>
                <w:sz w:val="18"/>
                <w:szCs w:val="18"/>
              </w:rPr>
              <w:t>不涉及</w:t>
            </w:r>
          </w:p>
        </w:tc>
      </w:tr>
      <w:tr>
        <w:trPr>
          <w:wBefore w:w="0" w:type="dxa"/>
          <w:wAfter w:w="0" w:type="dxa"/>
          <w:trHeight w:val="503"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01-FX-12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评估人员通过人员访谈、演示查验等方式，查看业务系统公众信息发布的信息源进行鉴别时，即是否确认信息是由真实身份可确认的可信用户发布的。</w:t>
            </w:r>
          </w:p>
        </w:tc>
        <w:tc>
          <w:tcPr>
            <w:tcW w:w="1253" w:type="dxa"/>
            <w:noWrap w:val="0"/>
            <w:vAlign w:val="center"/>
          </w:tcPr>
          <w:p>
            <w:pPr>
              <w:jc w:val="center"/>
            </w:pPr>
            <w:r>
              <w:rPr>
                <w:rFonts w:hint="eastAsia" w:ascii="宋体" w:hAnsi="宋体"/>
                <w:kern w:val="0"/>
                <w:sz w:val="18"/>
                <w:szCs w:val="18"/>
              </w:rPr>
              <w:t>不涉及</w:t>
            </w:r>
          </w:p>
        </w:tc>
      </w:tr>
      <w:tr>
        <w:trPr>
          <w:wBefore w:w="0" w:type="dxa"/>
          <w:wAfter w:w="0" w:type="dxa"/>
          <w:trHeight w:val="686"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01-FX-13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评估人员通过人员访谈、演示查验等方式，了解业务中公共信息产生方式，即确认是否包含第三方或用户发布的信息。</w:t>
            </w:r>
          </w:p>
        </w:tc>
        <w:tc>
          <w:tcPr>
            <w:tcW w:w="1253" w:type="dxa"/>
            <w:noWrap w:val="0"/>
            <w:vAlign w:val="center"/>
          </w:tcPr>
          <w:p>
            <w:pPr>
              <w:jc w:val="center"/>
            </w:pPr>
            <w:r>
              <w:rPr>
                <w:rFonts w:hint="eastAsia" w:ascii="宋体" w:hAnsi="宋体"/>
                <w:kern w:val="0"/>
                <w:sz w:val="18"/>
                <w:szCs w:val="18"/>
              </w:rPr>
              <w:t>不涉及</w:t>
            </w:r>
          </w:p>
        </w:tc>
      </w:tr>
      <w:tr>
        <w:trPr>
          <w:wBefore w:w="0" w:type="dxa"/>
          <w:wAfter w:w="0" w:type="dxa"/>
          <w:trHeight w:val="416"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01-FX-14</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评估人员通过人员访谈、演示查验等方式，了解业务平台支持的信息传播方式，是否支持点对点、点对多点、多点对多点及裂变式传播。</w:t>
            </w:r>
          </w:p>
        </w:tc>
        <w:tc>
          <w:tcPr>
            <w:tcW w:w="1253" w:type="dxa"/>
            <w:noWrap w:val="0"/>
            <w:vAlign w:val="center"/>
          </w:tcPr>
          <w:p>
            <w:pPr>
              <w:jc w:val="center"/>
            </w:pPr>
            <w:r>
              <w:rPr>
                <w:rFonts w:hint="eastAsia" w:ascii="宋体" w:hAnsi="宋体"/>
                <w:kern w:val="0"/>
                <w:sz w:val="18"/>
                <w:szCs w:val="18"/>
              </w:rPr>
              <w:t>不涉及</w:t>
            </w:r>
          </w:p>
        </w:tc>
      </w:tr>
      <w:tr>
        <w:trPr>
          <w:wBefore w:w="0" w:type="dxa"/>
          <w:wAfter w:w="0" w:type="dxa"/>
          <w:trHeight w:val="351"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01-FX-15</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评估人员通过人员访谈、演示查验等方式，了解业务支持的通信媒介，即业务平台的信息是否可以分享至其他平台，或可跨越网络类型传播。如果是，还应进一步了解可分享的平台类型、数量及规模情况。</w:t>
            </w:r>
          </w:p>
        </w:tc>
        <w:tc>
          <w:tcPr>
            <w:tcW w:w="1253" w:type="dxa"/>
            <w:noWrap w:val="0"/>
            <w:vAlign w:val="center"/>
          </w:tcPr>
          <w:p>
            <w:pPr>
              <w:jc w:val="center"/>
            </w:pPr>
            <w:r>
              <w:rPr>
                <w:rFonts w:hint="eastAsia" w:ascii="宋体" w:hAnsi="宋体"/>
                <w:kern w:val="0"/>
                <w:sz w:val="18"/>
                <w:szCs w:val="18"/>
              </w:rPr>
              <w:t>不涉及</w:t>
            </w:r>
          </w:p>
        </w:tc>
      </w:tr>
      <w:tr>
        <w:trPr>
          <w:wBefore w:w="0" w:type="dxa"/>
          <w:wAfter w:w="0" w:type="dxa"/>
          <w:trHeight w:val="416"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01-FX-16</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评估人员通过人员访谈、演示查验等方式，了解业务平台信息传递实时性属性，即在向用户推送新消息时是否是直接明示信息内容，是否允许用户修改系统设置实现信息的隐藏。</w:t>
            </w:r>
          </w:p>
        </w:tc>
        <w:tc>
          <w:tcPr>
            <w:tcW w:w="1253" w:type="dxa"/>
            <w:noWrap w:val="0"/>
            <w:vAlign w:val="center"/>
          </w:tcPr>
          <w:p>
            <w:pPr>
              <w:jc w:val="center"/>
            </w:pPr>
            <w:r>
              <w:rPr>
                <w:rFonts w:hint="eastAsia" w:ascii="宋体" w:hAnsi="宋体"/>
                <w:kern w:val="0"/>
                <w:sz w:val="18"/>
                <w:szCs w:val="18"/>
              </w:rPr>
              <w:t>不涉及</w:t>
            </w:r>
          </w:p>
        </w:tc>
      </w:tr>
      <w:tr>
        <w:trPr>
          <w:wBefore w:w="0" w:type="dxa"/>
          <w:wAfter w:w="0" w:type="dxa"/>
          <w:trHeight w:val="829"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01-FX-17</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评估人员通过人员访谈、演示查验等方式，了解业务中信息收取方式，即用户获取信息包含的类型有如下几种：用户主动订阅或申请，系统主动推送等。</w:t>
            </w:r>
          </w:p>
        </w:tc>
        <w:tc>
          <w:tcPr>
            <w:tcW w:w="1253" w:type="dxa"/>
            <w:noWrap w:val="0"/>
            <w:vAlign w:val="center"/>
          </w:tcPr>
          <w:p>
            <w:pPr>
              <w:jc w:val="center"/>
            </w:pPr>
            <w:r>
              <w:rPr>
                <w:rFonts w:hint="eastAsia" w:ascii="宋体" w:hAnsi="宋体"/>
                <w:kern w:val="0"/>
                <w:sz w:val="18"/>
                <w:szCs w:val="18"/>
              </w:rPr>
              <w:t>不涉及</w:t>
            </w:r>
          </w:p>
        </w:tc>
      </w:tr>
      <w:tr>
        <w:trPr>
          <w:wBefore w:w="0" w:type="dxa"/>
          <w:wAfter w:w="0" w:type="dxa"/>
          <w:trHeight w:val="523"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01-FX-18</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评估人员通过人员访谈、演示查验等方式，了解业务系统后台是否支持信息留存功能，即系统后台是否留存了法律法规要求的日志记录。</w:t>
            </w:r>
          </w:p>
        </w:tc>
        <w:tc>
          <w:tcPr>
            <w:tcW w:w="1253" w:type="dxa"/>
            <w:noWrap w:val="0"/>
            <w:vAlign w:val="center"/>
          </w:tcPr>
          <w:p>
            <w:pPr>
              <w:jc w:val="center"/>
            </w:pPr>
            <w:r>
              <w:rPr>
                <w:rFonts w:hint="eastAsia" w:ascii="宋体" w:hAnsi="宋体"/>
                <w:kern w:val="0"/>
                <w:sz w:val="18"/>
                <w:szCs w:val="18"/>
              </w:rPr>
              <w:t>不涉及</w:t>
            </w:r>
          </w:p>
        </w:tc>
      </w:tr>
      <w:tr>
        <w:trPr>
          <w:wBefore w:w="0" w:type="dxa"/>
          <w:wAfter w:w="0" w:type="dxa"/>
          <w:trHeight w:val="525" w:hRule="atLeast"/>
          <w:jc w:val="center"/>
        </w:trPr>
        <w:tc>
          <w:tcPr>
            <w:tcW w:w="1366" w:type="dxa"/>
            <w:vMerge w:val="restart"/>
            <w:noWrap w:val="0"/>
            <w:vAlign w:val="center"/>
          </w:tcPr>
          <w:p>
            <w:pPr>
              <w:jc w:val="center"/>
              <w:rPr>
                <w:rFonts w:ascii="宋体" w:hAnsi="宋体"/>
                <w:kern w:val="0"/>
                <w:sz w:val="18"/>
                <w:szCs w:val="18"/>
              </w:rPr>
            </w:pPr>
            <w:r>
              <w:rPr>
                <w:rFonts w:hint="eastAsia" w:ascii="宋体" w:hAnsi="宋体"/>
                <w:kern w:val="0"/>
                <w:sz w:val="18"/>
                <w:szCs w:val="18"/>
              </w:rPr>
              <w:t>业务平台安全风险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02-FX-01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评估人员通过人员访谈、文件审查等方式，了解业务系统网络拓扑结构中设备位置分布情况。</w:t>
            </w:r>
          </w:p>
        </w:tc>
        <w:tc>
          <w:tcPr>
            <w:tcW w:w="1253" w:type="dxa"/>
            <w:noWrap w:val="0"/>
            <w:vAlign w:val="center"/>
          </w:tcPr>
          <w:p>
            <w:pPr>
              <w:jc w:val="center"/>
            </w:pPr>
            <w:r>
              <w:rPr>
                <w:rFonts w:hint="eastAsia" w:ascii="宋体" w:hAnsi="宋体"/>
                <w:kern w:val="0"/>
                <w:sz w:val="18"/>
                <w:szCs w:val="18"/>
              </w:rPr>
              <w:t>无风险</w:t>
            </w:r>
          </w:p>
        </w:tc>
      </w:tr>
      <w:tr>
        <w:trPr>
          <w:wBefore w:w="0" w:type="dxa"/>
          <w:wAfter w:w="0" w:type="dxa"/>
          <w:trHeight w:val="604"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02-FX-02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评估人员通过人员访谈、文件审查等方式，了解业务平台系统资源调度方式，是否采用云计算技术或采购第三方云服务方式。</w:t>
            </w:r>
          </w:p>
        </w:tc>
        <w:tc>
          <w:tcPr>
            <w:tcW w:w="1253" w:type="dxa"/>
            <w:noWrap w:val="0"/>
            <w:vAlign w:val="center"/>
          </w:tcPr>
          <w:p>
            <w:pPr>
              <w:jc w:val="center"/>
            </w:pPr>
            <w:r>
              <w:rPr>
                <w:rFonts w:hint="eastAsia" w:ascii="宋体" w:hAnsi="宋体"/>
                <w:kern w:val="0"/>
                <w:sz w:val="18"/>
                <w:szCs w:val="18"/>
              </w:rPr>
              <w:t>无风险</w:t>
            </w:r>
          </w:p>
        </w:tc>
      </w:tr>
      <w:tr>
        <w:trPr>
          <w:wBefore w:w="0" w:type="dxa"/>
          <w:wAfter w:w="0" w:type="dxa"/>
          <w:trHeight w:val="543"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02-FX-03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评估人员通过人员访谈、文件审查等方式，了解业务平台系统资源调度方式，是否采取了内容分发网络技术情况；</w:t>
            </w:r>
          </w:p>
        </w:tc>
        <w:tc>
          <w:tcPr>
            <w:tcW w:w="1253" w:type="dxa"/>
            <w:noWrap w:val="0"/>
            <w:vAlign w:val="center"/>
          </w:tcPr>
          <w:p>
            <w:pPr>
              <w:jc w:val="center"/>
            </w:pPr>
            <w:r>
              <w:rPr>
                <w:rFonts w:hint="eastAsia" w:ascii="宋体" w:hAnsi="宋体"/>
                <w:kern w:val="0"/>
                <w:sz w:val="18"/>
                <w:szCs w:val="18"/>
              </w:rPr>
              <w:t>无风险</w:t>
            </w:r>
          </w:p>
        </w:tc>
      </w:tr>
      <w:tr>
        <w:trPr>
          <w:wBefore w:w="0" w:type="dxa"/>
          <w:wAfter w:w="0" w:type="dxa"/>
          <w:trHeight w:val="608"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02-FX-04</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评估人员通过人员访谈、文件审查等方式，了解业务合作模式</w:t>
            </w:r>
            <w:r>
              <w:rPr>
                <w:rFonts w:ascii="宋体" w:hAnsi="宋体"/>
                <w:kern w:val="0"/>
                <w:sz w:val="18"/>
                <w:szCs w:val="18"/>
              </w:rPr>
              <w:t>/</w:t>
            </w:r>
            <w:r>
              <w:rPr>
                <w:rFonts w:hint="eastAsia" w:ascii="宋体" w:hAnsi="宋体"/>
                <w:kern w:val="0"/>
                <w:sz w:val="18"/>
                <w:szCs w:val="18"/>
              </w:rPr>
              <w:t>服务模式是否满足合规性要求，即核实业务合作模式</w:t>
            </w:r>
            <w:r>
              <w:rPr>
                <w:rFonts w:ascii="宋体" w:hAnsi="宋体"/>
                <w:kern w:val="0"/>
                <w:sz w:val="18"/>
                <w:szCs w:val="18"/>
              </w:rPr>
              <w:t>/</w:t>
            </w:r>
            <w:r>
              <w:rPr>
                <w:rFonts w:hint="eastAsia" w:ascii="宋体" w:hAnsi="宋体"/>
                <w:kern w:val="0"/>
                <w:sz w:val="18"/>
                <w:szCs w:val="18"/>
              </w:rPr>
              <w:t>服务模式是否满足相关行业管理规定，或合作</w:t>
            </w:r>
            <w:r>
              <w:rPr>
                <w:rFonts w:ascii="宋体" w:hAnsi="宋体"/>
                <w:kern w:val="0"/>
                <w:sz w:val="18"/>
                <w:szCs w:val="18"/>
              </w:rPr>
              <w:t>/</w:t>
            </w:r>
            <w:r>
              <w:rPr>
                <w:rFonts w:hint="eastAsia" w:ascii="宋体" w:hAnsi="宋体"/>
                <w:kern w:val="0"/>
                <w:sz w:val="18"/>
                <w:szCs w:val="18"/>
              </w:rPr>
              <w:t>用户是否具备开办业务的相关资质。</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23"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02-FX-05</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评估人员通过人员访谈、文件审查等方式，了解业务运营在合作（技术合作和服务合作）开展前是否对合作信息安全保障能力（管理制度和技术手段）进行了评估，并形成了相关文档。</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02-FX-06</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评估人员通过人员访谈、文件审查等方式，了解业务系统开放的</w:t>
            </w:r>
            <w:r>
              <w:rPr>
                <w:rFonts w:ascii="宋体" w:hAnsi="宋体"/>
                <w:kern w:val="0"/>
                <w:sz w:val="18"/>
                <w:szCs w:val="18"/>
              </w:rPr>
              <w:t>API</w:t>
            </w:r>
            <w:r>
              <w:rPr>
                <w:rFonts w:hint="eastAsia" w:ascii="宋体" w:hAnsi="宋体"/>
                <w:kern w:val="0"/>
                <w:sz w:val="18"/>
                <w:szCs w:val="18"/>
              </w:rPr>
              <w:t>接口类型、接口功能及相应权限情况。</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restart"/>
            <w:noWrap w:val="0"/>
            <w:vAlign w:val="center"/>
          </w:tcPr>
          <w:p>
            <w:pPr>
              <w:jc w:val="center"/>
              <w:rPr>
                <w:rFonts w:ascii="宋体" w:hAnsi="宋体"/>
                <w:kern w:val="0"/>
                <w:sz w:val="18"/>
                <w:szCs w:val="18"/>
              </w:rPr>
            </w:pPr>
            <w:r>
              <w:rPr>
                <w:rFonts w:ascii="宋体" w:hAnsi="宋体"/>
                <w:kern w:val="0"/>
                <w:sz w:val="18"/>
                <w:szCs w:val="18"/>
              </w:rPr>
              <w:t>Web</w:t>
            </w:r>
            <w:r>
              <w:rPr>
                <w:rFonts w:hint="eastAsia" w:ascii="宋体" w:hAnsi="宋体"/>
                <w:kern w:val="0"/>
                <w:sz w:val="18"/>
                <w:szCs w:val="18"/>
              </w:rPr>
              <w:t>应用安全风险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03-FX-01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评估人员通过人员访谈的方式，检查该业务应用是否存在多级账号，导致越权的风险及特权账号滥用等问题。</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03-FX-02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评估人员通过人员访谈的方式，查看是否制定有日志记录规范且承诺能够在运营过程中按系统威胁日志留存管理规范进行日志记录与管理工作。</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03-FX-03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评估人员通过文件审查和人员访谈的方式，检查是否制定有应用系统与安全设备配置安全规范或软件安全开发规范并且承诺能够对相关系统的</w:t>
            </w:r>
            <w:r>
              <w:rPr>
                <w:rFonts w:ascii="宋体" w:hAnsi="宋体"/>
                <w:kern w:val="0"/>
                <w:sz w:val="18"/>
                <w:szCs w:val="18"/>
              </w:rPr>
              <w:t>Web</w:t>
            </w:r>
            <w:r>
              <w:rPr>
                <w:rFonts w:hint="eastAsia" w:ascii="宋体" w:hAnsi="宋体"/>
                <w:kern w:val="0"/>
                <w:sz w:val="18"/>
                <w:szCs w:val="18"/>
              </w:rPr>
              <w:t>应用服务及相关协议及时修复已公布的漏洞。</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restart"/>
            <w:noWrap w:val="0"/>
            <w:vAlign w:val="center"/>
          </w:tcPr>
          <w:p>
            <w:pPr>
              <w:jc w:val="center"/>
              <w:rPr>
                <w:rFonts w:ascii="宋体" w:hAnsi="宋体"/>
                <w:kern w:val="0"/>
                <w:sz w:val="18"/>
                <w:szCs w:val="18"/>
              </w:rPr>
            </w:pPr>
            <w:r>
              <w:rPr>
                <w:rFonts w:hint="eastAsia" w:ascii="宋体" w:hAnsi="宋体"/>
                <w:kern w:val="0"/>
                <w:sz w:val="18"/>
                <w:szCs w:val="18"/>
              </w:rPr>
              <w:t>客户端安全风险</w:t>
            </w:r>
          </w:p>
        </w:tc>
        <w:tc>
          <w:tcPr>
            <w:tcW w:w="1367" w:type="dxa"/>
            <w:noWrap w:val="0"/>
            <w:vAlign w:val="center"/>
          </w:tcPr>
          <w:p>
            <w:pPr>
              <w:jc w:val="center"/>
              <w:rPr>
                <w:rFonts w:ascii="宋体" w:hAnsi="宋体"/>
              </w:rPr>
            </w:pPr>
            <w:r>
              <w:rPr>
                <w:rFonts w:ascii="宋体" w:hAnsi="宋体"/>
                <w:kern w:val="0"/>
                <w:sz w:val="18"/>
                <w:szCs w:val="18"/>
              </w:rPr>
              <w:t>04-FX-01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评估人员通过人员访谈的方式，查询是否有客户端软件版本管理、版本更新发布机制。</w:t>
            </w:r>
          </w:p>
        </w:tc>
        <w:tc>
          <w:tcPr>
            <w:tcW w:w="1253"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04-FX-02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评估人员通过人员访谈的方式，查询是否有相关的软件安装、更新、运行、卸载相关的开发规范与用户告知说明。</w:t>
            </w:r>
          </w:p>
        </w:tc>
        <w:tc>
          <w:tcPr>
            <w:tcW w:w="1253"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04-FX-03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评估人员通过人员访谈的方式，了解客户端软件是否具备联网功能。</w:t>
            </w:r>
          </w:p>
        </w:tc>
        <w:tc>
          <w:tcPr>
            <w:tcW w:w="1253"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04-FX-03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评估人员通过人员、演示查验的方式，了解客户端软件是否存在恶意行为，如系统提权、监听用户操作、窃取用户隐私等。</w:t>
            </w:r>
          </w:p>
        </w:tc>
        <w:tc>
          <w:tcPr>
            <w:tcW w:w="1253"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04-FX-03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评估人员通过人员访谈的方式，了解是否定期对客户端业务系统进行安全检测并定期修复漏洞。</w:t>
            </w:r>
          </w:p>
        </w:tc>
        <w:tc>
          <w:tcPr>
            <w:tcW w:w="1253"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restart"/>
            <w:noWrap w:val="0"/>
            <w:vAlign w:val="center"/>
          </w:tcPr>
          <w:p>
            <w:pPr>
              <w:jc w:val="center"/>
              <w:rPr>
                <w:rFonts w:ascii="宋体" w:hAnsi="宋体"/>
                <w:kern w:val="0"/>
                <w:sz w:val="18"/>
                <w:szCs w:val="18"/>
              </w:rPr>
            </w:pPr>
            <w:r>
              <w:rPr>
                <w:rFonts w:hint="eastAsia" w:ascii="宋体" w:hAnsi="宋体"/>
                <w:kern w:val="0"/>
                <w:sz w:val="18"/>
                <w:szCs w:val="18"/>
              </w:rPr>
              <w:t>业务逻辑安全风险</w:t>
            </w:r>
          </w:p>
        </w:tc>
        <w:tc>
          <w:tcPr>
            <w:tcW w:w="1367" w:type="dxa"/>
            <w:noWrap w:val="0"/>
            <w:vAlign w:val="center"/>
          </w:tcPr>
          <w:p>
            <w:pPr>
              <w:jc w:val="center"/>
              <w:rPr>
                <w:rFonts w:ascii="宋体" w:hAnsi="宋体"/>
              </w:rPr>
            </w:pPr>
            <w:r>
              <w:rPr>
                <w:rFonts w:ascii="宋体" w:hAnsi="宋体"/>
                <w:kern w:val="0"/>
                <w:sz w:val="18"/>
                <w:szCs w:val="18"/>
              </w:rPr>
              <w:t>05-FX-01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评估人员通过人员访谈的方式，查询业务是否具有业务订购功能。</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05-FX-02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评估人员通过人员访谈的方式，查看是否制定了业务认证机制，并且设置了相关的基线要求。</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05-FX-03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评估人员通过人员访谈的方式，检查是否制定有业务安全使用的开发相关规范并且承诺在应用开发阶段严格遵守该规范。</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restart"/>
            <w:noWrap w:val="0"/>
            <w:vAlign w:val="center"/>
          </w:tcPr>
          <w:p>
            <w:pPr>
              <w:widowControl/>
              <w:jc w:val="center"/>
              <w:rPr>
                <w:rFonts w:ascii="宋体" w:hAnsi="宋体"/>
                <w:kern w:val="0"/>
                <w:sz w:val="18"/>
                <w:szCs w:val="18"/>
              </w:rPr>
            </w:pPr>
            <w:r>
              <w:rPr>
                <w:rFonts w:hint="eastAsia" w:ascii="宋体" w:hAnsi="宋体"/>
                <w:kern w:val="0"/>
                <w:sz w:val="18"/>
                <w:szCs w:val="18"/>
              </w:rPr>
              <w:t>非授权采集风险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06-FX-01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评估人员通过文件审查的方式，检查与用户签订的用户协议中是否包含收集用户信息的范围、类型及使用目的等内容。</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06-FX-02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评估人员通过人员访谈的方式，检查业务系统采集的数据结果是否包含超出明确告知给用户的信息收集范围、类型及使用目的等内容。</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restart"/>
            <w:noWrap w:val="0"/>
            <w:vAlign w:val="center"/>
          </w:tcPr>
          <w:p>
            <w:pPr>
              <w:jc w:val="center"/>
              <w:rPr>
                <w:rFonts w:ascii="宋体" w:hAnsi="宋体"/>
                <w:kern w:val="0"/>
                <w:sz w:val="18"/>
                <w:szCs w:val="18"/>
              </w:rPr>
            </w:pPr>
            <w:r>
              <w:rPr>
                <w:rFonts w:hint="eastAsia" w:ascii="宋体" w:hAnsi="宋体"/>
                <w:kern w:val="0"/>
                <w:sz w:val="18"/>
                <w:szCs w:val="18"/>
              </w:rPr>
              <w:t>数据存储风险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07-FX-01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评估人员通过人员访谈的方式，了解业务系统是否提供面向外部用户的服务。</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07-FX-02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评估人员通过人员访谈的方式，了解业务系统是否存在与公网的访问接口。</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07-FX-03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评估人员通过文件审查的方式，检查针对业务系统是否制定了网络设备与安全设备配置安全规范。</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07-FX-04</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评估人员通过人员访谈的方式，检查在保持系统运行稳定的前提下，针对业务系统是否承诺能够对相关设备的操作系统和关键服务协议及时安装更新或补丁。</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restart"/>
            <w:noWrap w:val="0"/>
            <w:vAlign w:val="center"/>
          </w:tcPr>
          <w:p>
            <w:pPr>
              <w:jc w:val="center"/>
              <w:rPr>
                <w:rFonts w:ascii="宋体" w:hAnsi="宋体"/>
                <w:kern w:val="0"/>
                <w:sz w:val="18"/>
                <w:szCs w:val="18"/>
              </w:rPr>
            </w:pPr>
            <w:r>
              <w:rPr>
                <w:rFonts w:hint="eastAsia" w:ascii="宋体" w:hAnsi="宋体"/>
                <w:kern w:val="0"/>
                <w:sz w:val="18"/>
                <w:szCs w:val="18"/>
              </w:rPr>
              <w:t>数据管理风险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08-FX-01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评估人员通过文件审查的方式，检查针对</w:t>
            </w:r>
            <w:r>
              <w:rPr>
                <w:rFonts w:ascii="宋体" w:hAnsi="宋体"/>
                <w:kern w:val="0"/>
                <w:sz w:val="18"/>
                <w:szCs w:val="18"/>
              </w:rPr>
              <w:t>“</w:t>
            </w:r>
            <w:r>
              <w:rPr>
                <w:rFonts w:hint="eastAsia" w:ascii="宋体" w:hAnsi="宋体"/>
                <w:kern w:val="0"/>
                <w:sz w:val="18"/>
                <w:szCs w:val="18"/>
              </w:rPr>
              <w:t>商密</w:t>
            </w:r>
            <w:r>
              <w:rPr>
                <w:rFonts w:ascii="宋体" w:hAnsi="宋体"/>
                <w:kern w:val="0"/>
                <w:sz w:val="18"/>
                <w:szCs w:val="18"/>
              </w:rPr>
              <w:t>”</w:t>
            </w:r>
            <w:r>
              <w:rPr>
                <w:rFonts w:hint="eastAsia" w:ascii="宋体" w:hAnsi="宋体"/>
                <w:kern w:val="0"/>
                <w:sz w:val="18"/>
                <w:szCs w:val="18"/>
              </w:rPr>
              <w:t>及以上保密等级的数据信息的使用，存储，备份和管理（包括涉密数据，相关移动存储介质和移动办公设备等）是否制定了相应的安全使用和管理规则。</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08-FX-02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评估人员通过人员访谈的方式，检查是否对数据信息的访问进行权限管理。</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08-FX-03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评估人员通过文件审查的方式，检查是否制定了相应的应急处置计划和配套的处置措施。</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08-FX-04</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评估人员通过文件审查、人员访谈的方式，检查是否制定了数据安全监督的相关管理办法。</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noWrap w:val="0"/>
            <w:vAlign w:val="center"/>
          </w:tcPr>
          <w:p>
            <w:pPr>
              <w:widowControl/>
              <w:jc w:val="center"/>
              <w:rPr>
                <w:rFonts w:ascii="宋体" w:hAnsi="宋体"/>
                <w:kern w:val="0"/>
                <w:sz w:val="18"/>
                <w:szCs w:val="18"/>
              </w:rPr>
            </w:pPr>
            <w:r>
              <w:rPr>
                <w:rFonts w:hint="eastAsia" w:ascii="宋体" w:hAnsi="宋体"/>
                <w:kern w:val="0"/>
                <w:sz w:val="18"/>
                <w:szCs w:val="18"/>
              </w:rPr>
              <w:t>数据传输风险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09-FX-01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评估人员通过人员访谈的方式，查看是否对内部数据传输链路采取了技术防护手段。</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restart"/>
            <w:noWrap w:val="0"/>
            <w:vAlign w:val="center"/>
          </w:tcPr>
          <w:p>
            <w:pPr>
              <w:widowControl/>
              <w:jc w:val="center"/>
              <w:rPr>
                <w:rFonts w:ascii="宋体" w:hAnsi="宋体"/>
                <w:kern w:val="0"/>
                <w:sz w:val="18"/>
                <w:szCs w:val="18"/>
              </w:rPr>
            </w:pPr>
            <w:r>
              <w:rPr>
                <w:rFonts w:hint="eastAsia" w:ascii="宋体" w:hAnsi="宋体"/>
                <w:kern w:val="0"/>
                <w:sz w:val="18"/>
                <w:szCs w:val="18"/>
              </w:rPr>
              <w:t>数据加工风险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10-FX-01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评估人员通过人员访谈的方式，询问采取的数据加工方式。</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10-FX-02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评估人员通过人员访谈的方式，询问数据加工中使用的用户数据类型，并与明确告知给用户的数据挖掘范围进行对比</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10-FX-03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评估人员通过人员访谈的方式，询问在进行数据分析和挖掘的过程中，是否进行了数据脱敏。</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10-FX-04</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评估人员需通过人员访谈的方式，询问数据挖掘分析后是否会形成国家关键数据，且是否具备相应的保障能力。。</w:t>
            </w:r>
          </w:p>
        </w:tc>
        <w:tc>
          <w:tcPr>
            <w:tcW w:w="1253" w:type="dxa"/>
            <w:noWrap w:val="0"/>
            <w:vAlign w:val="center"/>
          </w:tcPr>
          <w:p>
            <w:pPr>
              <w:jc w:val="center"/>
            </w:pPr>
            <w:r>
              <w:rPr>
                <w:rFonts w:hint="eastAsia" w:ascii="宋体" w:hAnsi="宋体"/>
                <w:kern w:val="0"/>
                <w:sz w:val="18"/>
                <w:szCs w:val="18"/>
              </w:rPr>
              <w:t>无风险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restart"/>
            <w:noWrap w:val="0"/>
            <w:vAlign w:val="center"/>
          </w:tcPr>
          <w:p>
            <w:pPr>
              <w:widowControl/>
              <w:jc w:val="center"/>
              <w:rPr>
                <w:rFonts w:ascii="宋体" w:hAnsi="宋体"/>
                <w:kern w:val="0"/>
                <w:sz w:val="18"/>
                <w:szCs w:val="18"/>
              </w:rPr>
            </w:pPr>
            <w:r>
              <w:rPr>
                <w:rFonts w:hint="eastAsia" w:ascii="宋体" w:hAnsi="宋体"/>
                <w:kern w:val="0"/>
                <w:sz w:val="18"/>
                <w:szCs w:val="18"/>
              </w:rPr>
              <w:t>数据转移风险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11-FX-01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评估人员通过人员访谈和文件审查的方式，询问接收数据的第三方的安全防护能力情况。</w:t>
            </w:r>
          </w:p>
        </w:tc>
        <w:tc>
          <w:tcPr>
            <w:tcW w:w="1253"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11-FX-02</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评估人员采用人员访谈和文件审查的方式，询问提供给第三方的数据类型。</w:t>
            </w:r>
          </w:p>
        </w:tc>
        <w:tc>
          <w:tcPr>
            <w:tcW w:w="1253"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11-FX-03</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评估人员采取人员访谈和文件审查的方式，查看与第三方签订的协议中是否包含数据使用权限的内容，以及第三方对数据使用情况调查。</w:t>
            </w:r>
          </w:p>
        </w:tc>
        <w:tc>
          <w:tcPr>
            <w:tcW w:w="1253"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vMerge w:val="continue"/>
            <w:noWrap w:val="0"/>
            <w:vAlign w:val="center"/>
          </w:tcPr>
          <w:p>
            <w:pPr>
              <w:widowControl/>
              <w:jc w:val="center"/>
              <w:rPr>
                <w:rFonts w:ascii="宋体" w:hAnsi="宋体"/>
                <w:kern w:val="0"/>
                <w:sz w:val="18"/>
                <w:szCs w:val="18"/>
              </w:rPr>
            </w:pPr>
          </w:p>
        </w:tc>
        <w:tc>
          <w:tcPr>
            <w:tcW w:w="1367" w:type="dxa"/>
            <w:noWrap w:val="0"/>
            <w:vAlign w:val="center"/>
          </w:tcPr>
          <w:p>
            <w:pPr>
              <w:jc w:val="center"/>
              <w:rPr>
                <w:rFonts w:ascii="宋体" w:hAnsi="宋体"/>
              </w:rPr>
            </w:pPr>
            <w:r>
              <w:rPr>
                <w:rFonts w:ascii="宋体" w:hAnsi="宋体"/>
                <w:kern w:val="0"/>
                <w:sz w:val="18"/>
                <w:szCs w:val="18"/>
              </w:rPr>
              <w:t>11-FX-04</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评估人员采取人员访谈和文件审查的方式，询问是否对第三方进行必要的安全监督管理，并查阅相关记录。</w:t>
            </w:r>
          </w:p>
        </w:tc>
        <w:tc>
          <w:tcPr>
            <w:tcW w:w="1253"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1366" w:type="dxa"/>
            <w:noWrap w:val="0"/>
            <w:vAlign w:val="center"/>
          </w:tcPr>
          <w:p>
            <w:pPr>
              <w:widowControl/>
              <w:jc w:val="center"/>
              <w:rPr>
                <w:rFonts w:ascii="宋体" w:hAnsi="宋体"/>
                <w:kern w:val="0"/>
                <w:sz w:val="18"/>
                <w:szCs w:val="18"/>
              </w:rPr>
            </w:pPr>
            <w:r>
              <w:rPr>
                <w:rFonts w:hint="eastAsia" w:ascii="宋体" w:hAnsi="宋体"/>
                <w:kern w:val="0"/>
                <w:sz w:val="18"/>
                <w:szCs w:val="18"/>
              </w:rPr>
              <w:t>数据删除风险</w:t>
            </w:r>
          </w:p>
        </w:tc>
        <w:tc>
          <w:tcPr>
            <w:tcW w:w="1367" w:type="dxa"/>
            <w:noWrap w:val="0"/>
            <w:vAlign w:val="center"/>
          </w:tcPr>
          <w:p>
            <w:pPr>
              <w:widowControl/>
              <w:jc w:val="center"/>
              <w:rPr>
                <w:rFonts w:ascii="宋体" w:hAnsi="宋体"/>
                <w:kern w:val="0"/>
                <w:sz w:val="18"/>
                <w:szCs w:val="18"/>
              </w:rPr>
            </w:pPr>
            <w:r>
              <w:rPr>
                <w:rFonts w:ascii="宋体" w:hAnsi="宋体"/>
                <w:kern w:val="0"/>
                <w:sz w:val="18"/>
                <w:szCs w:val="18"/>
              </w:rPr>
              <w:t>12-FX-01</w:t>
            </w:r>
          </w:p>
        </w:tc>
        <w:tc>
          <w:tcPr>
            <w:tcW w:w="5052" w:type="dxa"/>
            <w:noWrap w:val="0"/>
            <w:vAlign w:val="center"/>
          </w:tcPr>
          <w:p>
            <w:pPr>
              <w:widowControl/>
              <w:rPr>
                <w:rFonts w:ascii="宋体" w:hAnsi="宋体"/>
                <w:kern w:val="0"/>
                <w:sz w:val="18"/>
                <w:szCs w:val="18"/>
              </w:rPr>
            </w:pPr>
            <w:r>
              <w:rPr>
                <w:rFonts w:hint="eastAsia" w:ascii="宋体" w:hAnsi="宋体"/>
                <w:kern w:val="0"/>
                <w:sz w:val="18"/>
                <w:szCs w:val="18"/>
              </w:rPr>
              <w:t>评估人员采取人员访谈和文件审查的方式，询问是否为用户提供删除个人信息的服务。</w:t>
            </w:r>
          </w:p>
        </w:tc>
        <w:tc>
          <w:tcPr>
            <w:tcW w:w="1253" w:type="dxa"/>
            <w:noWrap w:val="0"/>
            <w:vAlign w:val="center"/>
          </w:tcPr>
          <w:p>
            <w:pPr>
              <w:jc w:val="center"/>
            </w:pPr>
            <w:r>
              <w:rPr>
                <w:rFonts w:hint="eastAsia" w:ascii="宋体" w:hAnsi="宋体"/>
                <w:kern w:val="0"/>
                <w:sz w:val="18"/>
                <w:szCs w:val="18"/>
              </w:rPr>
              <w:t>无风险</w:t>
            </w:r>
          </w:p>
        </w:tc>
      </w:tr>
    </w:tbl>
    <w:p>
      <w:pPr>
        <w:pStyle w:val="3"/>
        <w:spacing w:before="0" w:after="0" w:line="240" w:lineRule="auto"/>
        <w:rPr>
          <w:rFonts w:ascii="Times New Roman" w:hAnsi="Times New Roman" w:eastAsia="仿宋_GB2312"/>
        </w:rPr>
      </w:pPr>
      <w:r>
        <w:rPr>
          <w:rFonts w:ascii="Times New Roman" w:hAnsi="Times New Roman" w:eastAsia="仿宋_GB2312"/>
        </w:rPr>
        <w:t xml:space="preserve">3.2 </w:t>
      </w:r>
      <w:r>
        <w:rPr>
          <w:rFonts w:hint="eastAsia" w:ascii="Times New Roman" w:hAnsi="Times New Roman" w:eastAsia="仿宋_GB2312"/>
        </w:rPr>
        <w:t>风险说明</w:t>
      </w:r>
      <w:bookmarkEnd w:id="16"/>
    </w:p>
    <w:p>
      <w:pPr>
        <w:spacing w:line="600" w:lineRule="exact"/>
        <w:ind w:firstLine="640"/>
        <w:rPr>
          <w:rFonts w:hint="eastAsia" w:eastAsia="仿宋_GB2312"/>
          <w:sz w:val="32"/>
          <w:szCs w:val="32"/>
        </w:rPr>
      </w:pPr>
      <w:r>
        <w:rPr>
          <w:rFonts w:hint="eastAsia" w:eastAsia="仿宋_GB2312"/>
          <w:sz w:val="32"/>
          <w:szCs w:val="32"/>
        </w:rPr>
        <w:t>贵州移动针对“一卡通”业务已开展了自评估工作并完成了整改复审流程，并完成了对开发单位拓维信息系统股份有限公司合规性评估及保障能力评估。业务不具备信息发布和信息交互功能，用户无法自行注册且需实名使用，业务安全风险低。业务采集了用户姓名、身份证号码、工号、手机号码及每次消费明细信息，并按照日志留存要求进行了数据留存，在数据采集、存储及使用过程具有一定的信息安全风险。</w:t>
      </w:r>
    </w:p>
    <w:p>
      <w:pPr>
        <w:pStyle w:val="2"/>
        <w:spacing w:before="0" w:after="0" w:line="240" w:lineRule="auto"/>
        <w:rPr>
          <w:rFonts w:eastAsia="仿宋_GB2312"/>
          <w:sz w:val="32"/>
          <w:szCs w:val="32"/>
        </w:rPr>
        <w:sectPr>
          <w:pgSz w:w="11906" w:h="16838"/>
          <w:pgMar w:top="1440" w:right="1797" w:bottom="1440" w:left="1287" w:header="851" w:footer="992" w:gutter="0"/>
          <w:cols w:space="425" w:num="1"/>
          <w:docGrid w:type="lines" w:linePitch="312" w:charSpace="0"/>
        </w:sectPr>
      </w:pPr>
      <w:bookmarkStart w:id="17" w:name="_Toc492772557"/>
    </w:p>
    <w:p>
      <w:pPr>
        <w:pStyle w:val="2"/>
        <w:spacing w:before="0" w:after="0" w:line="240" w:lineRule="auto"/>
        <w:rPr>
          <w:rFonts w:eastAsia="仿宋_GB2312"/>
          <w:sz w:val="32"/>
          <w:szCs w:val="32"/>
        </w:rPr>
      </w:pPr>
      <w:r>
        <w:rPr>
          <w:rFonts w:eastAsia="仿宋_GB2312"/>
          <w:sz w:val="32"/>
          <w:szCs w:val="32"/>
        </w:rPr>
        <w:t xml:space="preserve">4 </w:t>
      </w:r>
      <w:r>
        <w:rPr>
          <w:rFonts w:hint="eastAsia" w:eastAsia="仿宋_GB2312"/>
          <w:sz w:val="32"/>
          <w:szCs w:val="32"/>
        </w:rPr>
        <w:t>配套安全管理措施</w:t>
      </w:r>
      <w:bookmarkEnd w:id="17"/>
    </w:p>
    <w:p>
      <w:pPr>
        <w:pStyle w:val="3"/>
        <w:spacing w:before="0" w:after="0" w:line="240" w:lineRule="auto"/>
        <w:rPr>
          <w:rFonts w:ascii="Times New Roman" w:hAnsi="Times New Roman" w:eastAsia="仿宋_GB2312"/>
        </w:rPr>
      </w:pPr>
      <w:bookmarkStart w:id="18" w:name="_Toc492772558"/>
      <w:r>
        <w:rPr>
          <w:rFonts w:ascii="Times New Roman" w:hAnsi="Times New Roman" w:eastAsia="仿宋_GB2312"/>
        </w:rPr>
        <w:t xml:space="preserve">4.1 </w:t>
      </w:r>
      <w:r>
        <w:rPr>
          <w:rFonts w:hint="eastAsia" w:ascii="Times New Roman" w:hAnsi="Times New Roman" w:eastAsia="仿宋_GB2312"/>
        </w:rPr>
        <w:t>日常安全管理介绍</w:t>
      </w:r>
      <w:bookmarkEnd w:id="18"/>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贵州移动制定了以下网络与信息安全方面的管理制度，明确了网络与信息安全管理中心职责，针对合作方及人员同时制定了相应的管理办法，基本满足信息安全管理要求。包括：</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《中国移动贵州公司管理信息系统网络与信息安全防护管理办法（试行）》</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《中国移动贵州公司互联网信息安全管理系统使用及运行维护管理办法（2017版）》</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《中国移动贵州公司网络与信息安全三同步管理规范（新）》</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《中国移动贵州公司网络与信息安全事件信息报备规范（V1.0）》</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《中国移动贵州公司信息安全工作配合监督管理办法》</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《中国移动通信集团贵州有限公司安全风险处置工作规范（试行）》</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《中国移动客户信息安全保护管理规定》</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《中国移动不良信息集中治理工作规范（2017年）》</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《中国移动贵州公司大数据安全管控实施细则》</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《中国移动客户信息安全保护管理规定-201708》</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《中国移动贵州公司客户信息安全保护管理实施细则》</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《中国移动贵州公司互联网新技术新业务信息安全评估管理办法V2.3》</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《中国移动贵州公司互联网新技术新业务信息安全评估管理实施细则V4.1》</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在机构设置方面，中国移动贵州分公司设立了专门的网络与信息安全管理部门，工作人员共5人，各业务部门配备了相应的网络与信息安全联系人，专职人员数量少于10人，建议加大信息安全人员力量投入。</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在新技术新业务信息安全评估方面，贵州移动没有对新技术新业务评估联系人工作机制进行明确，建议贵州移动信息安全办公室在现有的新技术新业务信息安全评估管理办法中增加联系人工作机制相关内容，如要求各部门指定相关的联系人，并上报信息安全管理中心，变更时重新上报等。</w:t>
      </w:r>
    </w:p>
    <w:p>
      <w:pPr>
        <w:pStyle w:val="3"/>
        <w:spacing w:before="0" w:after="0" w:line="240" w:lineRule="auto"/>
        <w:rPr>
          <w:rFonts w:ascii="Times New Roman" w:hAnsi="Times New Roman" w:eastAsia="仿宋_GB2312"/>
        </w:rPr>
      </w:pPr>
      <w:bookmarkStart w:id="19" w:name="_Toc492772559"/>
      <w:r>
        <w:rPr>
          <w:rFonts w:ascii="Times New Roman" w:hAnsi="Times New Roman" w:eastAsia="仿宋_GB2312"/>
        </w:rPr>
        <w:t xml:space="preserve">4.2 </w:t>
      </w:r>
      <w:r>
        <w:rPr>
          <w:rFonts w:hint="eastAsia" w:ascii="Times New Roman" w:hAnsi="Times New Roman" w:eastAsia="仿宋_GB2312"/>
        </w:rPr>
        <w:t>应急管理措施介绍</w:t>
      </w:r>
      <w:bookmarkEnd w:id="19"/>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贵州移动的应急管理分为“自查整改”、“应急处置”、“总结”三个阶段。</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1.自查整改。针对网络安全防护开展自查工作、对网络基础设施安全监测预警、加强对.CN域名系统网络安全应急、加强公共互联网安全威胁专项治理、加强重要信息系统网络安全支撑、加强网上舆情和有害信息管控、加强内容安全风险防控、加强业务安全三同步落实、做好网络安全对外支撑应急工作、加大终端及应用安全管理力度、落实企业信息安全责任、强化大数据安全管理及客户信息保护、开展专项行动营造良好网络环境、强化第三方信息安全管理等。</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2.应急处置。</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对事件进行分类，包括（1）业务安全事件；（2）系统与网络安全事件；（3）信息泄露安全事件；（4）垃圾短信安全事件；（5）不良信息安全事件。</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对事件进行分级，根据安全事件对国家安全、社会稳定、公众利益、公司利益和声誉的影响程度，重大安全突发安全事件可分为特别重大（一级）、重大（二级）、较大（三级）和一般（四级）四个级别。</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应急处置的相关具体措施：对于网络安全事件包括封锁、缓解、消除、追踪、恢复；对于网页篡改事件包括恢复被篡改页面、服务器下线处理、分析web应用日志、分析操作系统日志、分析系统目录和异常文件、分析系统服务、分析系统进程、分析系统对外通讯、分析第三方设备记录的相关日志、部署WAF设备等；对于不良信息安全事件包括封闭发散不良信息的源头、严格监控对WEB系统及信息发布服务端的访问和登录情况、紧急情况下将web服务器及信息发布服务端设备下线、必要时将发生安全事件的WEB设备及信息发布服务端进行脱网、进行不良信息安全事件分析与处理、部署不良信息监控系统等。</w:t>
      </w:r>
    </w:p>
    <w:p>
      <w:pPr>
        <w:spacing w:line="600" w:lineRule="exact"/>
        <w:ind w:firstLine="640" w:firstLineChars="200"/>
        <w:rPr>
          <w:rFonts w:hint="eastAsia" w:ascii="仿宋_GB2312" w:eastAsia="仿宋_GB2312"/>
          <w:sz w:val="32"/>
          <w:szCs w:val="32"/>
        </w:rPr>
      </w:pPr>
      <w:r>
        <w:rPr>
          <w:rFonts w:hint="eastAsia" w:ascii="仿宋_GB2312" w:eastAsia="仿宋_GB2312"/>
          <w:sz w:val="32"/>
          <w:szCs w:val="32"/>
        </w:rPr>
        <w:t>3.总结。事发部门应组织事件调查组，对事件进行调查，全面评估突发安全事件损失，总结经验，吸取教训，提出防护措施或改进建议，并根据问责制对有关责任人员作出处理。同时各相关单位要提高全员防范意识和应急处置能力。要将信息安全事件的应急管理、工作流程等列为管理干部的培训内容，增强应急处置工作的组织能力。要加强对网络安全事件的技术培训，提高技术人员的防范意识及技能。</w:t>
      </w:r>
    </w:p>
    <w:p>
      <w:pPr>
        <w:pStyle w:val="3"/>
        <w:spacing w:before="0" w:after="0" w:line="240" w:lineRule="auto"/>
        <w:rPr>
          <w:rFonts w:ascii="Times New Roman" w:hAnsi="Times New Roman" w:eastAsia="仿宋_GB2312"/>
        </w:rPr>
      </w:pPr>
      <w:bookmarkStart w:id="20" w:name="_Toc492772560"/>
      <w:r>
        <w:rPr>
          <w:rFonts w:ascii="Times New Roman" w:hAnsi="Times New Roman" w:eastAsia="仿宋_GB2312"/>
        </w:rPr>
        <w:t xml:space="preserve">4.3 </w:t>
      </w:r>
      <w:r>
        <w:rPr>
          <w:rFonts w:hint="eastAsia" w:ascii="Times New Roman" w:hAnsi="Times New Roman" w:eastAsia="仿宋_GB2312"/>
        </w:rPr>
        <w:t>安全保障能力分析表</w:t>
      </w:r>
      <w:bookmarkEnd w:id="20"/>
    </w:p>
    <w:tbl>
      <w:tblPr>
        <w:tblStyle w:val="54"/>
        <w:tblW w:w="90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276"/>
        <w:gridCol w:w="5046"/>
        <w:gridCol w:w="1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95" w:hRule="atLeast"/>
          <w:jc w:val="center"/>
        </w:trPr>
        <w:tc>
          <w:tcPr>
            <w:tcW w:w="959" w:type="dxa"/>
            <w:shd w:val="clear" w:color="000000" w:fill="C0C0C0"/>
            <w:noWrap w:val="0"/>
            <w:vAlign w:val="top"/>
          </w:tcPr>
          <w:p>
            <w:pPr>
              <w:widowControl/>
              <w:jc w:val="center"/>
              <w:rPr>
                <w:rFonts w:ascii="宋体" w:hAnsi="宋体"/>
                <w:b/>
                <w:bCs/>
                <w:kern w:val="0"/>
                <w:sz w:val="18"/>
                <w:szCs w:val="18"/>
              </w:rPr>
            </w:pPr>
            <w:bookmarkStart w:id="21" w:name="_Toc492772561"/>
            <w:r>
              <w:rPr>
                <w:rFonts w:hint="eastAsia" w:ascii="宋体" w:hAnsi="宋体"/>
                <w:b/>
                <w:bCs/>
                <w:kern w:val="0"/>
                <w:sz w:val="18"/>
                <w:szCs w:val="18"/>
              </w:rPr>
              <w:t>保障能力类型</w:t>
            </w:r>
          </w:p>
        </w:tc>
        <w:tc>
          <w:tcPr>
            <w:tcW w:w="1276" w:type="dxa"/>
            <w:shd w:val="clear" w:color="000000" w:fill="C0C0C0"/>
            <w:noWrap w:val="0"/>
            <w:vAlign w:val="center"/>
          </w:tcPr>
          <w:p>
            <w:pPr>
              <w:widowControl/>
              <w:jc w:val="center"/>
              <w:rPr>
                <w:rFonts w:ascii="宋体" w:hAnsi="宋体"/>
                <w:b/>
                <w:bCs/>
                <w:kern w:val="0"/>
                <w:sz w:val="18"/>
                <w:szCs w:val="18"/>
              </w:rPr>
            </w:pPr>
            <w:r>
              <w:rPr>
                <w:rFonts w:ascii="宋体" w:hAnsi="宋体"/>
                <w:b/>
                <w:bCs/>
                <w:kern w:val="0"/>
                <w:sz w:val="18"/>
                <w:szCs w:val="18"/>
              </w:rPr>
              <w:t>BZ</w:t>
            </w:r>
            <w:r>
              <w:rPr>
                <w:rFonts w:hint="eastAsia" w:ascii="宋体" w:hAnsi="宋体"/>
                <w:b/>
                <w:bCs/>
                <w:kern w:val="0"/>
                <w:sz w:val="18"/>
                <w:szCs w:val="18"/>
              </w:rPr>
              <w:t>编号</w:t>
            </w:r>
          </w:p>
        </w:tc>
        <w:tc>
          <w:tcPr>
            <w:tcW w:w="5046" w:type="dxa"/>
            <w:shd w:val="clear" w:color="000000" w:fill="C0C0C0"/>
            <w:noWrap w:val="0"/>
            <w:vAlign w:val="center"/>
          </w:tcPr>
          <w:p>
            <w:pPr>
              <w:widowControl/>
              <w:jc w:val="center"/>
              <w:rPr>
                <w:rFonts w:ascii="宋体" w:hAnsi="宋体"/>
                <w:b/>
                <w:bCs/>
                <w:kern w:val="0"/>
                <w:sz w:val="18"/>
                <w:szCs w:val="18"/>
              </w:rPr>
            </w:pPr>
            <w:r>
              <w:rPr>
                <w:rFonts w:hint="eastAsia" w:ascii="宋体" w:hAnsi="宋体"/>
                <w:b/>
                <w:bCs/>
                <w:kern w:val="0"/>
                <w:sz w:val="18"/>
                <w:szCs w:val="18"/>
              </w:rPr>
              <w:t>企业保障能力评估要点</w:t>
            </w:r>
          </w:p>
        </w:tc>
        <w:tc>
          <w:tcPr>
            <w:tcW w:w="1757" w:type="dxa"/>
            <w:shd w:val="clear" w:color="000000" w:fill="C0C0C0"/>
            <w:noWrap w:val="0"/>
            <w:vAlign w:val="center"/>
          </w:tcPr>
          <w:p>
            <w:pPr>
              <w:widowControl/>
              <w:jc w:val="center"/>
              <w:rPr>
                <w:rFonts w:hint="eastAsia"/>
              </w:rPr>
            </w:pPr>
            <w:r>
              <w:rPr>
                <w:rFonts w:hint="eastAsia" w:ascii="宋体" w:hAnsi="宋体"/>
                <w:b/>
                <w:bCs/>
                <w:kern w:val="0"/>
                <w:sz w:val="18"/>
                <w:szCs w:val="18"/>
              </w:rPr>
              <w:t>评估意见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88" w:hRule="atLeast"/>
          <w:jc w:val="center"/>
        </w:trPr>
        <w:tc>
          <w:tcPr>
            <w:tcW w:w="959" w:type="dxa"/>
            <w:vMerge w:val="restart"/>
            <w:noWrap w:val="0"/>
            <w:vAlign w:val="center"/>
          </w:tcPr>
          <w:p>
            <w:pPr>
              <w:jc w:val="center"/>
              <w:rPr>
                <w:rFonts w:ascii="宋体" w:hAnsi="宋体"/>
                <w:kern w:val="0"/>
                <w:sz w:val="18"/>
                <w:szCs w:val="18"/>
              </w:rPr>
            </w:pPr>
            <w:r>
              <w:rPr>
                <w:rFonts w:hint="eastAsia" w:ascii="宋体" w:hAnsi="宋体"/>
                <w:kern w:val="0"/>
                <w:sz w:val="18"/>
                <w:szCs w:val="18"/>
              </w:rPr>
              <w:t>业务应用安全风险</w:t>
            </w:r>
          </w:p>
        </w:tc>
        <w:tc>
          <w:tcPr>
            <w:tcW w:w="1276" w:type="dxa"/>
            <w:noWrap w:val="0"/>
            <w:vAlign w:val="center"/>
          </w:tcPr>
          <w:p>
            <w:pPr>
              <w:jc w:val="center"/>
              <w:rPr>
                <w:rFonts w:ascii="宋体" w:hAnsi="宋体"/>
                <w:sz w:val="18"/>
                <w:szCs w:val="18"/>
              </w:rPr>
            </w:pPr>
            <w:r>
              <w:rPr>
                <w:rFonts w:ascii="宋体" w:hAnsi="宋体"/>
                <w:sz w:val="18"/>
                <w:szCs w:val="18"/>
              </w:rPr>
              <w:t>01-BZ-01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评估人员通过人员访谈、文件审查等方式，了解是否建立了业务上线前、或用户规模发生较大变化时及时开展评估工作的管理制度，并查看历史评估报告。</w:t>
            </w:r>
          </w:p>
        </w:tc>
        <w:tc>
          <w:tcPr>
            <w:tcW w:w="1757" w:type="dxa"/>
            <w:vMerge w:val="restart"/>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87"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评估人员通过人员访谈、文件审查等方式，了解是否建立了业务上线前、或用户规模发生较大变化时及时开展评估工作的管理制度，并查看评估报告。</w:t>
            </w:r>
          </w:p>
        </w:tc>
        <w:tc>
          <w:tcPr>
            <w:tcW w:w="1757" w:type="dxa"/>
            <w:vMerge w:val="continue"/>
            <w:noWrap w:val="0"/>
            <w:vAlign w:val="center"/>
          </w:tcPr>
          <w:p>
            <w:pPr>
              <w:widowControl/>
              <w:jc w:val="center"/>
              <w:rPr>
                <w:rFonts w:ascii="宋体" w:hAnsi="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00"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评估人员通过人员访谈、文件审查等方式，了解是否建立了业务上线前、用户规模发生较大变化、或业务功能发生较大变化时及时开展评估工作的管理制度，并查看评估报告。</w:t>
            </w:r>
          </w:p>
        </w:tc>
        <w:tc>
          <w:tcPr>
            <w:tcW w:w="1757" w:type="dxa"/>
            <w:vMerge w:val="continue"/>
            <w:noWrap w:val="0"/>
            <w:vAlign w:val="center"/>
          </w:tcPr>
          <w:p>
            <w:pPr>
              <w:widowControl/>
              <w:jc w:val="center"/>
              <w:rPr>
                <w:rFonts w:ascii="宋体" w:hAnsi="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72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01-BZ-04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评估人员通过使用验证，针对存在信息发布功能的业务，完成一次用户注册操作，确认是否在注册环节要求用户提供真实身份信息，并通过短信等方式进行验证。</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343"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01-BZ-05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评估人员通过演示查验方式，模拟普通用户变更身份相关信息（如手机号码等），查看是否进行验证。</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3"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01-BZ-06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评估人员需查看系统后台记录，是否留存用户身份信息变更日志记录及日志记录内容。</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89"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01-BZ-07</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评估人员通过测试验证的方式，访问应用的登录界面，查看登录时是否采用人机交互验证策略和机制。</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69"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01-BZ-08</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评估人员通过测试验证的方式，使用网络抓包分析工具抓取登录数据包，查看是否在登录操作的通信过程中是否采用</w:t>
            </w:r>
            <w:r>
              <w:rPr>
                <w:rFonts w:ascii="宋体" w:hAnsi="宋体"/>
                <w:kern w:val="0"/>
                <w:sz w:val="18"/>
                <w:szCs w:val="18"/>
              </w:rPr>
              <w:t>SSL/TLS</w:t>
            </w:r>
            <w:r>
              <w:rPr>
                <w:rFonts w:hint="eastAsia" w:ascii="宋体" w:hAnsi="宋体"/>
                <w:kern w:val="0"/>
                <w:sz w:val="18"/>
                <w:szCs w:val="18"/>
              </w:rPr>
              <w:t>协议或者其他加密协议确保用户密码的传输安全。</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185"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01-BZ-09</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评估人员通过测试验证的方式，使用网页分析工具查看是否在</w:t>
            </w:r>
            <w:r>
              <w:rPr>
                <w:rFonts w:ascii="宋体" w:hAnsi="宋体"/>
                <w:kern w:val="0"/>
                <w:sz w:val="18"/>
                <w:szCs w:val="18"/>
              </w:rPr>
              <w:t>COOKIE</w:t>
            </w:r>
            <w:r>
              <w:rPr>
                <w:rFonts w:hint="eastAsia" w:ascii="宋体" w:hAnsi="宋体"/>
                <w:kern w:val="0"/>
                <w:sz w:val="18"/>
                <w:szCs w:val="18"/>
              </w:rPr>
              <w:t>中保存用户密码。</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345"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01-BZ-10</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评估人员通过测试验证的方式，检查是否存在用户弱口令。</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13"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评估人员通过测试验证的方式，检查业务系统的身份认证失效机制是否能够按照制定的密码更换周期进行有效提示更新。</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3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评估人员通过测试验证的方式，检查业务系统的会话失效机制是否能够按照制定的失效时间进行有效执行。</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1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评估人员通过测试验证的方式，使用错误的或禁用的账号密码</w:t>
            </w:r>
            <w:r>
              <w:rPr>
                <w:rFonts w:ascii="宋体" w:hAnsi="宋体"/>
                <w:kern w:val="0"/>
                <w:sz w:val="18"/>
                <w:szCs w:val="18"/>
              </w:rPr>
              <w:t>/</w:t>
            </w:r>
            <w:r>
              <w:rPr>
                <w:rFonts w:hint="eastAsia" w:ascii="宋体" w:hAnsi="宋体"/>
                <w:kern w:val="0"/>
                <w:sz w:val="18"/>
                <w:szCs w:val="18"/>
              </w:rPr>
              <w:t>其他认证</w:t>
            </w:r>
            <w:r>
              <w:rPr>
                <w:rFonts w:ascii="宋体" w:hAnsi="宋体"/>
                <w:kern w:val="0"/>
                <w:sz w:val="18"/>
                <w:szCs w:val="18"/>
              </w:rPr>
              <w:t>/</w:t>
            </w:r>
            <w:r>
              <w:rPr>
                <w:rFonts w:hint="eastAsia" w:ascii="宋体" w:hAnsi="宋体"/>
                <w:kern w:val="0"/>
                <w:sz w:val="18"/>
                <w:szCs w:val="18"/>
              </w:rPr>
              <w:t>验证码等登录，尝试访问先前正常登陆账号能访问的页面，检查身份认证失效机制和会话失效机制能否仍能有效执行。</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58"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评估人员通过测试验证的方式，查看认证错误提示是否存在泄露信息，当认证失败时，向用户提供的错误信息不应该区分是账号错误还是密码错误，而是通用的提示信息。</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55"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评估人员通过人员访谈、文件审查等方式，查看是否建立了用户身份信息保护相关管理制度。</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93"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评估人员通过人员访谈、使用验证等方式，查看是否配套了必要的技术手段保障用户身份信息的保密性和完整性。</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1035"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01-BZ-17</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评估人员通过人员访谈等方式，了解是否建立覆盖业务所有内容及信息格式的违法信息监测处置的工作机制和技术手段；如是，询问技术手段实现途径与违法信息监测处置流程。</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840"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01-BZ-18</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评估人员通过演示查验等方式，查看是否留存删除日志记录，查看是否能够调取相关记录。</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2"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01-BZ-19</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评估人员查看是否建立违法信息样本库，查看违法信息样本库的更新记录。</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1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01-BZ-20</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评估人员注册账号，以用户身份发送测试性的含有违法信息的文字、图像、音频、视频等，确认信息能否发送成功。</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58"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评估人员注册账号，以用户身份实际发送含有违法信息的文字、图像、音频、视频等，确认信息能否发送成功。</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90"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评估人员通过人员访谈、演示查验等方式，检查是否对图片、语音、视频或小语种等公共信息建立了先审后发机制。</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90"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评估人员通过人员访谈、演示查验等方式，检查公共信息的审核是否采用了技术加人工方式。</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38"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评估人员通过人员访谈、使用测试等方式，查看在业务使用过程中，是否配备了用户真实身份鉴别管理制度和技术手段。</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37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评估人员通过测试验证方式，针对具备第三方</w:t>
            </w:r>
            <w:r>
              <w:rPr>
                <w:rFonts w:ascii="宋体" w:hAnsi="宋体"/>
                <w:kern w:val="0"/>
                <w:sz w:val="18"/>
                <w:szCs w:val="18"/>
              </w:rPr>
              <w:t>/</w:t>
            </w:r>
            <w:r>
              <w:rPr>
                <w:rFonts w:hint="eastAsia" w:ascii="宋体" w:hAnsi="宋体"/>
                <w:kern w:val="0"/>
                <w:sz w:val="18"/>
                <w:szCs w:val="18"/>
              </w:rPr>
              <w:t>用户发布信息功能的业务，实际完成一次注册操作，查看在注册环节，是否明确告知用户禁止发布、复制、传播违法信息。</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42"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评估人员查看用户注册协议，针对具备第三方</w:t>
            </w:r>
            <w:r>
              <w:rPr>
                <w:rFonts w:ascii="宋体" w:hAnsi="宋体"/>
                <w:kern w:val="0"/>
                <w:sz w:val="18"/>
                <w:szCs w:val="18"/>
              </w:rPr>
              <w:t>/</w:t>
            </w:r>
            <w:r>
              <w:rPr>
                <w:rFonts w:hint="eastAsia" w:ascii="宋体" w:hAnsi="宋体"/>
                <w:kern w:val="0"/>
                <w:sz w:val="18"/>
                <w:szCs w:val="18"/>
              </w:rPr>
              <w:t>用户发布信息功能的业务</w:t>
            </w:r>
            <w:r>
              <w:rPr>
                <w:rFonts w:ascii="宋体" w:hAnsi="宋体"/>
                <w:kern w:val="0"/>
                <w:sz w:val="18"/>
                <w:szCs w:val="18"/>
              </w:rPr>
              <w:t>,</w:t>
            </w:r>
            <w:r>
              <w:rPr>
                <w:rFonts w:hint="eastAsia" w:ascii="宋体" w:hAnsi="宋体"/>
                <w:kern w:val="0"/>
                <w:sz w:val="18"/>
                <w:szCs w:val="18"/>
              </w:rPr>
              <w:t>检查是否明确要求用户承诺遵守法律法规</w:t>
            </w:r>
            <w:r>
              <w:rPr>
                <w:rFonts w:ascii="宋体" w:hAnsi="宋体"/>
                <w:kern w:val="0"/>
                <w:sz w:val="18"/>
                <w:szCs w:val="18"/>
              </w:rPr>
              <w:t>(</w:t>
            </w:r>
            <w:r>
              <w:rPr>
                <w:rFonts w:hint="eastAsia" w:ascii="宋体" w:hAnsi="宋体"/>
                <w:kern w:val="0"/>
                <w:sz w:val="18"/>
                <w:szCs w:val="18"/>
              </w:rPr>
              <w:t>《互联网信息服务管理办法》第十五条</w:t>
            </w:r>
            <w:r>
              <w:rPr>
                <w:rFonts w:ascii="宋体" w:hAnsi="宋体"/>
                <w:kern w:val="0"/>
                <w:sz w:val="18"/>
                <w:szCs w:val="18"/>
              </w:rPr>
              <w:t>)</w:t>
            </w:r>
            <w:r>
              <w:rPr>
                <w:rFonts w:hint="eastAsia" w:ascii="宋体" w:hAnsi="宋体"/>
                <w:kern w:val="0"/>
                <w:sz w:val="18"/>
                <w:szCs w:val="18"/>
              </w:rPr>
              <w:t>、社会主义制度、国家利益、公民合法权益、公共秩序、社会道德风尚和信息真实性等七条底线。</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343"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01-BZ-27</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评估人员对用户管理人员进行访谈，针对具备第三方</w:t>
            </w:r>
            <w:r>
              <w:rPr>
                <w:rFonts w:ascii="宋体" w:hAnsi="宋体"/>
                <w:kern w:val="0"/>
                <w:sz w:val="18"/>
                <w:szCs w:val="18"/>
              </w:rPr>
              <w:t>/</w:t>
            </w:r>
            <w:r>
              <w:rPr>
                <w:rFonts w:hint="eastAsia" w:ascii="宋体" w:hAnsi="宋体"/>
                <w:kern w:val="0"/>
                <w:sz w:val="18"/>
                <w:szCs w:val="18"/>
              </w:rPr>
              <w:t>用户发布信息功能的业务，询问是否根据累计发送违法信息次数等参数对个人账号、公众账号、聊天群组进行安全等级划分；如是，询问等级划分梯度、各等级违法信息处置机制及实现方式等。</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4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01-BZ-28</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评估人员查验系统配置情况，针对具备第三方</w:t>
            </w:r>
            <w:r>
              <w:rPr>
                <w:rFonts w:ascii="宋体" w:hAnsi="宋体"/>
                <w:kern w:val="0"/>
                <w:sz w:val="18"/>
                <w:szCs w:val="18"/>
              </w:rPr>
              <w:t>/</w:t>
            </w:r>
            <w:r>
              <w:rPr>
                <w:rFonts w:hint="eastAsia" w:ascii="宋体" w:hAnsi="宋体"/>
                <w:kern w:val="0"/>
                <w:sz w:val="18"/>
                <w:szCs w:val="18"/>
              </w:rPr>
              <w:t>用户发布信息功能的业务，针对个人账号、公众账号、聊天群组后台数据中是否有安全等级划分及配置相应的处置策略。</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18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01-BZ-29</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评估人员查看人员配备文件，针对具备第三方</w:t>
            </w:r>
            <w:r>
              <w:rPr>
                <w:rFonts w:ascii="宋体" w:hAnsi="宋体"/>
                <w:kern w:val="0"/>
                <w:sz w:val="18"/>
                <w:szCs w:val="18"/>
              </w:rPr>
              <w:t>/</w:t>
            </w:r>
            <w:r>
              <w:rPr>
                <w:rFonts w:hint="eastAsia" w:ascii="宋体" w:hAnsi="宋体"/>
                <w:kern w:val="0"/>
                <w:sz w:val="18"/>
                <w:szCs w:val="18"/>
              </w:rPr>
              <w:t>用户发布信息功能的业务，查看是否配备专门人员管理公众账号，文件中是否含有人员名单和工作联系方式。</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132"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01-BZ-30</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评估人员查看制度文件、工作手册等，针对具备第三方</w:t>
            </w:r>
            <w:r>
              <w:rPr>
                <w:rFonts w:ascii="宋体" w:hAnsi="宋体"/>
                <w:kern w:val="0"/>
                <w:sz w:val="18"/>
                <w:szCs w:val="18"/>
              </w:rPr>
              <w:t>/</w:t>
            </w:r>
            <w:r>
              <w:rPr>
                <w:rFonts w:hint="eastAsia" w:ascii="宋体" w:hAnsi="宋体"/>
                <w:kern w:val="0"/>
                <w:sz w:val="18"/>
                <w:szCs w:val="18"/>
              </w:rPr>
              <w:t>用户发布信息功能的业务，是否含有针对公众账号发布的公开信息内容作违法信息日常监测巡查的机制和管理要求。</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804"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评估人员对公众账号管理人员进行访谈，针对具备第三方</w:t>
            </w:r>
            <w:r>
              <w:rPr>
                <w:rFonts w:ascii="宋体" w:hAnsi="宋体"/>
                <w:kern w:val="0"/>
                <w:sz w:val="18"/>
                <w:szCs w:val="18"/>
              </w:rPr>
              <w:t>/</w:t>
            </w:r>
            <w:r>
              <w:rPr>
                <w:rFonts w:hint="eastAsia" w:ascii="宋体" w:hAnsi="宋体"/>
                <w:kern w:val="0"/>
                <w:sz w:val="18"/>
                <w:szCs w:val="18"/>
              </w:rPr>
              <w:t>用户发布信息功能的业务，询问违法信息处置方式和流程，是否有相关处置工作的记录。</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4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评估人员实际完成一次群组创建，检查是否明示群组人数上限，是否明确告知：</w:t>
            </w:r>
            <w:r>
              <w:rPr>
                <w:rFonts w:ascii="宋体" w:hAnsi="宋体"/>
                <w:kern w:val="0"/>
                <w:sz w:val="18"/>
                <w:szCs w:val="18"/>
              </w:rPr>
              <w:br w:type="textWrapping"/>
            </w:r>
            <w:r>
              <w:rPr>
                <w:rFonts w:ascii="宋体" w:hAnsi="宋体"/>
                <w:kern w:val="0"/>
                <w:sz w:val="18"/>
                <w:szCs w:val="18"/>
              </w:rPr>
              <w:t xml:space="preserve">a) </w:t>
            </w:r>
            <w:r>
              <w:rPr>
                <w:rFonts w:hint="eastAsia" w:ascii="宋体" w:hAnsi="宋体"/>
                <w:kern w:val="0"/>
                <w:sz w:val="18"/>
                <w:szCs w:val="18"/>
              </w:rPr>
              <w:t>不得复制、发布、传播违法信息；</w:t>
            </w:r>
            <w:r>
              <w:rPr>
                <w:rFonts w:ascii="宋体" w:hAnsi="宋体"/>
                <w:kern w:val="0"/>
                <w:sz w:val="18"/>
                <w:szCs w:val="18"/>
              </w:rPr>
              <w:br w:type="textWrapping"/>
            </w:r>
            <w:r>
              <w:rPr>
                <w:rFonts w:ascii="宋体" w:hAnsi="宋体"/>
                <w:kern w:val="0"/>
                <w:sz w:val="18"/>
                <w:szCs w:val="18"/>
              </w:rPr>
              <w:t xml:space="preserve">b) </w:t>
            </w:r>
            <w:r>
              <w:rPr>
                <w:rFonts w:hint="eastAsia" w:ascii="宋体" w:hAnsi="宋体"/>
                <w:kern w:val="0"/>
                <w:sz w:val="18"/>
                <w:szCs w:val="18"/>
              </w:rPr>
              <w:t>群创建者和群管理者对群组负有管理责任，需承诺本群组不发布、传播违法信息。</w:t>
            </w:r>
          </w:p>
        </w:tc>
        <w:tc>
          <w:tcPr>
            <w:tcW w:w="1757" w:type="dxa"/>
            <w:vMerge w:val="restart"/>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90"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评估人员查验系统配置，是否对群组人数设置上限，是否对群组违法信息的发布、传播进行监测和处置。</w:t>
            </w:r>
          </w:p>
        </w:tc>
        <w:tc>
          <w:tcPr>
            <w:tcW w:w="1757" w:type="dxa"/>
            <w:vMerge w:val="continue"/>
            <w:noWrap w:val="0"/>
            <w:vAlign w:val="center"/>
          </w:tcPr>
          <w:p>
            <w:pPr>
              <w:widowControl/>
              <w:jc w:val="center"/>
              <w:rPr>
                <w:rFonts w:ascii="宋体" w:hAnsi="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评估人员通过人员访谈、文件审查等方式，针对具备第三方</w:t>
            </w:r>
            <w:r>
              <w:rPr>
                <w:rFonts w:ascii="宋体" w:hAnsi="宋体"/>
                <w:kern w:val="0"/>
                <w:sz w:val="18"/>
                <w:szCs w:val="18"/>
              </w:rPr>
              <w:t>/</w:t>
            </w:r>
            <w:r>
              <w:rPr>
                <w:rFonts w:hint="eastAsia" w:ascii="宋体" w:hAnsi="宋体"/>
                <w:kern w:val="0"/>
                <w:sz w:val="18"/>
                <w:szCs w:val="18"/>
              </w:rPr>
              <w:t>用户发布信息功能的业务，检查是否针对信息发布环节的链接转发、添加评论转发、跨平台分享等功能配套了违法信息监测和处置的管理机制和技术手段。</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针对具备第三方</w:t>
            </w:r>
            <w:r>
              <w:rPr>
                <w:rFonts w:ascii="宋体" w:hAnsi="宋体"/>
                <w:kern w:val="0"/>
                <w:sz w:val="18"/>
                <w:szCs w:val="18"/>
              </w:rPr>
              <w:t>/</w:t>
            </w:r>
            <w:r>
              <w:rPr>
                <w:rFonts w:hint="eastAsia" w:ascii="宋体" w:hAnsi="宋体"/>
                <w:kern w:val="0"/>
                <w:sz w:val="18"/>
                <w:szCs w:val="18"/>
              </w:rPr>
              <w:t>用户发布信息功能的业务，评估人员分别实际使用一次链接转发、添加评论转发、跨平台分享功能，在有关位置输入违法信息关键字，验证信息是否发送成功。</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708"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针对具备第三方</w:t>
            </w:r>
            <w:r>
              <w:rPr>
                <w:rFonts w:ascii="宋体" w:hAnsi="宋体"/>
                <w:kern w:val="0"/>
                <w:sz w:val="18"/>
                <w:szCs w:val="18"/>
              </w:rPr>
              <w:t>/</w:t>
            </w:r>
            <w:r>
              <w:rPr>
                <w:rFonts w:hint="eastAsia" w:ascii="宋体" w:hAnsi="宋体"/>
                <w:kern w:val="0"/>
                <w:sz w:val="18"/>
                <w:szCs w:val="18"/>
              </w:rPr>
              <w:t>用户发布信息功能的业务，评估人员需使用业务，尝试在具有信息联动发布功能的业务平台上发布违法信息，或将违法有害信息分享至其他业务平台上，查看是否具备迅速切断同步或关联关系，并联动删除各关联平台上的违法信息的能力。</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42"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01-BZ-37</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评估人员需查看系统后台记录，查阅是否留存违法信息联动删除操作日志及日志记录内容</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5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01-BZ-38</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评估人员需使用业务，查看在业务使用前，是否明确告知用户业务推送信息的种类，用户可自主选择是否接收信息，或在业务系统设置是否包含信息推送功能管理的选项，</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5"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01-BZ-39</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评估人员查看人员配备文件，查看是否配备专门人员管理公众账号，文件中是否含有人员名单和工作联系方式。</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05"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01-BZ-40</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评估人员查看制度文件、工作手册等，是否含有针对公众账号发布的公开信息内容作违法信息日常监测巡查的机制和管理要求</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85"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01-BZ-41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评估人员对公众账号管理人员进行访谈，询问违法信息处置方式和流程，是否有相关处置工作的记录</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93"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01-BZ-42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评估人员使用业务，在不同时间段针对业务平台进行若干次访问，或发布若干条公众信息，随后请导出相关的访问记录；或从日志留存系统页面展示相关记录。</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3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01-BZ-43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评估人员需提供一定查询条件，由相关人员在日志留存系统进行操作演示，验证日志留存系统的查询、检索和审计功能。</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5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01-BZ-44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对于已上线的业务，需请提供满足留存时间要求的日志记录；针对未上线的业务，需请提供日志留存系统设计文件，证明其能够满足留存时间要求。</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35" w:hRule="atLeast"/>
          <w:jc w:val="center"/>
        </w:trPr>
        <w:tc>
          <w:tcPr>
            <w:tcW w:w="959" w:type="dxa"/>
            <w:vMerge w:val="restart"/>
            <w:noWrap w:val="0"/>
            <w:vAlign w:val="center"/>
          </w:tcPr>
          <w:p>
            <w:pPr>
              <w:jc w:val="center"/>
              <w:rPr>
                <w:rFonts w:ascii="宋体" w:hAnsi="宋体"/>
                <w:kern w:val="0"/>
                <w:sz w:val="18"/>
                <w:szCs w:val="18"/>
              </w:rPr>
            </w:pPr>
            <w:r>
              <w:rPr>
                <w:rFonts w:hint="eastAsia" w:ascii="宋体" w:hAnsi="宋体"/>
                <w:kern w:val="0"/>
                <w:sz w:val="18"/>
                <w:szCs w:val="18"/>
              </w:rPr>
              <w:t>业务平台安全风险</w:t>
            </w:r>
          </w:p>
        </w:tc>
        <w:tc>
          <w:tcPr>
            <w:tcW w:w="1276" w:type="dxa"/>
            <w:noWrap w:val="0"/>
            <w:vAlign w:val="center"/>
          </w:tcPr>
          <w:p>
            <w:pPr>
              <w:jc w:val="center"/>
              <w:rPr>
                <w:rFonts w:ascii="宋体" w:hAnsi="宋体"/>
                <w:sz w:val="18"/>
                <w:szCs w:val="18"/>
              </w:rPr>
            </w:pPr>
            <w:r>
              <w:rPr>
                <w:rFonts w:ascii="宋体" w:hAnsi="宋体"/>
                <w:sz w:val="18"/>
                <w:szCs w:val="18"/>
              </w:rPr>
              <w:t>02-BZ-01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评估人员需查看上报给主管部门的业务开办信息，包括业务机房</w:t>
            </w:r>
            <w:r>
              <w:rPr>
                <w:rFonts w:ascii="宋体" w:hAnsi="宋体"/>
                <w:kern w:val="0"/>
                <w:sz w:val="18"/>
                <w:szCs w:val="18"/>
              </w:rPr>
              <w:t>/</w:t>
            </w:r>
            <w:r>
              <w:rPr>
                <w:rFonts w:hint="eastAsia" w:ascii="宋体" w:hAnsi="宋体"/>
                <w:kern w:val="0"/>
                <w:sz w:val="18"/>
                <w:szCs w:val="18"/>
              </w:rPr>
              <w:t>节点列表、占用机房位置等，并与实际情况进行核对。</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373"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评估人员需查看业务系统拓扑图，并访谈相关负责人员，询问针对境内外交互数据的管理制度，以及配套的技术监管手段。</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169"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评估人员需查看业务后台系统实时运行数据和日志记录，核实是对资源分配使用情况进行实时监控和日志记录。</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1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02-BZ-04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评估人员需查看关于违法信息监测处置制度文件和技术手段配备情况，核验侧是否可执行行业主管部门下发的违法信息监测和处置指令。</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1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02-BZ-05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评估人员需查看留存业务相关日志记录，核实日志的类型、内容和留存时间是否满足相关法律法规要求。</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9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02-BZ-06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评估人员需查看业务后台系统实时运行数据和日志记录，核实是对资源分配使用情况进行实时监控和日志记录。</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20"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02-BZ-07</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评估人员需查看关于违法信息监测处置制度文件和技术手段配备情况，核验侧是否可执行行业主管部门下发的违法信息监测和处置指令；</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87"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02-BZ-08</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评估人员需向询问，是否对合作</w:t>
            </w:r>
            <w:r>
              <w:rPr>
                <w:rFonts w:ascii="宋体" w:hAnsi="宋体"/>
                <w:kern w:val="0"/>
                <w:sz w:val="18"/>
                <w:szCs w:val="18"/>
              </w:rPr>
              <w:t>/</w:t>
            </w:r>
            <w:r>
              <w:rPr>
                <w:rFonts w:hint="eastAsia" w:ascii="宋体" w:hAnsi="宋体"/>
                <w:kern w:val="0"/>
                <w:sz w:val="18"/>
                <w:szCs w:val="18"/>
              </w:rPr>
              <w:t>用户的业务经营许可资质进行核实，并留存相关资料；</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366"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02-BZ-09</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评估人员需查看与服务对象签订的协议中，是否包含用户需提供真实身份的内容；</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415"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02-BZ-10</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评估人员需访谈相关负责人，询问是否建立了针对合作信息安全保障能力（管理制度和技术手段）评估机制；</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02-BZ-11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评估人员访谈相关负责人，询问是否通过开放接口进行交互的数据建立了安全审核机制和技术保障手段。</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restart"/>
            <w:noWrap w:val="0"/>
            <w:vAlign w:val="center"/>
          </w:tcPr>
          <w:p>
            <w:pPr>
              <w:jc w:val="center"/>
              <w:rPr>
                <w:rFonts w:ascii="宋体" w:hAnsi="宋体"/>
                <w:kern w:val="0"/>
                <w:sz w:val="18"/>
                <w:szCs w:val="18"/>
              </w:rPr>
            </w:pPr>
            <w:r>
              <w:rPr>
                <w:rFonts w:ascii="宋体" w:hAnsi="宋体"/>
                <w:kern w:val="0"/>
                <w:sz w:val="18"/>
                <w:szCs w:val="18"/>
              </w:rPr>
              <w:t>Web</w:t>
            </w:r>
            <w:r>
              <w:rPr>
                <w:rFonts w:hint="eastAsia" w:ascii="宋体" w:hAnsi="宋体"/>
                <w:kern w:val="0"/>
                <w:sz w:val="18"/>
                <w:szCs w:val="18"/>
              </w:rPr>
              <w:t>应用安全风险</w:t>
            </w:r>
          </w:p>
        </w:tc>
        <w:tc>
          <w:tcPr>
            <w:tcW w:w="1276" w:type="dxa"/>
            <w:noWrap w:val="0"/>
            <w:vAlign w:val="center"/>
          </w:tcPr>
          <w:p>
            <w:pPr>
              <w:jc w:val="center"/>
              <w:rPr>
                <w:rFonts w:ascii="宋体" w:hAnsi="宋体"/>
                <w:sz w:val="18"/>
                <w:szCs w:val="18"/>
              </w:rPr>
            </w:pPr>
            <w:r>
              <w:rPr>
                <w:rFonts w:ascii="宋体" w:hAnsi="宋体"/>
                <w:sz w:val="18"/>
                <w:szCs w:val="18"/>
              </w:rPr>
              <w:t>03-BZ-01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评估人员通过测试验证的方式，分别登陆不同级账号，检查不同级账号在分级页面的权限区别，以确认是否存在不同级别账号的管控。</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03-BZ-02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评估人员通过测试验证的方式，登陆超级账户或高权限账户，查看应用是否使用额外的物理验证设备、限制登陆</w:t>
            </w:r>
            <w:r>
              <w:rPr>
                <w:rFonts w:ascii="宋体" w:hAnsi="宋体"/>
                <w:kern w:val="0"/>
                <w:sz w:val="18"/>
                <w:szCs w:val="18"/>
              </w:rPr>
              <w:t>IP</w:t>
            </w:r>
            <w:r>
              <w:rPr>
                <w:rFonts w:hint="eastAsia" w:ascii="宋体" w:hAnsi="宋体"/>
                <w:kern w:val="0"/>
                <w:sz w:val="18"/>
                <w:szCs w:val="18"/>
              </w:rPr>
              <w:t>或登陆设备手段等对超级账户或高权限账户的使用做出限制。</w:t>
            </w:r>
          </w:p>
        </w:tc>
        <w:tc>
          <w:tcPr>
            <w:tcW w:w="1757" w:type="dxa"/>
            <w:noWrap w:val="0"/>
            <w:vAlign w:val="center"/>
          </w:tcPr>
          <w:p>
            <w:pPr>
              <w:jc w:val="center"/>
            </w:pPr>
            <w:r>
              <w:rPr>
                <w:rFonts w:hint="eastAsia" w:ascii="宋体" w:hAnsi="宋体"/>
                <w:kern w:val="0"/>
                <w:sz w:val="18"/>
                <w:szCs w:val="18"/>
              </w:rPr>
              <w:t>不合格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03-BZ-03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评估人员通过人员访谈的方式，查看是否对业务应用运行状况进行日志记录。</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03-BZ-04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评估人员通过演示查验的方式，查看是否对用户的关键操作、重要行为、业务资源使用情况等重要事件进行日志记录。</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03-BZ-05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评估人员通过演示查验的方式，查看日志的留存时间长度是否能追溯到最近的</w:t>
            </w:r>
            <w:r>
              <w:rPr>
                <w:rFonts w:ascii="宋体" w:hAnsi="宋体"/>
                <w:kern w:val="0"/>
                <w:sz w:val="18"/>
                <w:szCs w:val="18"/>
              </w:rPr>
              <w:t>6</w:t>
            </w:r>
            <w:r>
              <w:rPr>
                <w:rFonts w:hint="eastAsia" w:ascii="宋体" w:hAnsi="宋体"/>
                <w:kern w:val="0"/>
                <w:sz w:val="18"/>
                <w:szCs w:val="18"/>
              </w:rPr>
              <w:t>个月内。</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03-BZ-06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评估人员通过测试验证的方式，采用</w:t>
            </w:r>
            <w:r>
              <w:rPr>
                <w:rFonts w:ascii="宋体" w:hAnsi="宋体"/>
                <w:kern w:val="0"/>
                <w:sz w:val="18"/>
                <w:szCs w:val="18"/>
              </w:rPr>
              <w:t>Web</w:t>
            </w:r>
            <w:r>
              <w:rPr>
                <w:rFonts w:hint="eastAsia" w:ascii="宋体" w:hAnsi="宋体"/>
                <w:kern w:val="0"/>
                <w:sz w:val="18"/>
                <w:szCs w:val="18"/>
              </w:rPr>
              <w:t>应用漏洞扫描工具对系统的</w:t>
            </w:r>
            <w:r>
              <w:rPr>
                <w:rFonts w:ascii="宋体" w:hAnsi="宋体"/>
                <w:kern w:val="0"/>
                <w:sz w:val="18"/>
                <w:szCs w:val="18"/>
              </w:rPr>
              <w:t>Web</w:t>
            </w:r>
            <w:r>
              <w:rPr>
                <w:rFonts w:hint="eastAsia" w:ascii="宋体" w:hAnsi="宋体"/>
                <w:kern w:val="0"/>
                <w:sz w:val="18"/>
                <w:szCs w:val="18"/>
              </w:rPr>
              <w:t>应用服务及相关协议进行漏洞扫描。</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03-BZ-07</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文件审查和测试验证的方式，查看应用系统与安全设备配置安全规范或软件安全开发规范中是否有要求对应用会话并发连接数做出限制，并采用压力测试工具和抓包工具进行测试验证，查看实际并发会话通讯情况是否属实。</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restart"/>
            <w:noWrap w:val="0"/>
            <w:vAlign w:val="center"/>
          </w:tcPr>
          <w:p>
            <w:pPr>
              <w:jc w:val="center"/>
              <w:rPr>
                <w:rFonts w:ascii="宋体" w:hAnsi="宋体"/>
                <w:kern w:val="0"/>
                <w:sz w:val="18"/>
                <w:szCs w:val="18"/>
              </w:rPr>
            </w:pPr>
            <w:r>
              <w:rPr>
                <w:rFonts w:hint="eastAsia" w:ascii="宋体" w:hAnsi="宋体"/>
                <w:kern w:val="0"/>
                <w:sz w:val="18"/>
                <w:szCs w:val="18"/>
              </w:rPr>
              <w:t>客户端安全风险</w:t>
            </w:r>
          </w:p>
        </w:tc>
        <w:tc>
          <w:tcPr>
            <w:tcW w:w="1276" w:type="dxa"/>
            <w:noWrap w:val="0"/>
            <w:vAlign w:val="center"/>
          </w:tcPr>
          <w:p>
            <w:pPr>
              <w:jc w:val="center"/>
              <w:rPr>
                <w:rFonts w:ascii="宋体" w:hAnsi="宋体"/>
                <w:sz w:val="18"/>
                <w:szCs w:val="18"/>
              </w:rPr>
            </w:pPr>
            <w:r>
              <w:rPr>
                <w:rFonts w:ascii="宋体" w:hAnsi="宋体"/>
                <w:sz w:val="18"/>
                <w:szCs w:val="18"/>
              </w:rPr>
              <w:t>04-BZ-01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评估人员通过测试验证的方式，检查客户端软件的应用版本的更新机制是否正常。</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04-BZ-02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评估人员通过验证测试的方式，采用</w:t>
            </w:r>
            <w:r>
              <w:rPr>
                <w:rFonts w:ascii="宋体" w:hAnsi="宋体"/>
                <w:kern w:val="0"/>
                <w:sz w:val="18"/>
                <w:szCs w:val="18"/>
              </w:rPr>
              <w:t>Android</w:t>
            </w:r>
            <w:r>
              <w:rPr>
                <w:rFonts w:hint="eastAsia" w:ascii="宋体" w:hAnsi="宋体"/>
                <w:kern w:val="0"/>
                <w:sz w:val="18"/>
                <w:szCs w:val="18"/>
              </w:rPr>
              <w:t>分析审计工具，分析移动应用在安装、运行、更新时，是否安装了其他应用。</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04-BZ-03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评估人员通过测试验证的方式，卸载已安装客户端软件，并检查程序文件是否有残留。</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04-BZ-04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评估人员通过测试验证方式，查看客户端中是否存在插件功能，若存在则应对运行的客户端中提供的插件进行规范性检查，插件应允许用户自主选择是否卸载，并且卸载后无残留。</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347"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04-BZ-05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评估人员通过测试验证的方式，采用网络抓包分析工具（</w:t>
            </w:r>
            <w:r>
              <w:rPr>
                <w:rFonts w:ascii="宋体" w:hAnsi="宋体"/>
                <w:kern w:val="0"/>
                <w:sz w:val="18"/>
                <w:szCs w:val="18"/>
              </w:rPr>
              <w:t>Burpsuite/Wireshark</w:t>
            </w:r>
            <w:r>
              <w:rPr>
                <w:rFonts w:hint="eastAsia" w:ascii="宋体" w:hAnsi="宋体"/>
                <w:kern w:val="0"/>
                <w:sz w:val="18"/>
                <w:szCs w:val="18"/>
              </w:rPr>
              <w:t>等），分析网络传输过程中的敏感数据信息是否加密。</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04-BZ-06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评估人员通过测试验证的方式，采用网络抓包分析工具（</w:t>
            </w:r>
            <w:r>
              <w:rPr>
                <w:rFonts w:ascii="宋体" w:hAnsi="宋体"/>
                <w:kern w:val="0"/>
                <w:sz w:val="18"/>
                <w:szCs w:val="18"/>
              </w:rPr>
              <w:t>Burpsuite/Wireshark</w:t>
            </w:r>
            <w:r>
              <w:rPr>
                <w:rFonts w:hint="eastAsia" w:ascii="宋体" w:hAnsi="宋体"/>
                <w:kern w:val="0"/>
                <w:sz w:val="18"/>
                <w:szCs w:val="18"/>
              </w:rPr>
              <w:t>等），分析网络传输过程中客户端软件的网络连接的频次是否进行了合理限制。</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04-BZ-07</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评估人员通过测试验证的方式，采用</w:t>
            </w:r>
            <w:r>
              <w:rPr>
                <w:rFonts w:ascii="宋体" w:hAnsi="宋体"/>
                <w:kern w:val="0"/>
                <w:sz w:val="18"/>
                <w:szCs w:val="18"/>
              </w:rPr>
              <w:t>Android</w:t>
            </w:r>
            <w:r>
              <w:rPr>
                <w:rFonts w:hint="eastAsia" w:ascii="宋体" w:hAnsi="宋体"/>
                <w:kern w:val="0"/>
                <w:sz w:val="18"/>
                <w:szCs w:val="18"/>
              </w:rPr>
              <w:t>分析审计工具，检查客户端的敏感权限使用情况，判断在涉及访问本地资源权限时是否正确提示用户授权情况。</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04-BZ-08</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评估人员通过测试验证的方式，采用漏洞扫描工具，检查客户端业务系统是否存在高中危漏洞。</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restart"/>
            <w:noWrap w:val="0"/>
            <w:vAlign w:val="center"/>
          </w:tcPr>
          <w:p>
            <w:pPr>
              <w:jc w:val="center"/>
              <w:rPr>
                <w:rFonts w:ascii="宋体" w:hAnsi="宋体"/>
                <w:kern w:val="0"/>
                <w:sz w:val="18"/>
                <w:szCs w:val="18"/>
              </w:rPr>
            </w:pPr>
            <w:r>
              <w:rPr>
                <w:rFonts w:hint="eastAsia" w:ascii="宋体" w:hAnsi="宋体"/>
                <w:kern w:val="0"/>
                <w:sz w:val="18"/>
                <w:szCs w:val="18"/>
              </w:rPr>
              <w:t>业务逻辑安全风险</w:t>
            </w:r>
          </w:p>
        </w:tc>
        <w:tc>
          <w:tcPr>
            <w:tcW w:w="1276" w:type="dxa"/>
            <w:noWrap w:val="0"/>
            <w:vAlign w:val="center"/>
          </w:tcPr>
          <w:p>
            <w:pPr>
              <w:jc w:val="center"/>
              <w:rPr>
                <w:rFonts w:ascii="宋体" w:hAnsi="宋体"/>
                <w:sz w:val="18"/>
                <w:szCs w:val="18"/>
              </w:rPr>
            </w:pPr>
            <w:r>
              <w:rPr>
                <w:rFonts w:ascii="宋体" w:hAnsi="宋体"/>
                <w:sz w:val="18"/>
                <w:szCs w:val="18"/>
              </w:rPr>
              <w:t>05-BZ-01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评估人员通过人员访谈的方式，了解业务订购行为是否需用户认证后才会生效。</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05-BZ-02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评估人员通过演示查验的方式，检查出现超出业务阈值是否会给出安全提示。例如，若单日用同一手机号完成超过业务阀值的订购数量，应通过短信或邮件等形式给予用户安全提示。</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05-BZ-03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评估人员通过测试验证的方式，检查业务的实际配置策略是否严格遵照基线要求进行业务认证设置。</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05-BZ-04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评估人员通过测试验证的方式，检查在业务认证未通过时触发的保护策略是否正常运行。</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05-BZ-05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评估人员通过测试验证的方式，验证规范的措施是否正常履行，例如检查核心业务的保障措施是否设置阀值，超过阀值时是否给予提示。</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05-BZ-06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评估人员通过测试验证的方式，采用网络抓包工具进行数据修改重放测试，检测非授权或篡改后的数据能否被系统检测出异常。</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restart"/>
            <w:noWrap w:val="0"/>
            <w:vAlign w:val="center"/>
          </w:tcPr>
          <w:p>
            <w:pPr>
              <w:jc w:val="center"/>
              <w:rPr>
                <w:rFonts w:ascii="宋体" w:hAnsi="宋体"/>
                <w:kern w:val="0"/>
                <w:sz w:val="18"/>
                <w:szCs w:val="18"/>
              </w:rPr>
            </w:pPr>
            <w:r>
              <w:rPr>
                <w:rFonts w:hint="eastAsia" w:ascii="宋体" w:hAnsi="宋体"/>
                <w:kern w:val="0"/>
                <w:sz w:val="18"/>
                <w:szCs w:val="18"/>
              </w:rPr>
              <w:t>非授权采集风险</w:t>
            </w:r>
          </w:p>
        </w:tc>
        <w:tc>
          <w:tcPr>
            <w:tcW w:w="1276" w:type="dxa"/>
            <w:noWrap w:val="0"/>
            <w:vAlign w:val="center"/>
          </w:tcPr>
          <w:p>
            <w:pPr>
              <w:jc w:val="center"/>
              <w:rPr>
                <w:rFonts w:ascii="宋体" w:hAnsi="宋体"/>
                <w:sz w:val="18"/>
                <w:szCs w:val="18"/>
              </w:rPr>
            </w:pPr>
            <w:r>
              <w:rPr>
                <w:rFonts w:ascii="宋体" w:hAnsi="宋体"/>
                <w:sz w:val="18"/>
                <w:szCs w:val="18"/>
              </w:rPr>
              <w:t>06-BZ-01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评估人员通过文件审查的方式，检查是否建立了用户个人信息收集保护及用户授权告知制度。</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06-BZ-02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评估人员通过文件审查的方式，检查与用户签订的用户协议中在数据采集环节是否有履行告知和风险提示义务，在收集用户个人信息前，获得用户同意，并向用户明确告知授权范畴。</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06-BZ-03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评估人员通过演示查验的方式，检查业务数据，判定收集用户个人信息的收集范围和使用范围是否遵循以提供服务的最小必要为标准。</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restart"/>
            <w:noWrap w:val="0"/>
            <w:vAlign w:val="center"/>
          </w:tcPr>
          <w:p>
            <w:pPr>
              <w:jc w:val="center"/>
              <w:rPr>
                <w:rFonts w:ascii="宋体" w:hAnsi="宋体"/>
                <w:kern w:val="0"/>
                <w:sz w:val="18"/>
                <w:szCs w:val="18"/>
              </w:rPr>
            </w:pPr>
            <w:r>
              <w:rPr>
                <w:rFonts w:hint="eastAsia" w:ascii="宋体" w:hAnsi="宋体"/>
                <w:kern w:val="0"/>
                <w:sz w:val="18"/>
                <w:szCs w:val="18"/>
              </w:rPr>
              <w:t>数据存储风险</w:t>
            </w:r>
          </w:p>
        </w:tc>
        <w:tc>
          <w:tcPr>
            <w:tcW w:w="1276" w:type="dxa"/>
            <w:noWrap w:val="0"/>
            <w:vAlign w:val="center"/>
          </w:tcPr>
          <w:p>
            <w:pPr>
              <w:jc w:val="center"/>
              <w:rPr>
                <w:rFonts w:ascii="宋体" w:hAnsi="宋体"/>
                <w:sz w:val="18"/>
                <w:szCs w:val="18"/>
              </w:rPr>
            </w:pPr>
            <w:r>
              <w:rPr>
                <w:rFonts w:ascii="宋体" w:hAnsi="宋体"/>
                <w:sz w:val="18"/>
                <w:szCs w:val="18"/>
              </w:rPr>
              <w:t>07-BZ-01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评估人员通过人员访谈的方式，检查业务系统是否部署了能够防范网络攻击，检测病毒木马等恶意代码入侵的硬件设备或软件系统。</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07-BZ-02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对于业务系统已部署的防范网络攻击和检测病毒木马等恶意代码入侵的硬件设备或软件系统，评估人员通过测试验证的方式，检查是否及时更新了恶意代码软件版本和恶意代码库。</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07-BZ-03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评估人员通过文件审查的方式，检查网络设备与安全设备配置安全规范是否设置有效策略，要求根据数据级别采用加密、授权、数字水印、数字签名等技术手段对业务系统存储的数据进行了安全存储保护。</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07-BZ-04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评估人员通过测试验证的方式，使用漏洞扫描工具对业务系统进行检测，检查是否已对相关设备的操作系统和关键服务协议及时安装更新或补丁。</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07-BZ-05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评估人员通过文件审查和人员访谈相结合的方式，检查安全使用和管理规则，查看是否遵守</w:t>
            </w:r>
            <w:r>
              <w:rPr>
                <w:rFonts w:ascii="宋体" w:hAnsi="宋体"/>
                <w:kern w:val="0"/>
                <w:sz w:val="18"/>
                <w:szCs w:val="18"/>
              </w:rPr>
              <w:t>“</w:t>
            </w:r>
            <w:r>
              <w:rPr>
                <w:rFonts w:hint="eastAsia" w:ascii="宋体" w:hAnsi="宋体"/>
                <w:kern w:val="0"/>
                <w:sz w:val="18"/>
                <w:szCs w:val="18"/>
              </w:rPr>
              <w:t>纸质资料与系统记录相一致</w:t>
            </w:r>
            <w:r>
              <w:rPr>
                <w:rFonts w:ascii="宋体" w:hAnsi="宋体"/>
                <w:kern w:val="0"/>
                <w:sz w:val="18"/>
                <w:szCs w:val="18"/>
              </w:rPr>
              <w:t>”</w:t>
            </w:r>
            <w:r>
              <w:rPr>
                <w:rFonts w:hint="eastAsia" w:ascii="宋体" w:hAnsi="宋体"/>
                <w:kern w:val="0"/>
                <w:sz w:val="18"/>
                <w:szCs w:val="18"/>
              </w:rPr>
              <w:t>的原则，在对</w:t>
            </w:r>
            <w:r>
              <w:rPr>
                <w:rFonts w:ascii="宋体" w:hAnsi="宋体"/>
                <w:kern w:val="0"/>
                <w:sz w:val="18"/>
                <w:szCs w:val="18"/>
              </w:rPr>
              <w:t>“</w:t>
            </w:r>
            <w:r>
              <w:rPr>
                <w:rFonts w:hint="eastAsia" w:ascii="宋体" w:hAnsi="宋体"/>
                <w:kern w:val="0"/>
                <w:sz w:val="18"/>
                <w:szCs w:val="18"/>
              </w:rPr>
              <w:t>商密</w:t>
            </w:r>
            <w:r>
              <w:rPr>
                <w:rFonts w:ascii="宋体" w:hAnsi="宋体"/>
                <w:kern w:val="0"/>
                <w:sz w:val="18"/>
                <w:szCs w:val="18"/>
              </w:rPr>
              <w:t>”</w:t>
            </w:r>
            <w:r>
              <w:rPr>
                <w:rFonts w:hint="eastAsia" w:ascii="宋体" w:hAnsi="宋体"/>
                <w:kern w:val="0"/>
                <w:sz w:val="18"/>
                <w:szCs w:val="18"/>
              </w:rPr>
              <w:t>及以上保密等级的数据信息整理录入系统的同时，要对数据信息的实物资料进行编号和分类，保证系统中数据与数据实物资料相对应。</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07-BZ-06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文件审查和人员访谈相结合的方式，检查安全使用和管理规则，查看是否对涉密相关移动存储介质和移动办公设备进行了分级管理，并且保存了内部人员借用的管理记录，防止系统存储的各类数据被窃取、篡改或销毁。</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07-BZ-07</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评估人员通过文件审查和人员访谈相结合的方式，检查安全使用和管理规则，查看是否定期对数据信息资料的电子数据和实物资料进行维护，并且保存了维护记录，以保证信息资料完整并处于良好状态。</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07-BZ-08</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评估人员通过人员访谈的方式，检查对于不同安全级别的数据进行权限管理过程中是否采取了相应的隔离措施和安全保护措施。</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07-BZ-09</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评估人员通过测试验证的方式，检查对业务系统是否采用加密或其他保护措施实现系统管理数据和重要业务数据存储保密性。</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restart"/>
            <w:noWrap w:val="0"/>
            <w:vAlign w:val="center"/>
          </w:tcPr>
          <w:p>
            <w:pPr>
              <w:widowControl/>
              <w:jc w:val="center"/>
              <w:rPr>
                <w:rFonts w:ascii="宋体" w:hAnsi="宋体"/>
                <w:kern w:val="0"/>
                <w:sz w:val="18"/>
                <w:szCs w:val="18"/>
              </w:rPr>
            </w:pPr>
            <w:r>
              <w:rPr>
                <w:rFonts w:hint="eastAsia" w:ascii="宋体" w:hAnsi="宋体"/>
                <w:kern w:val="0"/>
                <w:sz w:val="18"/>
                <w:szCs w:val="18"/>
              </w:rPr>
              <w:t>数据管理风险</w:t>
            </w:r>
          </w:p>
        </w:tc>
        <w:tc>
          <w:tcPr>
            <w:tcW w:w="1276" w:type="dxa"/>
            <w:noWrap w:val="0"/>
            <w:vAlign w:val="center"/>
          </w:tcPr>
          <w:p>
            <w:pPr>
              <w:jc w:val="center"/>
              <w:rPr>
                <w:rFonts w:ascii="宋体" w:hAnsi="宋体"/>
                <w:sz w:val="18"/>
                <w:szCs w:val="18"/>
              </w:rPr>
            </w:pPr>
            <w:r>
              <w:rPr>
                <w:rFonts w:ascii="宋体" w:hAnsi="宋体"/>
                <w:sz w:val="18"/>
                <w:szCs w:val="18"/>
              </w:rPr>
              <w:t>08-BZ-01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评估人员通过测试验证的方式，检查数据操作权限控制系统能够至少可以实现访问、打开、编辑、下载、打印、操作时间等方面的权限控制。</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08-BZ-02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评估人员通过演示查验的方式，检查冗余技术设计网络拓扑结构，避免关键节点存在单点故障。</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08-BZ-03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评估人员通过演示查验的方式，检查关键网络设备、通信线路和数据处理系统的硬件冗余，保证系统的可用性。</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08-BZ-04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评估人员通过测试验证的方式，检查数据操作行为日志记录应至少包括操作时间、操作对象存储地址、操作指示等关键字段</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08-BZ-05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评估人员通过演示查验的方式，检查本地数据备份与恢复功能。</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08-BZ-06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评估人员通过演示查验的方式，检查异地数据备份功能，如利用通信网络将关键数据定时批量传送至备用场地。</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restart"/>
            <w:noWrap w:val="0"/>
            <w:vAlign w:val="center"/>
          </w:tcPr>
          <w:p>
            <w:pPr>
              <w:widowControl/>
              <w:jc w:val="center"/>
              <w:rPr>
                <w:rFonts w:ascii="宋体" w:hAnsi="宋体"/>
                <w:kern w:val="0"/>
                <w:sz w:val="18"/>
                <w:szCs w:val="18"/>
              </w:rPr>
            </w:pPr>
            <w:r>
              <w:rPr>
                <w:rFonts w:hint="eastAsia" w:ascii="宋体" w:hAnsi="宋体"/>
                <w:kern w:val="0"/>
                <w:sz w:val="18"/>
                <w:szCs w:val="18"/>
              </w:rPr>
              <w:t>数据传输风险</w:t>
            </w:r>
          </w:p>
        </w:tc>
        <w:tc>
          <w:tcPr>
            <w:tcW w:w="1276" w:type="dxa"/>
            <w:noWrap w:val="0"/>
            <w:vAlign w:val="center"/>
          </w:tcPr>
          <w:p>
            <w:pPr>
              <w:jc w:val="center"/>
              <w:rPr>
                <w:rFonts w:ascii="宋体" w:hAnsi="宋体"/>
                <w:sz w:val="18"/>
                <w:szCs w:val="18"/>
              </w:rPr>
            </w:pPr>
            <w:r>
              <w:rPr>
                <w:rFonts w:ascii="宋体" w:hAnsi="宋体"/>
                <w:sz w:val="18"/>
                <w:szCs w:val="18"/>
              </w:rPr>
              <w:t>09-BZ-01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评估人员通过人员访谈的方式，检查是否对数据传输方式采取了相应的安全防护措施。</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09-BZ-02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评估人员通过人员访谈的方式，查看是否对内部不同局域网间数据传输链路采取了技术防护手段。</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09-BZ-03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评估人员通过人员访谈的方式，查看数据传输链路是否设置了冗余链路。</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restart"/>
            <w:noWrap w:val="0"/>
            <w:vAlign w:val="center"/>
          </w:tcPr>
          <w:p>
            <w:pPr>
              <w:widowControl/>
              <w:jc w:val="center"/>
              <w:rPr>
                <w:rFonts w:ascii="宋体" w:hAnsi="宋体"/>
                <w:kern w:val="0"/>
                <w:sz w:val="18"/>
                <w:szCs w:val="18"/>
              </w:rPr>
            </w:pPr>
            <w:r>
              <w:rPr>
                <w:rFonts w:hint="eastAsia" w:ascii="宋体" w:hAnsi="宋体"/>
                <w:kern w:val="0"/>
                <w:sz w:val="18"/>
                <w:szCs w:val="18"/>
              </w:rPr>
              <w:t>数据加工风险</w:t>
            </w:r>
          </w:p>
        </w:tc>
        <w:tc>
          <w:tcPr>
            <w:tcW w:w="1276" w:type="dxa"/>
            <w:noWrap w:val="0"/>
            <w:vAlign w:val="center"/>
          </w:tcPr>
          <w:p>
            <w:pPr>
              <w:jc w:val="center"/>
              <w:rPr>
                <w:rFonts w:ascii="宋体" w:hAnsi="宋体"/>
                <w:sz w:val="18"/>
                <w:szCs w:val="18"/>
              </w:rPr>
            </w:pPr>
            <w:r>
              <w:rPr>
                <w:rFonts w:ascii="宋体" w:hAnsi="宋体"/>
                <w:sz w:val="18"/>
                <w:szCs w:val="18"/>
              </w:rPr>
              <w:t>10-BZ-01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评估人员通过人员访谈的方式，查看是否对拟采用公有云进行加工的数据重要性进行评估，判定其是否适合采取公有云服务进行加工。</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10-BZ-02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评估人员通过文件审查的方式，查看与云服务签订的服务合约中，是否明确提出云服务不得违规访问数据。</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10-BZ-03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评估人员通过人员访谈和文件审查的方式，询问是否建立了数据加工的管理制度，并且明确提出不得超范围进行数据挖掘。</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10-BZ-04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评估人员通过人员访谈和文件审查的方式，询问是否建立了数据加工的管理制度，并且明确提出数据加工前应对涉及用户个人敏感信息的内容应进行匿名化、模糊化、脱敏处理。</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10-BZ-05</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评估人员通过人员访谈和演示查验的方式，查看据数据挖掘算法中参数变量的设置，是否包含用户个人敏感信息的输入内容。</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10-BZ-06</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评估人员通过人员访谈的方式，询问对数据挖掘分析后形成的国家关键数据的技术防护措施。</w:t>
            </w:r>
          </w:p>
        </w:tc>
        <w:tc>
          <w:tcPr>
            <w:tcW w:w="1757" w:type="dxa"/>
            <w:noWrap w:val="0"/>
            <w:vAlign w:val="center"/>
          </w:tcPr>
          <w:p>
            <w:pPr>
              <w:jc w:val="center"/>
            </w:pPr>
            <w:r>
              <w:rPr>
                <w:rFonts w:hint="eastAsia" w:ascii="宋体" w:hAnsi="宋体"/>
                <w:kern w:val="0"/>
                <w:sz w:val="18"/>
                <w:szCs w:val="18"/>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restart"/>
            <w:noWrap w:val="0"/>
            <w:vAlign w:val="center"/>
          </w:tcPr>
          <w:p>
            <w:pPr>
              <w:widowControl/>
              <w:jc w:val="center"/>
              <w:rPr>
                <w:rFonts w:ascii="宋体" w:hAnsi="宋体"/>
                <w:kern w:val="0"/>
                <w:sz w:val="18"/>
                <w:szCs w:val="18"/>
              </w:rPr>
            </w:pPr>
            <w:r>
              <w:rPr>
                <w:rFonts w:hint="eastAsia" w:ascii="宋体" w:hAnsi="宋体"/>
                <w:kern w:val="0"/>
                <w:sz w:val="18"/>
                <w:szCs w:val="18"/>
              </w:rPr>
              <w:t>数据转移风险</w:t>
            </w:r>
          </w:p>
        </w:tc>
        <w:tc>
          <w:tcPr>
            <w:tcW w:w="1276" w:type="dxa"/>
            <w:noWrap w:val="0"/>
            <w:vAlign w:val="center"/>
          </w:tcPr>
          <w:p>
            <w:pPr>
              <w:jc w:val="center"/>
              <w:rPr>
                <w:rFonts w:ascii="宋体" w:hAnsi="宋体"/>
                <w:sz w:val="18"/>
                <w:szCs w:val="18"/>
              </w:rPr>
            </w:pPr>
            <w:r>
              <w:rPr>
                <w:rFonts w:ascii="宋体" w:hAnsi="宋体"/>
                <w:sz w:val="18"/>
                <w:szCs w:val="18"/>
              </w:rPr>
              <w:t>11-BZ-01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评估人员需对人员访谈和文件审查的方式，询问将数据提供给第三方前，是否对第三方的数据安全防护能力进行评估，并查阅相关评估报告。</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11-BZ-02</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评估人员采取人员访谈和文件审查的方式，询问将数据提供给第三方前，是否对数据的重要性、敏感性评估进行评估，并查阅相关评估报告。</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11-BZ-03</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评估人员采取人员访谈和文件审查的方式，查看是否建立了数据转移管理制度，包含明示用户数据转移情况，并明确规范第三方数据使用权限。</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vMerge w:val="continue"/>
            <w:noWrap w:val="0"/>
            <w:vAlign w:val="center"/>
          </w:tcPr>
          <w:p>
            <w:pPr>
              <w:widowControl/>
              <w:jc w:val="center"/>
              <w:rPr>
                <w:rFonts w:ascii="宋体" w:hAnsi="宋体"/>
                <w:kern w:val="0"/>
                <w:sz w:val="18"/>
                <w:szCs w:val="18"/>
              </w:rPr>
            </w:pPr>
          </w:p>
        </w:tc>
        <w:tc>
          <w:tcPr>
            <w:tcW w:w="1276" w:type="dxa"/>
            <w:noWrap w:val="0"/>
            <w:vAlign w:val="center"/>
          </w:tcPr>
          <w:p>
            <w:pPr>
              <w:jc w:val="center"/>
              <w:rPr>
                <w:rFonts w:ascii="宋体" w:hAnsi="宋体"/>
                <w:sz w:val="18"/>
                <w:szCs w:val="18"/>
              </w:rPr>
            </w:pPr>
            <w:r>
              <w:rPr>
                <w:rFonts w:ascii="宋体" w:hAnsi="宋体"/>
                <w:sz w:val="18"/>
                <w:szCs w:val="18"/>
              </w:rPr>
              <w:t>11-BZ-04</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评估人员采取人员访谈和文件审查的方式，询问是否建立了针对第三方数据使用安全监督管理机制和技术手段。</w:t>
            </w:r>
          </w:p>
        </w:tc>
        <w:tc>
          <w:tcPr>
            <w:tcW w:w="1757" w:type="dxa"/>
            <w:noWrap w:val="0"/>
            <w:vAlign w:val="center"/>
          </w:tcPr>
          <w:p>
            <w:pPr>
              <w:jc w:val="center"/>
            </w:pPr>
            <w:r>
              <w:rPr>
                <w:rFonts w:hint="eastAsia" w:ascii="宋体" w:hAnsi="宋体"/>
                <w:kern w:val="0"/>
                <w:sz w:val="18"/>
                <w:szCs w:val="18"/>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211" w:hRule="atLeast"/>
          <w:jc w:val="center"/>
        </w:trPr>
        <w:tc>
          <w:tcPr>
            <w:tcW w:w="959" w:type="dxa"/>
            <w:noWrap w:val="0"/>
            <w:vAlign w:val="center"/>
          </w:tcPr>
          <w:p>
            <w:pPr>
              <w:jc w:val="center"/>
              <w:rPr>
                <w:rFonts w:ascii="宋体" w:hAnsi="宋体"/>
                <w:kern w:val="0"/>
                <w:sz w:val="18"/>
                <w:szCs w:val="18"/>
              </w:rPr>
            </w:pPr>
            <w:r>
              <w:rPr>
                <w:rFonts w:hint="eastAsia" w:ascii="宋体" w:hAnsi="宋体"/>
                <w:kern w:val="0"/>
                <w:sz w:val="18"/>
                <w:szCs w:val="18"/>
              </w:rPr>
              <w:t>数据删除风险</w:t>
            </w:r>
          </w:p>
        </w:tc>
        <w:tc>
          <w:tcPr>
            <w:tcW w:w="1276" w:type="dxa"/>
            <w:noWrap w:val="0"/>
            <w:vAlign w:val="center"/>
          </w:tcPr>
          <w:p>
            <w:pPr>
              <w:widowControl/>
              <w:jc w:val="center"/>
              <w:rPr>
                <w:rFonts w:ascii="宋体" w:hAnsi="宋体"/>
                <w:kern w:val="0"/>
                <w:sz w:val="18"/>
                <w:szCs w:val="18"/>
              </w:rPr>
            </w:pPr>
            <w:r>
              <w:rPr>
                <w:rFonts w:ascii="宋体" w:hAnsi="宋体"/>
                <w:sz w:val="18"/>
                <w:szCs w:val="18"/>
              </w:rPr>
              <w:t>12-BZ-01</w:t>
            </w:r>
          </w:p>
        </w:tc>
        <w:tc>
          <w:tcPr>
            <w:tcW w:w="5046" w:type="dxa"/>
            <w:noWrap w:val="0"/>
            <w:vAlign w:val="center"/>
          </w:tcPr>
          <w:p>
            <w:pPr>
              <w:widowControl/>
              <w:jc w:val="left"/>
              <w:rPr>
                <w:rFonts w:ascii="宋体" w:hAnsi="宋体"/>
                <w:kern w:val="0"/>
                <w:sz w:val="18"/>
                <w:szCs w:val="18"/>
              </w:rPr>
            </w:pPr>
            <w:r>
              <w:rPr>
                <w:rFonts w:hint="eastAsia" w:ascii="宋体" w:hAnsi="宋体"/>
                <w:kern w:val="0"/>
                <w:sz w:val="18"/>
                <w:szCs w:val="18"/>
              </w:rPr>
              <w:t>评估人员采取人员访谈和演示查验的方式，询问是否在用户终止使用电信服务或者互联网信息服务后，业务系统能够停止收集和使用用户个人数据信息。</w:t>
            </w:r>
          </w:p>
        </w:tc>
        <w:tc>
          <w:tcPr>
            <w:tcW w:w="1757" w:type="dxa"/>
            <w:noWrap w:val="0"/>
            <w:vAlign w:val="center"/>
          </w:tcPr>
          <w:p>
            <w:pPr>
              <w:jc w:val="center"/>
            </w:pPr>
            <w:r>
              <w:rPr>
                <w:rFonts w:hint="eastAsia" w:ascii="宋体" w:hAnsi="宋体"/>
                <w:kern w:val="0"/>
                <w:sz w:val="18"/>
                <w:szCs w:val="18"/>
              </w:rPr>
              <w:t>合格</w:t>
            </w:r>
          </w:p>
        </w:tc>
      </w:tr>
    </w:tbl>
    <w:p>
      <w:pPr>
        <w:pStyle w:val="3"/>
        <w:spacing w:before="0" w:after="0" w:line="240" w:lineRule="auto"/>
        <w:rPr>
          <w:rFonts w:ascii="Times New Roman" w:hAnsi="Times New Roman" w:eastAsia="仿宋_GB2312"/>
        </w:rPr>
      </w:pPr>
      <w:r>
        <w:rPr>
          <w:rFonts w:ascii="Times New Roman" w:hAnsi="Times New Roman" w:eastAsia="仿宋_GB2312"/>
        </w:rPr>
        <w:t>4.4</w:t>
      </w:r>
      <w:r>
        <w:rPr>
          <w:rFonts w:hint="eastAsia" w:ascii="Times New Roman" w:hAnsi="Times New Roman" w:eastAsia="仿宋_GB2312"/>
        </w:rPr>
        <w:t>安全保障能力说明</w:t>
      </w:r>
      <w:bookmarkEnd w:id="21"/>
    </w:p>
    <w:p>
      <w:pPr>
        <w:spacing w:line="600" w:lineRule="exact"/>
        <w:ind w:firstLine="640" w:firstLineChars="200"/>
        <w:rPr>
          <w:rFonts w:hint="eastAsia" w:eastAsia="仿宋_GB2312"/>
          <w:sz w:val="32"/>
          <w:szCs w:val="32"/>
        </w:rPr>
      </w:pPr>
      <w:r>
        <w:rPr>
          <w:rFonts w:hint="eastAsia" w:eastAsia="仿宋_GB2312"/>
          <w:sz w:val="32"/>
          <w:szCs w:val="32"/>
        </w:rPr>
        <w:t>业务采集了大量用户信息，贵州移动已通过账号管理、用户敏感信息保护等多方面工作加强了信息安全风险管控。贵州移动按要求进行了日志留存工作，但访谈中反映日志数据并未加密。另一方面，业务的超级管理员账户访问权限大，可以查看用户的姓名、工号、卡号、身份证号码、手机号码、消费明细等信息并进行统计分析，在对超级管理员账号的信息安全管理方面有待加强。</w:t>
      </w:r>
    </w:p>
    <w:p>
      <w:pPr>
        <w:jc w:val="center"/>
      </w:pPr>
      <w:r>
        <w:rPr>
          <w:rFonts w:hint="eastAsia"/>
          <w:lang/>
        </w:rPr>
        <w:drawing>
          <wp:inline distT="0" distB="0" distL="114300" distR="114300">
            <wp:extent cx="5893435" cy="3306445"/>
            <wp:effectExtent l="0" t="0" r="24765" b="209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893435" cy="3306445"/>
                    </a:xfrm>
                    <a:prstGeom prst="rect">
                      <a:avLst/>
                    </a:prstGeom>
                    <a:noFill/>
                    <a:ln w="9525">
                      <a:noFill/>
                    </a:ln>
                  </pic:spPr>
                </pic:pic>
              </a:graphicData>
            </a:graphic>
          </wp:inline>
        </w:drawing>
      </w:r>
    </w:p>
    <w:p>
      <w:pPr>
        <w:jc w:val="center"/>
      </w:pPr>
      <w:r>
        <w:rPr>
          <w:rFonts w:hint="eastAsia"/>
          <w:lang/>
        </w:rPr>
        <w:drawing>
          <wp:inline distT="0" distB="0" distL="114300" distR="114300">
            <wp:extent cx="5945505" cy="3350260"/>
            <wp:effectExtent l="0" t="0" r="2349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945505" cy="3350260"/>
                    </a:xfrm>
                    <a:prstGeom prst="rect">
                      <a:avLst/>
                    </a:prstGeom>
                    <a:noFill/>
                    <a:ln w="9525">
                      <a:noFill/>
                    </a:ln>
                  </pic:spPr>
                </pic:pic>
              </a:graphicData>
            </a:graphic>
          </wp:inline>
        </w:drawing>
      </w:r>
    </w:p>
    <w:p>
      <w:pPr>
        <w:jc w:val="center"/>
      </w:pPr>
      <w:r>
        <w:rPr>
          <w:rFonts w:hint="eastAsia"/>
          <w:lang/>
        </w:rPr>
        <w:drawing>
          <wp:inline distT="0" distB="0" distL="114300" distR="114300">
            <wp:extent cx="5711190" cy="3203575"/>
            <wp:effectExtent l="0" t="0" r="3810" b="222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711190" cy="3203575"/>
                    </a:xfrm>
                    <a:prstGeom prst="rect">
                      <a:avLst/>
                    </a:prstGeom>
                    <a:noFill/>
                    <a:ln w="9525">
                      <a:noFill/>
                    </a:ln>
                  </pic:spPr>
                </pic:pic>
              </a:graphicData>
            </a:graphic>
          </wp:inline>
        </w:drawing>
      </w:r>
      <w:bookmarkStart w:id="22" w:name="_GoBack"/>
      <w:bookmarkEnd w:id="22"/>
    </w:p>
    <w:p>
      <w:pPr>
        <w:jc w:val="center"/>
        <w:rPr>
          <w:rFonts w:hint="eastAsia"/>
        </w:rPr>
      </w:pPr>
    </w:p>
    <w:p>
      <w:pPr>
        <w:pStyle w:val="2"/>
        <w:spacing w:before="0" w:after="0" w:line="240" w:lineRule="auto"/>
        <w:rPr>
          <w:rFonts w:eastAsia="仿宋_GB2312"/>
          <w:sz w:val="32"/>
          <w:szCs w:val="32"/>
        </w:rPr>
        <w:sectPr>
          <w:pgSz w:w="11906" w:h="16838"/>
          <w:pgMar w:top="1440" w:right="1797" w:bottom="1440" w:left="1287" w:header="851" w:footer="992" w:gutter="0"/>
          <w:cols w:space="425" w:num="1"/>
          <w:docGrid w:type="lines" w:linePitch="312" w:charSpace="0"/>
        </w:sectPr>
      </w:pPr>
      <w:bookmarkStart w:id="23" w:name="_Toc492772562"/>
    </w:p>
    <w:p>
      <w:pPr>
        <w:pStyle w:val="2"/>
        <w:spacing w:before="0" w:after="0" w:line="240" w:lineRule="auto"/>
        <w:rPr>
          <w:rFonts w:eastAsia="仿宋_GB2312"/>
        </w:rPr>
      </w:pPr>
      <w:r>
        <w:rPr>
          <w:rFonts w:eastAsia="仿宋_GB2312"/>
          <w:sz w:val="32"/>
          <w:szCs w:val="32"/>
        </w:rPr>
        <w:t xml:space="preserve">5 </w:t>
      </w:r>
      <w:r>
        <w:rPr>
          <w:rFonts w:hint="eastAsia" w:eastAsia="仿宋_GB2312"/>
          <w:sz w:val="32"/>
          <w:szCs w:val="32"/>
        </w:rPr>
        <w:t>评估结果</w:t>
      </w:r>
      <w:bookmarkEnd w:id="23"/>
    </w:p>
    <w:p>
      <w:pPr>
        <w:pStyle w:val="3"/>
        <w:spacing w:before="0" w:after="0" w:line="240" w:lineRule="auto"/>
        <w:rPr>
          <w:rFonts w:eastAsia="仿宋_GB2312"/>
          <w:b w:val="0"/>
        </w:rPr>
      </w:pPr>
      <w:bookmarkStart w:id="24" w:name="_Toc492772563"/>
      <w:r>
        <w:rPr>
          <w:rFonts w:ascii="Times New Roman" w:hAnsi="Times New Roman" w:eastAsia="仿宋_GB2312"/>
        </w:rPr>
        <w:t xml:space="preserve">5.1 </w:t>
      </w:r>
      <w:r>
        <w:rPr>
          <w:rFonts w:hint="eastAsia" w:ascii="Times New Roman" w:hAnsi="Times New Roman" w:eastAsia="仿宋_GB2312"/>
        </w:rPr>
        <w:t>信息安全管理风险评估结果</w:t>
      </w:r>
      <w:bookmarkEnd w:id="24"/>
    </w:p>
    <w:p>
      <w:pPr>
        <w:spacing w:line="600" w:lineRule="exact"/>
        <w:ind w:firstLine="640" w:firstLineChars="200"/>
        <w:rPr>
          <w:rFonts w:eastAsia="仿宋_GB2312"/>
          <w:sz w:val="32"/>
          <w:szCs w:val="32"/>
        </w:rPr>
      </w:pPr>
      <w:r>
        <w:rPr>
          <w:rFonts w:hint="eastAsia" w:eastAsia="仿宋_GB2312"/>
          <w:sz w:val="32"/>
          <w:szCs w:val="32"/>
        </w:rPr>
        <w:t>贵州移动在信息安全管理制定了一系列规章制度，基本满足信息安全管理要求。在机构设置方面，成立了专门的网络与信息安全管理部门，并配备专职工作人员。在新技术新业务信息安全评估方面，贵州移动扎实开展了自评估工作并完成了整改复审环节。但在专职网络与信息安全人员力量投入方面稍有不足，建议加强；新技术新业务评估联系人工作机制尚不明确，建议完善。</w:t>
      </w:r>
    </w:p>
    <w:p>
      <w:pPr>
        <w:pStyle w:val="3"/>
        <w:spacing w:before="0" w:after="0" w:line="240" w:lineRule="auto"/>
        <w:rPr>
          <w:rFonts w:eastAsia="仿宋_GB2312"/>
          <w:b w:val="0"/>
        </w:rPr>
      </w:pPr>
      <w:bookmarkStart w:id="25" w:name="_Toc492772565"/>
      <w:r>
        <w:rPr>
          <w:rFonts w:ascii="Times New Roman" w:hAnsi="Times New Roman" w:eastAsia="仿宋_GB2312"/>
        </w:rPr>
        <w:t>5.</w:t>
      </w:r>
      <w:r>
        <w:rPr>
          <w:rFonts w:hint="eastAsia" w:ascii="Times New Roman" w:hAnsi="Times New Roman" w:eastAsia="仿宋_GB2312"/>
        </w:rPr>
        <w:t>2</w:t>
      </w:r>
      <w:r>
        <w:rPr>
          <w:rFonts w:ascii="Times New Roman" w:hAnsi="Times New Roman" w:eastAsia="仿宋_GB2312"/>
        </w:rPr>
        <w:t xml:space="preserve"> </w:t>
      </w:r>
      <w:r>
        <w:rPr>
          <w:rFonts w:hint="eastAsia" w:ascii="Times New Roman" w:hAnsi="Times New Roman" w:eastAsia="仿宋_GB2312"/>
        </w:rPr>
        <w:t>业务应用安全风险评估结果</w:t>
      </w:r>
      <w:bookmarkEnd w:id="25"/>
    </w:p>
    <w:p>
      <w:pPr>
        <w:spacing w:line="600" w:lineRule="exact"/>
        <w:ind w:firstLine="640" w:firstLineChars="200"/>
        <w:rPr>
          <w:rFonts w:eastAsia="仿宋_GB2312"/>
          <w:sz w:val="32"/>
          <w:szCs w:val="32"/>
        </w:rPr>
      </w:pPr>
      <w:r>
        <w:rPr>
          <w:rFonts w:hint="eastAsia" w:eastAsia="仿宋_GB2312"/>
          <w:sz w:val="32"/>
          <w:szCs w:val="32"/>
        </w:rPr>
        <w:t>贵州移动针对“一卡通”业务已开展了自评估工作并完成了整改复审流程，并完成了对开发单位拓维信息系统股份有限公司合规性评估及保障能力评估。业务不具备信息发布和信息交互功能，用户无法自行注册且需实名使用，业务安全风险低。业务采集了用户姓名、身份证号码、手机号码及每次消费明细信息，并按照日志留存要求进行了数据留存，在数据采集、存储及使用过程具有一定的信息安全风险。</w:t>
      </w:r>
    </w:p>
    <w:p>
      <w:pPr>
        <w:pStyle w:val="3"/>
        <w:spacing w:before="0" w:after="0" w:line="240" w:lineRule="auto"/>
        <w:rPr>
          <w:rFonts w:eastAsia="仿宋_GB2312"/>
          <w:b w:val="0"/>
        </w:rPr>
      </w:pPr>
      <w:bookmarkStart w:id="26" w:name="_Toc492772566"/>
      <w:r>
        <w:rPr>
          <w:rFonts w:ascii="Times New Roman" w:hAnsi="Times New Roman" w:eastAsia="仿宋_GB2312"/>
        </w:rPr>
        <w:t>5.</w:t>
      </w:r>
      <w:r>
        <w:rPr>
          <w:rFonts w:hint="eastAsia" w:ascii="Times New Roman" w:hAnsi="Times New Roman" w:eastAsia="仿宋_GB2312"/>
        </w:rPr>
        <w:t>3</w:t>
      </w:r>
      <w:r>
        <w:rPr>
          <w:rFonts w:ascii="Times New Roman" w:hAnsi="Times New Roman" w:eastAsia="仿宋_GB2312"/>
        </w:rPr>
        <w:t xml:space="preserve"> </w:t>
      </w:r>
      <w:r>
        <w:rPr>
          <w:rFonts w:hint="eastAsia" w:ascii="Times New Roman" w:hAnsi="Times New Roman" w:eastAsia="仿宋_GB2312"/>
        </w:rPr>
        <w:t>业务平台安全风险评估结果</w:t>
      </w:r>
      <w:bookmarkEnd w:id="26"/>
    </w:p>
    <w:p>
      <w:pPr>
        <w:spacing w:line="600" w:lineRule="exact"/>
        <w:ind w:firstLine="640" w:firstLineChars="200"/>
        <w:rPr>
          <w:rFonts w:eastAsia="仿宋_GB2312"/>
          <w:sz w:val="32"/>
          <w:szCs w:val="32"/>
        </w:rPr>
      </w:pPr>
      <w:r>
        <w:rPr>
          <w:rFonts w:hint="eastAsia" w:eastAsia="仿宋_GB2312"/>
          <w:sz w:val="32"/>
          <w:szCs w:val="32"/>
        </w:rPr>
        <w:t>业务采集了大量用户信息，贵州移动已通过账号管理、用户敏感信息保护等多方面工作加强了信息安全风险管控。贵州移动按要求进行了日志留存工作，但访谈中反映日志数据并未加密。另一方面，业务的超级管理员账户访问权限大，可以查看用户的姓名、工号、卡号、身份证号码、手机号码、消费明细等信息并进行统计分析，在对超级管理员账号的信息安全管理方面有待加强。</w:t>
      </w:r>
    </w:p>
    <w:p>
      <w:pPr>
        <w:pStyle w:val="2"/>
        <w:spacing w:before="0" w:after="0" w:line="240" w:lineRule="auto"/>
        <w:rPr>
          <w:rFonts w:eastAsia="仿宋_GB2312"/>
          <w:sz w:val="32"/>
          <w:szCs w:val="32"/>
        </w:rPr>
        <w:sectPr>
          <w:pgSz w:w="11906" w:h="16838"/>
          <w:pgMar w:top="1440" w:right="1797" w:bottom="1440" w:left="1287" w:header="851" w:footer="992" w:gutter="0"/>
          <w:cols w:space="425" w:num="1"/>
          <w:docGrid w:type="lines" w:linePitch="312" w:charSpace="0"/>
        </w:sectPr>
      </w:pPr>
      <w:bookmarkStart w:id="27" w:name="_Toc492772567"/>
    </w:p>
    <w:p>
      <w:pPr>
        <w:pStyle w:val="2"/>
        <w:spacing w:before="0" w:after="0" w:line="240" w:lineRule="auto"/>
        <w:rPr>
          <w:rFonts w:eastAsia="仿宋_GB2312"/>
          <w:sz w:val="32"/>
          <w:szCs w:val="32"/>
        </w:rPr>
      </w:pPr>
      <w:r>
        <w:rPr>
          <w:rFonts w:eastAsia="仿宋_GB2312"/>
          <w:sz w:val="32"/>
          <w:szCs w:val="32"/>
        </w:rPr>
        <w:t xml:space="preserve">6 </w:t>
      </w:r>
      <w:r>
        <w:rPr>
          <w:rFonts w:hint="eastAsia" w:eastAsia="仿宋_GB2312"/>
          <w:sz w:val="32"/>
          <w:szCs w:val="32"/>
        </w:rPr>
        <w:t>安全评估结论意见</w:t>
      </w:r>
      <w:bookmarkEnd w:id="27"/>
    </w:p>
    <w:p>
      <w:pPr>
        <w:spacing w:line="600" w:lineRule="exact"/>
        <w:ind w:firstLine="643"/>
        <w:rPr>
          <w:rFonts w:hint="eastAsia" w:eastAsia="仿宋_GB2312"/>
          <w:sz w:val="32"/>
          <w:szCs w:val="32"/>
        </w:rPr>
      </w:pPr>
      <w:r>
        <w:rPr>
          <w:rFonts w:hint="eastAsia" w:eastAsia="仿宋_GB2312"/>
          <w:sz w:val="32"/>
          <w:szCs w:val="32"/>
        </w:rPr>
        <w:t>综合评估情况，贵州移动在信息安全管理制度建设方面基本满足信息安全管理要求，应根据业务发展需要及时加大专职网络与信息安全人力投入，完善新技术新业务评估联系人工作机制。“一卡通”业务应加强用户信息保护工作，做好日志数据存储加密，对权限较大账户要加强身份鉴别和信息安全管理，避免用户信息泄露。</w:t>
      </w:r>
    </w:p>
    <w:sectPr>
      <w:pgSz w:w="11906" w:h="16838"/>
      <w:pgMar w:top="1440" w:right="1797" w:bottom="1440" w:left="128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86"/>
    <w:family w:val="auto"/>
    <w:pitch w:val="default"/>
    <w:sig w:usb0="00000003" w:usb1="080E0000" w:usb2="00000010"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仿宋_GB2312">
    <w:altName w:val="汉仪仿宋KW"/>
    <w:panose1 w:val="02010609030101010101"/>
    <w:charset w:val="00"/>
    <w:family w:val="modern"/>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LinePrinter">
    <w:altName w:val="苹方-简"/>
    <w:panose1 w:val="00000000000000000000"/>
    <w:charset w:val="00"/>
    <w:family w:val="modern"/>
    <w:pitch w:val="default"/>
    <w:sig w:usb0="00000003" w:usb1="00000000" w:usb2="00000000" w:usb3="00000000" w:csb0="00000001" w:csb1="00000000"/>
  </w:font>
  <w:font w:name="Helvetica">
    <w:panose1 w:val="00000000000000000000"/>
    <w:charset w:val="00"/>
    <w:family w:val="swiss"/>
    <w:pitch w:val="default"/>
    <w:sig w:usb0="E00002FF" w:usb1="5000785B" w:usb2="00000000" w:usb3="00000000" w:csb0="2000019F" w:csb1="4F010000"/>
  </w:font>
  <w:font w:name="Times">
    <w:panose1 w:val="00000500000000020000"/>
    <w:charset w:val="00"/>
    <w:family w:val="roman"/>
    <w:pitch w:val="default"/>
    <w:sig w:usb0="E00002FF" w:usb1="5000205A" w:usb2="00000000" w:usb3="00000000" w:csb0="2000019F" w:csb1="4F010000"/>
  </w:font>
  <w:font w:name="Courier">
    <w:altName w:val="苹方-简"/>
    <w:panose1 w:val="02070409020205020404"/>
    <w:charset w:val="00"/>
    <w:family w:val="modern"/>
    <w:pitch w:val="default"/>
    <w:sig w:usb0="00000003" w:usb1="00000000" w:usb2="00000000" w:usb3="00000000" w:csb0="00000001" w:csb1="00000000"/>
  </w:font>
  <w:font w:name="New York">
    <w:altName w:val="苹方-简"/>
    <w:panose1 w:val="02040503060506020304"/>
    <w:charset w:val="00"/>
    <w:family w:val="roman"/>
    <w:pitch w:val="default"/>
    <w:sig w:usb0="00000003" w:usb1="00000000" w:usb2="00000000" w:usb3="00000000" w:csb0="00000001" w:csb1="00000000"/>
  </w:font>
  <w:font w:name="Arial Narrow">
    <w:panose1 w:val="020B0606020202030204"/>
    <w:charset w:val="00"/>
    <w:family w:val="swiss"/>
    <w:pitch w:val="default"/>
    <w:sig w:usb0="00000287" w:usb1="00000800" w:usb2="00000000" w:usb3="00000000" w:csb0="2000009F" w:csb1="DFD70000"/>
  </w:font>
  <w:font w:name="Tahoma">
    <w:panose1 w:val="020B0604030504040204"/>
    <w:charset w:val="00"/>
    <w:family w:val="swiss"/>
    <w:pitch w:val="default"/>
    <w:sig w:usb0="E1002AFF" w:usb1="C000605B" w:usb2="00000029" w:usb3="00000000" w:csb0="200101FF" w:csb1="20280000"/>
  </w:font>
  <w:font w:name="方正小标宋简体">
    <w:altName w:val="汉仪书宋二KW"/>
    <w:panose1 w:val="00000000000000000000"/>
    <w:charset w:val="00"/>
    <w:family w:val="script"/>
    <w:pitch w:val="default"/>
    <w:sig w:usb0="00000001" w:usb1="080E0000" w:usb2="00000010" w:usb3="00000000" w:csb0="00040000" w:csb1="00000000"/>
  </w:font>
  <w:font w:name="汉仪仿宋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center"/>
    </w:pPr>
  </w:p>
  <w:p>
    <w:pPr>
      <w:pStyle w:val="3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center"/>
    </w:pPr>
    <w:r>
      <w:rPr>
        <w:sz w:val="28"/>
        <w:szCs w:val="28"/>
      </w:rPr>
      <w:fldChar w:fldCharType="begin"/>
    </w:r>
    <w:r>
      <w:rPr>
        <w:sz w:val="28"/>
        <w:szCs w:val="28"/>
      </w:rPr>
      <w:instrText xml:space="preserve">PAGE   \* MERGEFORMAT</w:instrText>
    </w:r>
    <w:r>
      <w:rPr>
        <w:sz w:val="28"/>
        <w:szCs w:val="28"/>
      </w:rPr>
      <w:fldChar w:fldCharType="separate"/>
    </w:r>
    <w:r>
      <w:rPr>
        <w:sz w:val="28"/>
        <w:szCs w:val="28"/>
        <w:lang w:val="zh-CN"/>
      </w:rPr>
      <w:t>2</w:t>
    </w:r>
    <w:r>
      <w:rPr>
        <w:sz w:val="28"/>
        <w:szCs w:val="28"/>
      </w:rPr>
      <w:fldChar w:fldCharType="end"/>
    </w:r>
  </w:p>
  <w:p>
    <w:pPr>
      <w:pStyle w:val="3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Bdr>
        <w:bottom w:val="none" w:color="auto" w:sz="0" w:space="0"/>
      </w:pBdr>
    </w:pPr>
    <w:r>
      <w:rPr>
        <w:lang/>
      </w:rPr>
      <w:pict>
        <v:shape id="PowerPlusWaterMarkObject16014377" o:spid="_x0000_s1027" o:spt="136" type="#_x0000_t136" style="position:absolute;left:0pt;height:177.65pt;width:444.2pt;mso-position-horizontal:center;mso-position-horizontal-relative:margin;mso-position-vertical:center;mso-position-vertical-relative:margin;rotation:20643840f;z-index:-251656192;mso-width-relative:page;mso-height-relative:page;" fillcolor="#C0C0C0" stroked="f" coordsize="21600,21600" o:allowincell="f">
          <v:path/>
          <v:fill opacity="32768f" focussize="0,0"/>
          <v:stroke on="f"/>
          <v:imagedata o:title=""/>
          <o:lock v:ext="edit"/>
          <v:textpath on="t" fitshape="t" fitpath="t" trim="t" xscale="f" string="NISAC" style="font-family:黑体;font-size:8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r>
      <w:rPr>
        <w:lang/>
      </w:rPr>
      <w:pict>
        <v:shape id="PowerPlusWaterMarkObject16014376" o:spid="_x0000_s1026" o:spt="136" type="#_x0000_t136" style="position:absolute;left:0pt;height:177.65pt;width:444.2pt;mso-position-horizontal:center;mso-position-horizontal-relative:margin;mso-position-vertical:center;mso-position-vertical-relative:margin;rotation:20643840f;z-index:-251657216;mso-width-relative:page;mso-height-relative:page;" fillcolor="#C0C0C0" stroked="f" coordsize="21600,21600" o:allowincell="f">
          <v:path/>
          <v:fill opacity="32768f" focussize="0,0"/>
          <v:stroke on="f"/>
          <v:imagedata o:title=""/>
          <o:lock v:ext="edit"/>
          <v:textpath on="t" fitshape="t" fitpath="t" trim="t" xscale="f" string="NISAC" style="font-family:黑体;font-size:8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r>
      <w:rPr>
        <w:lang/>
      </w:rPr>
      <w:pict>
        <v:shape id="PowerPlusWaterMarkObject16014375" o:spid="_x0000_s1025" o:spt="136" type="#_x0000_t136" style="position:absolute;left:0pt;height:177.65pt;width:444.2pt;mso-position-horizontal:center;mso-position-horizontal-relative:margin;mso-position-vertical:center;mso-position-vertical-relative:margin;rotation:20643840f;z-index:-251658240;mso-width-relative:page;mso-height-relative:page;" fillcolor="#C0C0C0" stroked="f" coordsize="21600,21600" o:allowincell="f">
          <v:path/>
          <v:fill opacity="32768f" focussize="0,0"/>
          <v:stroke on="f"/>
          <v:imagedata o:title=""/>
          <o:lock v:ext="edit"/>
          <v:textpath on="t" fitshape="t" fitpath="t" trim="t" xscale="f" string="NISAC" style="font-family:黑体;font-size:8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Bdr>
        <w:bottom w:val="single" w:color="auto" w:sz="4" w:space="1"/>
      </w:pBdr>
      <w:jc w:val="right"/>
    </w:pPr>
    <w:r>
      <w:rPr>
        <w:lang/>
      </w:rPr>
      <w:pict>
        <v:shape id="PowerPlusWaterMarkObject16014380" o:spid="_x0000_s1030" o:spt="136" type="#_x0000_t136" style="position:absolute;left:0pt;height:177.65pt;width:444.2pt;mso-position-horizontal:center;mso-position-horizontal-relative:margin;mso-position-vertical:center;mso-position-vertical-relative:margin;rotation:20643840f;z-index:-251653120;mso-width-relative:page;mso-height-relative:page;" fillcolor="#C0C0C0" stroked="f" coordsize="21600,21600" o:allowincell="f">
          <v:path/>
          <v:fill opacity="32768f" focussize="0,0"/>
          <v:stroke on="f"/>
          <v:imagedata o:title=""/>
          <o:lock v:ext="edit"/>
          <v:textpath on="t" fitshape="t" fitpath="t" trim="t" xscale="f" string="NISAC" style="font-family:黑体;font-size:8pt;v-text-align:center;"/>
        </v:shape>
      </w:pict>
    </w:r>
    <w:r>
      <w:rPr>
        <w:rFonts w:hint="eastAsia"/>
      </w:rPr>
      <w:t>国家计算机网络与信息安全管理中心</w: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r>
      <w:rPr>
        <w:lang/>
      </w:rPr>
      <w:pict>
        <v:shape id="PowerPlusWaterMarkObject16014379" o:spid="_x0000_s1029" o:spt="136" type="#_x0000_t136" style="position:absolute;left:0pt;height:177.65pt;width:444.2pt;mso-position-horizontal:center;mso-position-horizontal-relative:margin;mso-position-vertical:center;mso-position-vertical-relative:margin;rotation:20643840f;z-index:-251654144;mso-width-relative:page;mso-height-relative:page;" fillcolor="#C0C0C0" stroked="f" coordsize="21600,21600" o:allowincell="f">
          <v:path/>
          <v:fill opacity="32768f" focussize="0,0"/>
          <v:stroke on="f"/>
          <v:imagedata o:title=""/>
          <o:lock v:ext="edit"/>
          <v:textpath on="t" fitshape="t" fitpath="t" trim="t" xscale="f" string="NISAC" style="font-family:黑体;font-size:8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r>
      <w:rPr>
        <w:lang/>
      </w:rPr>
      <w:pict>
        <v:shape id="PowerPlusWaterMarkObject16014378" o:spid="_x0000_s1028" o:spt="136" type="#_x0000_t136" style="position:absolute;left:0pt;height:177.65pt;width:444.2pt;mso-position-horizontal:center;mso-position-horizontal-relative:margin;mso-position-vertical:center;mso-position-vertical-relative:margin;rotation:20643840f;z-index:-251655168;mso-width-relative:page;mso-height-relative:page;" fillcolor="#C0C0C0" stroked="f" coordsize="21600,21600" o:allowincell="f">
          <v:path/>
          <v:fill opacity="32768f" focussize="0,0"/>
          <v:stroke on="f"/>
          <v:imagedata o:title=""/>
          <o:lock v:ext="edit"/>
          <v:textpath on="t" fitshape="t" fitpath="t" trim="t" xscale="f" string="NISAC" style="font-family:黑体;font-size:8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15CD"/>
    <w:multiLevelType w:val="multilevel"/>
    <w:tmpl w:val="040A15CD"/>
    <w:lvl w:ilvl="0" w:tentative="0">
      <w:start w:val="1"/>
      <w:numFmt w:val="none"/>
      <w:suff w:val="nothing"/>
      <w:lvlText w:val="　"/>
      <w:lvlJc w:val="left"/>
      <w:rPr>
        <w:rFonts w:hint="eastAsia" w:ascii="黑体" w:hAnsi="Times New Roman" w:eastAsia="黑体" w:cs="Times New Roman"/>
        <w:b w:val="0"/>
        <w:i w:val="0"/>
        <w:sz w:val="21"/>
      </w:rPr>
    </w:lvl>
    <w:lvl w:ilvl="1" w:tentative="0">
      <w:start w:val="1"/>
      <w:numFmt w:val="decimal"/>
      <w:isLgl/>
      <w:suff w:val="nothing"/>
      <w:lvlText w:val="%2　"/>
      <w:lvlJc w:val="left"/>
      <w:rPr>
        <w:rFonts w:hint="eastAsia" w:ascii="黑体" w:hAnsi="Times New Roman" w:eastAsia="黑体" w:cs="Times New Roman"/>
        <w:b w:val="0"/>
        <w:i w:val="0"/>
        <w:snapToGrid/>
        <w:spacing w:val="0"/>
        <w:w w:val="100"/>
        <w:kern w:val="21"/>
        <w:sz w:val="21"/>
      </w:rPr>
    </w:lvl>
    <w:lvl w:ilvl="2" w:tentative="0">
      <w:start w:val="1"/>
      <w:numFmt w:val="decimal"/>
      <w:pStyle w:val="110"/>
      <w:suff w:val="nothing"/>
      <w:lvlText w:val="%1%2.%3　"/>
      <w:lvlJc w:val="left"/>
      <w:rPr>
        <w:rFonts w:hint="eastAsia" w:ascii="黑体" w:hAnsi="Times New Roman" w:eastAsia="黑体" w:cs="Times New Roman"/>
        <w:b w:val="0"/>
        <w:i w:val="0"/>
        <w:sz w:val="21"/>
      </w:rPr>
    </w:lvl>
    <w:lvl w:ilvl="3" w:tentative="0">
      <w:start w:val="1"/>
      <w:numFmt w:val="decimal"/>
      <w:pStyle w:val="70"/>
      <w:suff w:val="nothing"/>
      <w:lvlText w:val="%1%2.%3.%4　"/>
      <w:lvlJc w:val="left"/>
      <w:rPr>
        <w:rFonts w:hint="eastAsia" w:ascii="黑体" w:hAnsi="Times New Roman" w:eastAsia="黑体" w:cs="Times New Roman"/>
        <w:b w:val="0"/>
        <w:i w:val="0"/>
        <w:sz w:val="21"/>
      </w:rPr>
    </w:lvl>
    <w:lvl w:ilvl="4" w:tentative="0">
      <w:start w:val="1"/>
      <w:numFmt w:val="decimal"/>
      <w:pStyle w:val="98"/>
      <w:suff w:val="nothing"/>
      <w:lvlText w:val="%1%2.%3.%4.%5　"/>
      <w:lvlJc w:val="left"/>
      <w:rPr>
        <w:rFonts w:hint="eastAsia" w:ascii="黑体" w:hAnsi="Times New Roman" w:eastAsia="黑体" w:cs="Times New Roman"/>
        <w:b w:val="0"/>
        <w:i w:val="0"/>
        <w:sz w:val="21"/>
      </w:rPr>
    </w:lvl>
    <w:lvl w:ilvl="5" w:tentative="0">
      <w:start w:val="1"/>
      <w:numFmt w:val="decimal"/>
      <w:pStyle w:val="103"/>
      <w:suff w:val="nothing"/>
      <w:lvlText w:val="%1%2.%3.%4.%5.%6　"/>
      <w:lvlJc w:val="left"/>
      <w:rPr>
        <w:rFonts w:hint="eastAsia" w:ascii="黑体" w:hAnsi="Times New Roman" w:eastAsia="黑体" w:cs="Times New Roman"/>
        <w:b w:val="0"/>
        <w:i w:val="0"/>
        <w:sz w:val="21"/>
      </w:rPr>
    </w:lvl>
    <w:lvl w:ilvl="6" w:tentative="0">
      <w:start w:val="1"/>
      <w:numFmt w:val="decimal"/>
      <w:pStyle w:val="109"/>
      <w:suff w:val="nothing"/>
      <w:lvlText w:val="%1%2.%3.%4.%5.%6.%7　"/>
      <w:lvlJc w:val="left"/>
      <w:rPr>
        <w:rFonts w:hint="eastAsia" w:ascii="黑体" w:hAnsi="Times New Roman" w:eastAsia="黑体" w:cs="Times New Roman"/>
        <w:b w:val="0"/>
        <w:i w:val="0"/>
        <w:sz w:val="21"/>
      </w:rPr>
    </w:lvl>
    <w:lvl w:ilvl="7" w:tentative="0">
      <w:start w:val="1"/>
      <w:numFmt w:val="decimal"/>
      <w:lvlText w:val="%1.%2.%3.%4.%5.%6.%7.%8"/>
      <w:lvlJc w:val="left"/>
      <w:pPr>
        <w:tabs>
          <w:tab w:val="left" w:pos="4394"/>
        </w:tabs>
        <w:ind w:left="4394" w:hanging="1418"/>
      </w:pPr>
      <w:rPr>
        <w:rFonts w:hint="eastAsia" w:cs="Times New Roman"/>
      </w:rPr>
    </w:lvl>
    <w:lvl w:ilvl="8" w:tentative="0">
      <w:start w:val="1"/>
      <w:numFmt w:val="decimal"/>
      <w:lvlText w:val="%1.%2.%3.%4.%5.%6.%7.%8.%9"/>
      <w:lvlJc w:val="left"/>
      <w:pPr>
        <w:tabs>
          <w:tab w:val="left" w:pos="5102"/>
        </w:tabs>
        <w:ind w:left="5102" w:hanging="1700"/>
      </w:pPr>
      <w:rPr>
        <w:rFonts w:hint="eastAsia" w:cs="Times New Roman"/>
      </w:rPr>
    </w:lvl>
  </w:abstractNum>
  <w:abstractNum w:abstractNumId="1">
    <w:nsid w:val="0AE367E9"/>
    <w:multiLevelType w:val="multilevel"/>
    <w:tmpl w:val="0AE367E9"/>
    <w:lvl w:ilvl="0" w:tentative="0">
      <w:start w:val="1"/>
      <w:numFmt w:val="none"/>
      <w:pStyle w:val="100"/>
      <w:lvlText w:val="%1示例"/>
      <w:lvlJc w:val="left"/>
      <w:pPr>
        <w:tabs>
          <w:tab w:val="left" w:pos="1120"/>
        </w:tabs>
        <w:ind w:firstLine="400"/>
      </w:pPr>
      <w:rPr>
        <w:rFonts w:hint="eastAsia" w:ascii="宋体" w:eastAsia="宋体" w:cs="Times New Roman"/>
        <w:b w:val="0"/>
        <w:i w:val="0"/>
        <w:sz w:val="18"/>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2">
    <w:nsid w:val="3C0D11A3"/>
    <w:multiLevelType w:val="multilevel"/>
    <w:tmpl w:val="3C0D11A3"/>
    <w:lvl w:ilvl="0" w:tentative="0">
      <w:start w:val="1"/>
      <w:numFmt w:val="lowerLetter"/>
      <w:pStyle w:val="132"/>
      <w:lvlText w:val="%1)"/>
      <w:lvlJc w:val="left"/>
      <w:pPr>
        <w:tabs>
          <w:tab w:val="left" w:pos="709"/>
        </w:tabs>
        <w:ind w:firstLine="420"/>
      </w:pPr>
      <w:rPr>
        <w:rFonts w:hint="eastAsia" w:cs="Times New Roman"/>
      </w:rPr>
    </w:lvl>
    <w:lvl w:ilvl="1" w:tentative="0">
      <w:start w:val="1"/>
      <w:numFmt w:val="upperLetter"/>
      <w:lvlText w:val="%2."/>
      <w:lvlJc w:val="left"/>
      <w:pPr>
        <w:tabs>
          <w:tab w:val="left" w:pos="850"/>
        </w:tabs>
        <w:ind w:left="850" w:hanging="425"/>
      </w:pPr>
      <w:rPr>
        <w:rFonts w:hint="eastAsia" w:cs="Times New Roman"/>
      </w:rPr>
    </w:lvl>
    <w:lvl w:ilvl="2" w:tentative="0">
      <w:start w:val="1"/>
      <w:numFmt w:val="decimal"/>
      <w:lvlText w:val="%3."/>
      <w:lvlJc w:val="left"/>
      <w:pPr>
        <w:tabs>
          <w:tab w:val="left" w:pos="1276"/>
        </w:tabs>
        <w:ind w:left="1276" w:hanging="426"/>
      </w:pPr>
      <w:rPr>
        <w:rFonts w:hint="eastAsia" w:cs="Times New Roman"/>
      </w:rPr>
    </w:lvl>
    <w:lvl w:ilvl="3" w:tentative="0">
      <w:start w:val="1"/>
      <w:numFmt w:val="lowerLetter"/>
      <w:lvlText w:val="%4."/>
      <w:lvlJc w:val="left"/>
      <w:pPr>
        <w:tabs>
          <w:tab w:val="left" w:pos="1559"/>
        </w:tabs>
        <w:ind w:left="1559" w:hanging="283"/>
      </w:pPr>
      <w:rPr>
        <w:rFonts w:hint="eastAsia" w:cs="Times New Roman"/>
      </w:rPr>
    </w:lvl>
    <w:lvl w:ilvl="4" w:tentative="0">
      <w:start w:val="1"/>
      <w:numFmt w:val="decimal"/>
      <w:lvlText w:val="%5."/>
      <w:lvlJc w:val="left"/>
      <w:pPr>
        <w:tabs>
          <w:tab w:val="left" w:pos="1984"/>
        </w:tabs>
        <w:ind w:left="1984" w:hanging="425"/>
      </w:pPr>
      <w:rPr>
        <w:rFonts w:hint="eastAsia" w:cs="Times New Roman"/>
      </w:rPr>
    </w:lvl>
    <w:lvl w:ilvl="5" w:tentative="0">
      <w:start w:val="1"/>
      <w:numFmt w:val="lowerLetter"/>
      <w:lvlText w:val="%6."/>
      <w:lvlJc w:val="left"/>
      <w:pPr>
        <w:tabs>
          <w:tab w:val="left" w:pos="2409"/>
        </w:tabs>
        <w:ind w:left="2409" w:hanging="425"/>
      </w:pPr>
      <w:rPr>
        <w:rFonts w:hint="eastAsia" w:cs="Times New Roman"/>
      </w:rPr>
    </w:lvl>
    <w:lvl w:ilvl="6" w:tentative="0">
      <w:start w:val="1"/>
      <w:numFmt w:val="lowerRoman"/>
      <w:lvlText w:val="%7."/>
      <w:lvlJc w:val="left"/>
      <w:pPr>
        <w:tabs>
          <w:tab w:val="left" w:pos="2835"/>
        </w:tabs>
        <w:ind w:left="2835" w:hanging="426"/>
      </w:pPr>
      <w:rPr>
        <w:rFonts w:hint="eastAsia" w:cs="Times New Roman"/>
      </w:rPr>
    </w:lvl>
    <w:lvl w:ilvl="7" w:tentative="0">
      <w:start w:val="1"/>
      <w:numFmt w:val="lowerLetter"/>
      <w:lvlText w:val="%8."/>
      <w:lvlJc w:val="left"/>
      <w:pPr>
        <w:tabs>
          <w:tab w:val="left" w:pos="3260"/>
        </w:tabs>
        <w:ind w:left="3260" w:hanging="425"/>
      </w:pPr>
      <w:rPr>
        <w:rFonts w:hint="eastAsia" w:cs="Times New Roman"/>
      </w:rPr>
    </w:lvl>
    <w:lvl w:ilvl="8" w:tentative="0">
      <w:start w:val="1"/>
      <w:numFmt w:val="lowerRoman"/>
      <w:lvlText w:val="%9."/>
      <w:lvlJc w:val="left"/>
      <w:pPr>
        <w:tabs>
          <w:tab w:val="left" w:pos="3685"/>
        </w:tabs>
        <w:ind w:left="3685" w:hanging="425"/>
      </w:pPr>
      <w:rPr>
        <w:rFonts w:hint="eastAsia" w:cs="Times New Roman"/>
      </w:rPr>
    </w:lvl>
  </w:abstractNum>
  <w:abstractNum w:abstractNumId="3">
    <w:nsid w:val="407E65F9"/>
    <w:multiLevelType w:val="multilevel"/>
    <w:tmpl w:val="407E65F9"/>
    <w:lvl w:ilvl="0" w:tentative="0">
      <w:start w:val="1"/>
      <w:numFmt w:val="none"/>
      <w:pStyle w:val="92"/>
      <w:lvlText w:val="%1·　"/>
      <w:lvlJc w:val="left"/>
      <w:pPr>
        <w:tabs>
          <w:tab w:val="left" w:pos="-540"/>
        </w:tabs>
        <w:ind w:left="-943" w:hanging="317"/>
      </w:pPr>
      <w:rPr>
        <w:rFonts w:hint="eastAsia" w:ascii="宋体" w:hAnsi="Times New Roman" w:eastAsia="宋体" w:cs="Times New Roman"/>
        <w:b w:val="0"/>
        <w:i w:val="0"/>
        <w:sz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420"/>
        </w:tabs>
        <w:ind w:left="-420" w:hanging="420"/>
      </w:pPr>
      <w:rPr>
        <w:rFonts w:hint="default" w:ascii="Wingdings" w:hAnsi="Wingdings"/>
      </w:rPr>
    </w:lvl>
    <w:lvl w:ilvl="3" w:tentative="0">
      <w:start w:val="1"/>
      <w:numFmt w:val="bullet"/>
      <w:lvlText w:val=""/>
      <w:lvlJc w:val="left"/>
      <w:pPr>
        <w:tabs>
          <w:tab w:val="left" w:pos="0"/>
        </w:tabs>
        <w:ind w:hanging="420"/>
      </w:pPr>
      <w:rPr>
        <w:rFonts w:hint="default" w:ascii="Wingdings" w:hAnsi="Wingdings"/>
      </w:rPr>
    </w:lvl>
    <w:lvl w:ilvl="4" w:tentative="0">
      <w:start w:val="1"/>
      <w:numFmt w:val="bullet"/>
      <w:lvlText w:val=""/>
      <w:lvlJc w:val="left"/>
      <w:pPr>
        <w:tabs>
          <w:tab w:val="left" w:pos="420"/>
        </w:tabs>
        <w:ind w:left="420" w:hanging="420"/>
      </w:pPr>
      <w:rPr>
        <w:rFonts w:hint="default" w:ascii="Wingdings" w:hAnsi="Wingdings"/>
      </w:rPr>
    </w:lvl>
    <w:lvl w:ilvl="5" w:tentative="0">
      <w:start w:val="1"/>
      <w:numFmt w:val="bullet"/>
      <w:lvlText w:val=""/>
      <w:lvlJc w:val="left"/>
      <w:pPr>
        <w:tabs>
          <w:tab w:val="left" w:pos="840"/>
        </w:tabs>
        <w:ind w:left="840" w:hanging="420"/>
      </w:pPr>
      <w:rPr>
        <w:rFonts w:hint="default" w:ascii="Wingdings" w:hAnsi="Wingdings"/>
      </w:rPr>
    </w:lvl>
    <w:lvl w:ilvl="6" w:tentative="0">
      <w:start w:val="1"/>
      <w:numFmt w:val="bullet"/>
      <w:lvlText w:val=""/>
      <w:lvlJc w:val="left"/>
      <w:pPr>
        <w:tabs>
          <w:tab w:val="left" w:pos="1260"/>
        </w:tabs>
        <w:ind w:left="1260" w:hanging="420"/>
      </w:pPr>
      <w:rPr>
        <w:rFonts w:hint="default" w:ascii="Wingdings" w:hAnsi="Wingdings"/>
      </w:rPr>
    </w:lvl>
    <w:lvl w:ilvl="7" w:tentative="0">
      <w:start w:val="1"/>
      <w:numFmt w:val="bullet"/>
      <w:lvlText w:val=""/>
      <w:lvlJc w:val="left"/>
      <w:pPr>
        <w:tabs>
          <w:tab w:val="left" w:pos="1680"/>
        </w:tabs>
        <w:ind w:left="1680" w:hanging="420"/>
      </w:pPr>
      <w:rPr>
        <w:rFonts w:hint="default" w:ascii="Wingdings" w:hAnsi="Wingdings"/>
      </w:rPr>
    </w:lvl>
    <w:lvl w:ilvl="8" w:tentative="0">
      <w:start w:val="1"/>
      <w:numFmt w:val="bullet"/>
      <w:lvlText w:val=""/>
      <w:lvlJc w:val="left"/>
      <w:pPr>
        <w:tabs>
          <w:tab w:val="left" w:pos="2100"/>
        </w:tabs>
        <w:ind w:left="2100" w:hanging="420"/>
      </w:pPr>
      <w:rPr>
        <w:rFonts w:hint="default" w:ascii="Wingdings" w:hAnsi="Wingdings"/>
      </w:rPr>
    </w:lvl>
  </w:abstractNum>
  <w:abstractNum w:abstractNumId="4">
    <w:nsid w:val="496E4D7B"/>
    <w:multiLevelType w:val="multilevel"/>
    <w:tmpl w:val="496E4D7B"/>
    <w:lvl w:ilvl="0" w:tentative="0">
      <w:start w:val="1"/>
      <w:numFmt w:val="none"/>
      <w:pStyle w:val="114"/>
      <w:lvlText w:val="%1注"/>
      <w:lvlJc w:val="left"/>
      <w:pPr>
        <w:tabs>
          <w:tab w:val="left" w:pos="900"/>
        </w:tabs>
        <w:ind w:left="900" w:hanging="500"/>
      </w:pPr>
      <w:rPr>
        <w:rFonts w:hint="eastAsia" w:ascii="宋体" w:hAnsi="Times New Roman" w:eastAsia="宋体" w:cs="Times New Roman"/>
        <w:b w:val="0"/>
        <w:i w:val="0"/>
        <w:sz w:val="18"/>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5">
    <w:nsid w:val="557C2AF5"/>
    <w:multiLevelType w:val="multilevel"/>
    <w:tmpl w:val="557C2AF5"/>
    <w:lvl w:ilvl="0" w:tentative="0">
      <w:start w:val="1"/>
      <w:numFmt w:val="decimal"/>
      <w:pStyle w:val="112"/>
      <w:suff w:val="nothing"/>
      <w:lvlText w:val="图%1　"/>
      <w:lvlJc w:val="left"/>
      <w:rPr>
        <w:rFonts w:hint="eastAsia" w:ascii="黑体" w:hAnsi="Times New Roman" w:eastAsia="黑体" w:cs="Times New Roman"/>
        <w:b w:val="0"/>
        <w:i w:val="0"/>
        <w:sz w:val="21"/>
      </w:rPr>
    </w:lvl>
    <w:lvl w:ilvl="1" w:tentative="0">
      <w:start w:val="1"/>
      <w:numFmt w:val="decimal"/>
      <w:suff w:val="nothing"/>
      <w:lvlText w:val="%1%2　"/>
      <w:lvlJc w:val="left"/>
      <w:rPr>
        <w:rFonts w:hint="default" w:ascii="Times New Roman" w:hAnsi="Times New Roman" w:eastAsia="黑体" w:cs="Times New Roman"/>
        <w:b w:val="0"/>
        <w:i w:val="0"/>
        <w:sz w:val="21"/>
      </w:rPr>
    </w:lvl>
    <w:lvl w:ilvl="2" w:tentative="0">
      <w:start w:val="1"/>
      <w:numFmt w:val="decimal"/>
      <w:suff w:val="nothing"/>
      <w:lvlText w:val="%1%2.%3　"/>
      <w:lvlJc w:val="left"/>
      <w:rPr>
        <w:rFonts w:hint="default" w:ascii="Times New Roman" w:hAnsi="Times New Roman" w:eastAsia="黑体" w:cs="Times New Roman"/>
        <w:b w:val="0"/>
        <w:i w:val="0"/>
        <w:sz w:val="21"/>
      </w:rPr>
    </w:lvl>
    <w:lvl w:ilvl="3" w:tentative="0">
      <w:start w:val="1"/>
      <w:numFmt w:val="decimal"/>
      <w:suff w:val="nothing"/>
      <w:lvlText w:val="%1%2.%3.%4　"/>
      <w:lvlJc w:val="left"/>
      <w:rPr>
        <w:rFonts w:hint="default" w:ascii="Times New Roman" w:hAnsi="Times New Roman" w:eastAsia="黑体" w:cs="Times New Roman"/>
        <w:b w:val="0"/>
        <w:i w:val="0"/>
        <w:sz w:val="21"/>
      </w:rPr>
    </w:lvl>
    <w:lvl w:ilvl="4" w:tentative="0">
      <w:start w:val="1"/>
      <w:numFmt w:val="decimal"/>
      <w:suff w:val="nothing"/>
      <w:lvlText w:val="%1%2.%3.%4.%5　"/>
      <w:lvlJc w:val="left"/>
      <w:rPr>
        <w:rFonts w:hint="default" w:ascii="Times New Roman" w:hAnsi="Times New Roman" w:eastAsia="黑体" w:cs="Times New Roman"/>
        <w:b w:val="0"/>
        <w:i w:val="0"/>
        <w:sz w:val="21"/>
      </w:rPr>
    </w:lvl>
    <w:lvl w:ilvl="5" w:tentative="0">
      <w:start w:val="1"/>
      <w:numFmt w:val="decimal"/>
      <w:suff w:val="nothing"/>
      <w:lvlText w:val="%1%2.%3.%4.%5.%6　"/>
      <w:lvlJc w:val="left"/>
      <w:rPr>
        <w:rFonts w:hint="default" w:ascii="Times New Roman" w:hAnsi="Times New Roman" w:eastAsia="黑体" w:cs="Times New Roman"/>
        <w:b w:val="0"/>
        <w:i w:val="0"/>
        <w:sz w:val="21"/>
      </w:rPr>
    </w:lvl>
    <w:lvl w:ilvl="6" w:tentative="0">
      <w:start w:val="1"/>
      <w:numFmt w:val="decimal"/>
      <w:suff w:val="nothing"/>
      <w:lvlText w:val="%1%2.%3.%4.%5.%6.%7　"/>
      <w:lvlJc w:val="left"/>
      <w:rPr>
        <w:rFonts w:hint="default" w:ascii="Times New Roman" w:hAnsi="Times New Roman" w:eastAsia="黑体" w:cs="Times New Roman"/>
        <w:b w:val="0"/>
        <w:i w:val="0"/>
        <w:sz w:val="21"/>
      </w:rPr>
    </w:lvl>
    <w:lvl w:ilvl="7" w:tentative="0">
      <w:start w:val="1"/>
      <w:numFmt w:val="decimal"/>
      <w:lvlText w:val="%1.%2.%3.%4.%5.%6.%7.%8"/>
      <w:lvlJc w:val="left"/>
      <w:pPr>
        <w:tabs>
          <w:tab w:val="left" w:pos="4351"/>
        </w:tabs>
        <w:ind w:left="3969" w:hanging="1418"/>
      </w:pPr>
      <w:rPr>
        <w:rFonts w:hint="eastAsia" w:cs="Times New Roman"/>
      </w:rPr>
    </w:lvl>
    <w:lvl w:ilvl="8" w:tentative="0">
      <w:start w:val="1"/>
      <w:numFmt w:val="decimal"/>
      <w:lvlText w:val="%1.%2.%3.%4.%5.%6.%7.%8.%9"/>
      <w:lvlJc w:val="left"/>
      <w:pPr>
        <w:tabs>
          <w:tab w:val="left" w:pos="4777"/>
        </w:tabs>
        <w:ind w:left="4677" w:hanging="1700"/>
      </w:pPr>
      <w:rPr>
        <w:rFonts w:hint="eastAsia" w:cs="Times New Roman"/>
      </w:rPr>
    </w:lvl>
  </w:abstractNum>
  <w:abstractNum w:abstractNumId="6">
    <w:nsid w:val="63B56409"/>
    <w:multiLevelType w:val="multilevel"/>
    <w:tmpl w:val="63B56409"/>
    <w:lvl w:ilvl="0" w:tentative="0">
      <w:start w:val="1"/>
      <w:numFmt w:val="decimal"/>
      <w:pStyle w:val="227"/>
      <w:lvlText w:val="%1"/>
      <w:lvlJc w:val="left"/>
      <w:pPr>
        <w:tabs>
          <w:tab w:val="left" w:pos="1667"/>
        </w:tabs>
        <w:ind w:left="1667" w:hanging="420"/>
      </w:pPr>
      <w:rPr>
        <w:rFonts w:hint="eastAsia" w:eastAsia="宋体" w:cs="Times New Roman"/>
        <w:b w:val="0"/>
        <w:i w:val="0"/>
        <w:sz w:val="20"/>
        <w:szCs w:val="20"/>
      </w:rPr>
    </w:lvl>
    <w:lvl w:ilvl="1" w:tentative="0">
      <w:start w:val="1"/>
      <w:numFmt w:val="decimal"/>
      <w:lvlText w:val="%1.%2."/>
      <w:lvlJc w:val="left"/>
      <w:pPr>
        <w:tabs>
          <w:tab w:val="left" w:pos="1814"/>
        </w:tabs>
        <w:ind w:left="1814" w:hanging="567"/>
      </w:pPr>
      <w:rPr>
        <w:rFonts w:hint="eastAsia" w:cs="Times New Roman"/>
      </w:rPr>
    </w:lvl>
    <w:lvl w:ilvl="2" w:tentative="0">
      <w:start w:val="0"/>
      <w:numFmt w:val="none"/>
      <w:lvlText w:val=""/>
      <w:lvlJc w:val="left"/>
      <w:pPr>
        <w:tabs>
          <w:tab w:val="left" w:pos="360"/>
        </w:tabs>
      </w:pPr>
      <w:rPr>
        <w:rFonts w:hint="eastAsia" w:cs="Times New Roman"/>
      </w:rPr>
    </w:lvl>
    <w:lvl w:ilvl="3" w:tentative="0">
      <w:start w:val="1"/>
      <w:numFmt w:val="decimal"/>
      <w:lvlText w:val="%1.%2.%3.%4."/>
      <w:lvlJc w:val="left"/>
      <w:pPr>
        <w:tabs>
          <w:tab w:val="left" w:pos="2098"/>
        </w:tabs>
        <w:ind w:left="2098" w:hanging="851"/>
      </w:pPr>
      <w:rPr>
        <w:rFonts w:hint="eastAsia" w:cs="Times New Roman"/>
      </w:rPr>
    </w:lvl>
    <w:lvl w:ilvl="4" w:tentative="0">
      <w:start w:val="1"/>
      <w:numFmt w:val="decimal"/>
      <w:lvlText w:val="%1.%2.%3.%4.%5."/>
      <w:lvlJc w:val="left"/>
      <w:pPr>
        <w:tabs>
          <w:tab w:val="left" w:pos="2239"/>
        </w:tabs>
        <w:ind w:left="2239" w:hanging="992"/>
      </w:pPr>
      <w:rPr>
        <w:rFonts w:hint="eastAsia" w:cs="Times New Roman"/>
      </w:rPr>
    </w:lvl>
    <w:lvl w:ilvl="5" w:tentative="0">
      <w:start w:val="1"/>
      <w:numFmt w:val="decimal"/>
      <w:lvlText w:val="%1.%2.%3.%4.%5.%6."/>
      <w:lvlJc w:val="left"/>
      <w:pPr>
        <w:tabs>
          <w:tab w:val="left" w:pos="2381"/>
        </w:tabs>
        <w:ind w:left="2381" w:hanging="1134"/>
      </w:pPr>
      <w:rPr>
        <w:rFonts w:hint="eastAsia" w:cs="Times New Roman"/>
      </w:rPr>
    </w:lvl>
    <w:lvl w:ilvl="6" w:tentative="0">
      <w:start w:val="1"/>
      <w:numFmt w:val="decimal"/>
      <w:lvlText w:val="%1.%2.%3.%4.%5.%6.%7."/>
      <w:lvlJc w:val="left"/>
      <w:pPr>
        <w:tabs>
          <w:tab w:val="left" w:pos="2523"/>
        </w:tabs>
        <w:ind w:left="2523" w:hanging="1276"/>
      </w:pPr>
      <w:rPr>
        <w:rFonts w:hint="eastAsia" w:cs="Times New Roman"/>
      </w:rPr>
    </w:lvl>
    <w:lvl w:ilvl="7" w:tentative="0">
      <w:start w:val="1"/>
      <w:numFmt w:val="decimal"/>
      <w:lvlText w:val="%1.%2.%3.%4.%5.%6.%7.%8."/>
      <w:lvlJc w:val="left"/>
      <w:pPr>
        <w:tabs>
          <w:tab w:val="left" w:pos="2665"/>
        </w:tabs>
        <w:ind w:left="2665" w:hanging="1418"/>
      </w:pPr>
      <w:rPr>
        <w:rFonts w:hint="eastAsia" w:cs="Times New Roman"/>
      </w:rPr>
    </w:lvl>
    <w:lvl w:ilvl="8" w:tentative="0">
      <w:start w:val="1"/>
      <w:numFmt w:val="decimal"/>
      <w:lvlText w:val="%1.%2.%3.%4.%5.%6.%7.%8.%9."/>
      <w:lvlJc w:val="left"/>
      <w:pPr>
        <w:tabs>
          <w:tab w:val="left" w:pos="2806"/>
        </w:tabs>
        <w:ind w:left="2806" w:hanging="1559"/>
      </w:pPr>
      <w:rPr>
        <w:rFonts w:hint="eastAsia" w:cs="Times New Roman"/>
      </w:rPr>
    </w:lvl>
  </w:abstractNum>
  <w:abstractNum w:abstractNumId="7">
    <w:nsid w:val="646260FA"/>
    <w:multiLevelType w:val="multilevel"/>
    <w:tmpl w:val="646260FA"/>
    <w:lvl w:ilvl="0" w:tentative="0">
      <w:start w:val="1"/>
      <w:numFmt w:val="decimal"/>
      <w:pStyle w:val="111"/>
      <w:suff w:val="nothing"/>
      <w:lvlText w:val="表%1　"/>
      <w:lvlJc w:val="left"/>
      <w:pPr>
        <w:ind w:left="5775"/>
      </w:pPr>
      <w:rPr>
        <w:rFonts w:hint="eastAsia" w:ascii="黑体" w:hAnsi="Times New Roman" w:eastAsia="黑体" w:cs="Times New Roman"/>
        <w:b w:val="0"/>
        <w:i w:val="0"/>
        <w:sz w:val="21"/>
      </w:rPr>
    </w:lvl>
    <w:lvl w:ilvl="1" w:tentative="0">
      <w:start w:val="1"/>
      <w:numFmt w:val="decimal"/>
      <w:lvlText w:val="%1.%2"/>
      <w:lvlJc w:val="left"/>
      <w:pPr>
        <w:tabs>
          <w:tab w:val="left" w:pos="2882"/>
        </w:tabs>
        <w:ind w:left="2882" w:hanging="567"/>
      </w:pPr>
      <w:rPr>
        <w:rFonts w:hint="eastAsia" w:cs="Times New Roman"/>
      </w:rPr>
    </w:lvl>
    <w:lvl w:ilvl="2" w:tentative="0">
      <w:start w:val="1"/>
      <w:numFmt w:val="decimal"/>
      <w:lvlText w:val="%1.%2.%3"/>
      <w:lvlJc w:val="left"/>
      <w:pPr>
        <w:tabs>
          <w:tab w:val="left" w:pos="3308"/>
        </w:tabs>
        <w:ind w:left="3308" w:hanging="567"/>
      </w:pPr>
      <w:rPr>
        <w:rFonts w:hint="eastAsia" w:cs="Times New Roman"/>
      </w:rPr>
    </w:lvl>
    <w:lvl w:ilvl="3" w:tentative="0">
      <w:start w:val="1"/>
      <w:numFmt w:val="decimal"/>
      <w:lvlText w:val="%1.%2.%3.%4"/>
      <w:lvlJc w:val="left"/>
      <w:pPr>
        <w:tabs>
          <w:tab w:val="left" w:pos="3874"/>
        </w:tabs>
        <w:ind w:left="3874" w:hanging="708"/>
      </w:pPr>
      <w:rPr>
        <w:rFonts w:hint="eastAsia" w:cs="Times New Roman"/>
      </w:rPr>
    </w:lvl>
    <w:lvl w:ilvl="4" w:tentative="0">
      <w:start w:val="1"/>
      <w:numFmt w:val="decimal"/>
      <w:lvlText w:val="%1.%2.%3.%4.%5"/>
      <w:lvlJc w:val="left"/>
      <w:pPr>
        <w:tabs>
          <w:tab w:val="left" w:pos="4441"/>
        </w:tabs>
        <w:ind w:left="4441" w:hanging="850"/>
      </w:pPr>
      <w:rPr>
        <w:rFonts w:hint="eastAsia" w:cs="Times New Roman"/>
      </w:rPr>
    </w:lvl>
    <w:lvl w:ilvl="5" w:tentative="0">
      <w:start w:val="1"/>
      <w:numFmt w:val="decimal"/>
      <w:lvlText w:val="%1.%2.%3.%4.%5.%6"/>
      <w:lvlJc w:val="left"/>
      <w:pPr>
        <w:tabs>
          <w:tab w:val="left" w:pos="5150"/>
        </w:tabs>
        <w:ind w:left="5150" w:hanging="1134"/>
      </w:pPr>
      <w:rPr>
        <w:rFonts w:hint="eastAsia" w:cs="Times New Roman"/>
      </w:rPr>
    </w:lvl>
    <w:lvl w:ilvl="6" w:tentative="0">
      <w:start w:val="1"/>
      <w:numFmt w:val="decimal"/>
      <w:lvlText w:val="%1.%2.%3.%4.%5.%6.%7"/>
      <w:lvlJc w:val="left"/>
      <w:pPr>
        <w:tabs>
          <w:tab w:val="left" w:pos="5717"/>
        </w:tabs>
        <w:ind w:left="5717" w:hanging="1276"/>
      </w:pPr>
      <w:rPr>
        <w:rFonts w:hint="eastAsia" w:cs="Times New Roman"/>
      </w:rPr>
    </w:lvl>
    <w:lvl w:ilvl="7" w:tentative="0">
      <w:start w:val="1"/>
      <w:numFmt w:val="decimal"/>
      <w:lvlText w:val="%1.%2.%3.%4.%5.%6.%7.%8"/>
      <w:lvlJc w:val="left"/>
      <w:pPr>
        <w:tabs>
          <w:tab w:val="left" w:pos="6284"/>
        </w:tabs>
        <w:ind w:left="6284" w:hanging="1418"/>
      </w:pPr>
      <w:rPr>
        <w:rFonts w:hint="eastAsia" w:cs="Times New Roman"/>
      </w:rPr>
    </w:lvl>
    <w:lvl w:ilvl="8" w:tentative="0">
      <w:start w:val="1"/>
      <w:numFmt w:val="decimal"/>
      <w:lvlText w:val="%1.%2.%3.%4.%5.%6.%7.%8.%9"/>
      <w:lvlJc w:val="left"/>
      <w:pPr>
        <w:tabs>
          <w:tab w:val="left" w:pos="6992"/>
        </w:tabs>
        <w:ind w:left="6992" w:hanging="1700"/>
      </w:pPr>
      <w:rPr>
        <w:rFonts w:hint="eastAsia" w:cs="Times New Roman"/>
      </w:rPr>
    </w:lvl>
  </w:abstractNum>
  <w:abstractNum w:abstractNumId="8">
    <w:nsid w:val="680556DE"/>
    <w:multiLevelType w:val="multilevel"/>
    <w:tmpl w:val="680556DE"/>
    <w:lvl w:ilvl="0" w:tentative="0">
      <w:start w:val="8"/>
      <w:numFmt w:val="decimal"/>
      <w:lvlText w:val="%1"/>
      <w:lvlJc w:val="left"/>
      <w:pPr>
        <w:ind w:left="645" w:hanging="645"/>
      </w:pPr>
      <w:rPr>
        <w:rFonts w:hint="default" w:cs="Times New Roman"/>
      </w:rPr>
    </w:lvl>
    <w:lvl w:ilvl="1" w:tentative="0">
      <w:start w:val="1"/>
      <w:numFmt w:val="decimal"/>
      <w:pStyle w:val="215"/>
      <w:lvlText w:val="%1.%2"/>
      <w:lvlJc w:val="left"/>
      <w:pPr>
        <w:ind w:left="720" w:hanging="720"/>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1080" w:hanging="1080"/>
      </w:pPr>
      <w:rPr>
        <w:rFonts w:hint="default" w:cs="Times New Roman"/>
      </w:rPr>
    </w:lvl>
    <w:lvl w:ilvl="4" w:tentative="0">
      <w:start w:val="1"/>
      <w:numFmt w:val="decimal"/>
      <w:lvlText w:val="%1.%2.%3.%4.%5"/>
      <w:lvlJc w:val="left"/>
      <w:pPr>
        <w:ind w:left="1440" w:hanging="1440"/>
      </w:pPr>
      <w:rPr>
        <w:rFonts w:hint="default" w:cs="Times New Roman"/>
      </w:rPr>
    </w:lvl>
    <w:lvl w:ilvl="5" w:tentative="0">
      <w:start w:val="1"/>
      <w:numFmt w:val="decimal"/>
      <w:lvlText w:val="%1.%2.%3.%4.%5.%6"/>
      <w:lvlJc w:val="left"/>
      <w:pPr>
        <w:ind w:left="1440" w:hanging="1440"/>
      </w:pPr>
      <w:rPr>
        <w:rFonts w:hint="default" w:cs="Times New Roman"/>
      </w:rPr>
    </w:lvl>
    <w:lvl w:ilvl="6" w:tentative="0">
      <w:start w:val="1"/>
      <w:numFmt w:val="decimal"/>
      <w:lvlText w:val="%1.%2.%3.%4.%5.%6.%7"/>
      <w:lvlJc w:val="left"/>
      <w:pPr>
        <w:ind w:left="1800" w:hanging="1800"/>
      </w:pPr>
      <w:rPr>
        <w:rFonts w:hint="default" w:cs="Times New Roman"/>
      </w:rPr>
    </w:lvl>
    <w:lvl w:ilvl="7" w:tentative="0">
      <w:start w:val="1"/>
      <w:numFmt w:val="decimal"/>
      <w:lvlText w:val="%1.%2.%3.%4.%5.%6.%7.%8"/>
      <w:lvlJc w:val="left"/>
      <w:pPr>
        <w:ind w:left="1800" w:hanging="1800"/>
      </w:pPr>
      <w:rPr>
        <w:rFonts w:hint="default" w:cs="Times New Roman"/>
      </w:rPr>
    </w:lvl>
    <w:lvl w:ilvl="8" w:tentative="0">
      <w:start w:val="1"/>
      <w:numFmt w:val="decimal"/>
      <w:lvlText w:val="%1.%2.%3.%4.%5.%6.%7.%8.%9"/>
      <w:lvlJc w:val="left"/>
      <w:pPr>
        <w:ind w:left="2160" w:hanging="2160"/>
      </w:pPr>
      <w:rPr>
        <w:rFonts w:hint="default" w:cs="Times New Roman"/>
      </w:rPr>
    </w:lvl>
  </w:abstractNum>
  <w:abstractNum w:abstractNumId="9">
    <w:nsid w:val="6CEA2025"/>
    <w:multiLevelType w:val="multilevel"/>
    <w:tmpl w:val="6CEA2025"/>
    <w:lvl w:ilvl="0" w:tentative="0">
      <w:start w:val="1"/>
      <w:numFmt w:val="none"/>
      <w:pStyle w:val="64"/>
      <w:suff w:val="nothing"/>
      <w:lvlText w:val="%1"/>
      <w:lvlJc w:val="left"/>
      <w:rPr>
        <w:rFonts w:hint="default" w:ascii="Times New Roman" w:hAnsi="Times New Roman" w:cs="Times New Roman"/>
        <w:b/>
        <w:i w:val="0"/>
        <w:sz w:val="21"/>
      </w:rPr>
    </w:lvl>
    <w:lvl w:ilvl="1" w:tentative="0">
      <w:start w:val="1"/>
      <w:numFmt w:val="decimal"/>
      <w:pStyle w:val="67"/>
      <w:suff w:val="nothing"/>
      <w:lvlText w:val="%1%2　"/>
      <w:lvlJc w:val="left"/>
      <w:pPr>
        <w:ind w:left="1418"/>
      </w:pPr>
      <w:rPr>
        <w:rFonts w:hint="eastAsia" w:ascii="宋体" w:hAnsi="宋体" w:eastAsia="宋体" w:cs="Times New Roman"/>
        <w:b/>
        <w:i w:val="0"/>
        <w:sz w:val="32"/>
        <w:szCs w:val="32"/>
      </w:rPr>
    </w:lvl>
    <w:lvl w:ilvl="2" w:tentative="0">
      <w:start w:val="1"/>
      <w:numFmt w:val="decimal"/>
      <w:pStyle w:val="68"/>
      <w:suff w:val="nothing"/>
      <w:lvlText w:val="%1%2.%3　"/>
      <w:lvlJc w:val="left"/>
      <w:pPr>
        <w:ind w:left="142"/>
      </w:pPr>
      <w:rPr>
        <w:rFonts w:hint="eastAsia" w:ascii="宋体" w:hAnsi="宋体" w:eastAsia="宋体" w:cs="Times New Roman"/>
        <w:b/>
        <w:i w:val="0"/>
        <w:sz w:val="28"/>
        <w:szCs w:val="28"/>
      </w:rPr>
    </w:lvl>
    <w:lvl w:ilvl="3" w:tentative="0">
      <w:start w:val="1"/>
      <w:numFmt w:val="decimal"/>
      <w:suff w:val="nothing"/>
      <w:lvlText w:val="%1%2.%3.%4　"/>
      <w:lvlJc w:val="left"/>
      <w:pPr>
        <w:ind w:left="851"/>
      </w:pPr>
      <w:rPr>
        <w:rFonts w:hint="eastAsia" w:ascii="宋体" w:hAnsi="宋体" w:eastAsia="宋体" w:cs="Times New Roman"/>
        <w:b/>
        <w:i w:val="0"/>
        <w:sz w:val="24"/>
        <w:szCs w:val="24"/>
      </w:rPr>
    </w:lvl>
    <w:lvl w:ilvl="4" w:tentative="0">
      <w:start w:val="1"/>
      <w:numFmt w:val="decimal"/>
      <w:suff w:val="nothing"/>
      <w:lvlText w:val="%1%2.%3.%4.%5　"/>
      <w:lvlJc w:val="left"/>
      <w:pPr>
        <w:ind w:left="1080"/>
      </w:pPr>
      <w:rPr>
        <w:rFonts w:hint="eastAsia" w:ascii="黑体" w:hAnsi="Times New Roman" w:eastAsia="黑体" w:cs="Times New Roman"/>
        <w:b w:val="0"/>
        <w:i w:val="0"/>
        <w:sz w:val="21"/>
      </w:rPr>
    </w:lvl>
    <w:lvl w:ilvl="5" w:tentative="0">
      <w:start w:val="1"/>
      <w:numFmt w:val="decimal"/>
      <w:suff w:val="nothing"/>
      <w:lvlText w:val="%1%2.%3.%4.%5.%6　"/>
      <w:lvlJc w:val="left"/>
      <w:rPr>
        <w:rFonts w:hint="eastAsia" w:ascii="黑体" w:hAnsi="Times New Roman" w:eastAsia="黑体" w:cs="Times New Roman"/>
        <w:b w:val="0"/>
        <w:i w:val="0"/>
        <w:sz w:val="21"/>
      </w:rPr>
    </w:lvl>
    <w:lvl w:ilvl="6" w:tentative="0">
      <w:start w:val="1"/>
      <w:numFmt w:val="decimal"/>
      <w:suff w:val="nothing"/>
      <w:lvlText w:val="%1%2.%3.%4.%5.%6.%7　"/>
      <w:lvlJc w:val="left"/>
      <w:rPr>
        <w:rFonts w:hint="eastAsia" w:ascii="黑体" w:hAnsi="Times New Roman" w:eastAsia="黑体" w:cs="Times New Roman"/>
        <w:b w:val="0"/>
        <w:i w:val="0"/>
        <w:sz w:val="21"/>
      </w:rPr>
    </w:lvl>
    <w:lvl w:ilvl="7" w:tentative="0">
      <w:start w:val="1"/>
      <w:numFmt w:val="decimal"/>
      <w:lvlText w:val="%1.%2.%3.%4.%5.%6.%7.%8"/>
      <w:lvlJc w:val="left"/>
      <w:pPr>
        <w:tabs>
          <w:tab w:val="left" w:pos="4351"/>
        </w:tabs>
        <w:ind w:left="3969" w:hanging="1418"/>
      </w:pPr>
      <w:rPr>
        <w:rFonts w:hint="eastAsia" w:cs="Times New Roman"/>
      </w:rPr>
    </w:lvl>
    <w:lvl w:ilvl="8" w:tentative="0">
      <w:start w:val="1"/>
      <w:numFmt w:val="decimal"/>
      <w:lvlText w:val="%1.%2.%3.%4.%5.%6.%7.%8.%9"/>
      <w:lvlJc w:val="left"/>
      <w:pPr>
        <w:tabs>
          <w:tab w:val="left" w:pos="4777"/>
        </w:tabs>
        <w:ind w:left="4677" w:hanging="1700"/>
      </w:pPr>
      <w:rPr>
        <w:rFonts w:hint="eastAsia" w:cs="Times New Roman"/>
      </w:rPr>
    </w:lvl>
  </w:abstractNum>
  <w:abstractNum w:abstractNumId="10">
    <w:nsid w:val="6DBF04F4"/>
    <w:multiLevelType w:val="multilevel"/>
    <w:tmpl w:val="6DBF04F4"/>
    <w:lvl w:ilvl="0" w:tentative="0">
      <w:start w:val="1"/>
      <w:numFmt w:val="none"/>
      <w:pStyle w:val="113"/>
      <w:lvlText w:val="%1注："/>
      <w:lvlJc w:val="left"/>
      <w:pPr>
        <w:tabs>
          <w:tab w:val="left" w:pos="1140"/>
        </w:tabs>
        <w:ind w:left="840" w:hanging="420"/>
      </w:pPr>
      <w:rPr>
        <w:rFonts w:hint="eastAsia" w:ascii="宋体" w:hAnsi="Times New Roman" w:eastAsia="宋体" w:cs="Times New Roman"/>
        <w:b w:val="0"/>
        <w:i w:val="0"/>
        <w:sz w:val="18"/>
      </w:rPr>
    </w:lvl>
    <w:lvl w:ilvl="1" w:tentative="0">
      <w:start w:val="1"/>
      <w:numFmt w:val="lowerLetter"/>
      <w:lvlText w:val="%2)"/>
      <w:lvlJc w:val="left"/>
      <w:pPr>
        <w:tabs>
          <w:tab w:val="left" w:pos="840"/>
        </w:tabs>
        <w:ind w:left="840" w:hanging="420"/>
      </w:pPr>
      <w:rPr>
        <w:rFonts w:hint="default"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11">
    <w:nsid w:val="76933334"/>
    <w:multiLevelType w:val="multilevel"/>
    <w:tmpl w:val="76933334"/>
    <w:lvl w:ilvl="0" w:tentative="0">
      <w:start w:val="1"/>
      <w:numFmt w:val="none"/>
      <w:pStyle w:val="91"/>
      <w:lvlText w:val="%1——"/>
      <w:lvlJc w:val="left"/>
      <w:pPr>
        <w:tabs>
          <w:tab w:val="left" w:pos="1140"/>
        </w:tabs>
        <w:ind w:left="840" w:hanging="420"/>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num w:numId="1">
    <w:abstractNumId w:val="9"/>
  </w:num>
  <w:num w:numId="2">
    <w:abstractNumId w:val="0"/>
  </w:num>
  <w:num w:numId="3">
    <w:abstractNumId w:val="11"/>
  </w:num>
  <w:num w:numId="4">
    <w:abstractNumId w:val="3"/>
  </w:num>
  <w:num w:numId="5">
    <w:abstractNumId w:val="1"/>
  </w:num>
  <w:num w:numId="6">
    <w:abstractNumId w:val="7"/>
  </w:num>
  <w:num w:numId="7">
    <w:abstractNumId w:val="5"/>
  </w:num>
  <w:num w:numId="8">
    <w:abstractNumId w:val="10"/>
  </w:num>
  <w:num w:numId="9">
    <w:abstractNumId w:val="4"/>
  </w:num>
  <w:num w:numId="10">
    <w:abstractNumId w:val="2"/>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371"/>
    <w:rsid w:val="000173BE"/>
    <w:rsid w:val="00040435"/>
    <w:rsid w:val="00047497"/>
    <w:rsid w:val="00052901"/>
    <w:rsid w:val="00073257"/>
    <w:rsid w:val="0008727F"/>
    <w:rsid w:val="000A065F"/>
    <w:rsid w:val="000A7DA5"/>
    <w:rsid w:val="000B604E"/>
    <w:rsid w:val="000C1288"/>
    <w:rsid w:val="000C47CC"/>
    <w:rsid w:val="000E1D39"/>
    <w:rsid w:val="000E7E6F"/>
    <w:rsid w:val="00104449"/>
    <w:rsid w:val="00135CA0"/>
    <w:rsid w:val="001633A1"/>
    <w:rsid w:val="0017327E"/>
    <w:rsid w:val="00176909"/>
    <w:rsid w:val="00182C58"/>
    <w:rsid w:val="00191B61"/>
    <w:rsid w:val="00192193"/>
    <w:rsid w:val="00196823"/>
    <w:rsid w:val="001A1F88"/>
    <w:rsid w:val="001B593A"/>
    <w:rsid w:val="001C6030"/>
    <w:rsid w:val="001D30C3"/>
    <w:rsid w:val="001D49F3"/>
    <w:rsid w:val="001D6AE9"/>
    <w:rsid w:val="00200A9E"/>
    <w:rsid w:val="00204EB2"/>
    <w:rsid w:val="002162C7"/>
    <w:rsid w:val="002169EC"/>
    <w:rsid w:val="0023370A"/>
    <w:rsid w:val="00243F6E"/>
    <w:rsid w:val="00253C2C"/>
    <w:rsid w:val="002810A6"/>
    <w:rsid w:val="002A23E3"/>
    <w:rsid w:val="002B4716"/>
    <w:rsid w:val="002D4FB3"/>
    <w:rsid w:val="003007C5"/>
    <w:rsid w:val="00304E77"/>
    <w:rsid w:val="00306831"/>
    <w:rsid w:val="00342F57"/>
    <w:rsid w:val="0034579E"/>
    <w:rsid w:val="0036791F"/>
    <w:rsid w:val="003812FE"/>
    <w:rsid w:val="0038242A"/>
    <w:rsid w:val="0038297B"/>
    <w:rsid w:val="00385B4F"/>
    <w:rsid w:val="003A27CF"/>
    <w:rsid w:val="003E02F6"/>
    <w:rsid w:val="003E7242"/>
    <w:rsid w:val="00403002"/>
    <w:rsid w:val="00403A9A"/>
    <w:rsid w:val="00416579"/>
    <w:rsid w:val="0042010D"/>
    <w:rsid w:val="00445AB2"/>
    <w:rsid w:val="00476A65"/>
    <w:rsid w:val="00483814"/>
    <w:rsid w:val="0048495D"/>
    <w:rsid w:val="004855DD"/>
    <w:rsid w:val="004856EC"/>
    <w:rsid w:val="00493963"/>
    <w:rsid w:val="004A3A3C"/>
    <w:rsid w:val="004B25C1"/>
    <w:rsid w:val="004C0404"/>
    <w:rsid w:val="004F2763"/>
    <w:rsid w:val="004F301B"/>
    <w:rsid w:val="004F7B1B"/>
    <w:rsid w:val="00502798"/>
    <w:rsid w:val="00503610"/>
    <w:rsid w:val="0050525F"/>
    <w:rsid w:val="00527758"/>
    <w:rsid w:val="005334B9"/>
    <w:rsid w:val="00547B15"/>
    <w:rsid w:val="005A2B48"/>
    <w:rsid w:val="005A3A5F"/>
    <w:rsid w:val="005C1E86"/>
    <w:rsid w:val="005C39FD"/>
    <w:rsid w:val="005D105C"/>
    <w:rsid w:val="005D38F6"/>
    <w:rsid w:val="005D43DE"/>
    <w:rsid w:val="005F2422"/>
    <w:rsid w:val="00604888"/>
    <w:rsid w:val="00654184"/>
    <w:rsid w:val="00655EFF"/>
    <w:rsid w:val="0068032F"/>
    <w:rsid w:val="0068049B"/>
    <w:rsid w:val="00687757"/>
    <w:rsid w:val="006923BE"/>
    <w:rsid w:val="006A222F"/>
    <w:rsid w:val="006A5DDA"/>
    <w:rsid w:val="006B197D"/>
    <w:rsid w:val="006F07E7"/>
    <w:rsid w:val="006F72FC"/>
    <w:rsid w:val="0070781D"/>
    <w:rsid w:val="00710C23"/>
    <w:rsid w:val="007172E3"/>
    <w:rsid w:val="00752FC7"/>
    <w:rsid w:val="00771509"/>
    <w:rsid w:val="007A5FB2"/>
    <w:rsid w:val="007C6138"/>
    <w:rsid w:val="007E317E"/>
    <w:rsid w:val="007F074C"/>
    <w:rsid w:val="007F226B"/>
    <w:rsid w:val="008047CC"/>
    <w:rsid w:val="0082000A"/>
    <w:rsid w:val="00826532"/>
    <w:rsid w:val="00835E68"/>
    <w:rsid w:val="00836A88"/>
    <w:rsid w:val="0089565B"/>
    <w:rsid w:val="008B284D"/>
    <w:rsid w:val="008B381B"/>
    <w:rsid w:val="008C5E76"/>
    <w:rsid w:val="008E35F0"/>
    <w:rsid w:val="00911D1B"/>
    <w:rsid w:val="00914178"/>
    <w:rsid w:val="009156EC"/>
    <w:rsid w:val="00920EC0"/>
    <w:rsid w:val="009312ED"/>
    <w:rsid w:val="009420AC"/>
    <w:rsid w:val="00955948"/>
    <w:rsid w:val="009611B7"/>
    <w:rsid w:val="00963345"/>
    <w:rsid w:val="00964E93"/>
    <w:rsid w:val="009A45AC"/>
    <w:rsid w:val="009B1768"/>
    <w:rsid w:val="009B3896"/>
    <w:rsid w:val="009E4CD4"/>
    <w:rsid w:val="00A23743"/>
    <w:rsid w:val="00A35829"/>
    <w:rsid w:val="00A45637"/>
    <w:rsid w:val="00A5134E"/>
    <w:rsid w:val="00A73F4A"/>
    <w:rsid w:val="00A93371"/>
    <w:rsid w:val="00AB2AAF"/>
    <w:rsid w:val="00AB3F6F"/>
    <w:rsid w:val="00AD70FE"/>
    <w:rsid w:val="00AE4AF5"/>
    <w:rsid w:val="00B00CE0"/>
    <w:rsid w:val="00B03B2E"/>
    <w:rsid w:val="00B077E4"/>
    <w:rsid w:val="00B07E46"/>
    <w:rsid w:val="00B11B33"/>
    <w:rsid w:val="00B85549"/>
    <w:rsid w:val="00B930F8"/>
    <w:rsid w:val="00BC29AB"/>
    <w:rsid w:val="00BC7646"/>
    <w:rsid w:val="00BF0DAC"/>
    <w:rsid w:val="00BF6D6F"/>
    <w:rsid w:val="00C014E1"/>
    <w:rsid w:val="00C02D57"/>
    <w:rsid w:val="00C2245D"/>
    <w:rsid w:val="00C33E07"/>
    <w:rsid w:val="00C3767D"/>
    <w:rsid w:val="00C446F5"/>
    <w:rsid w:val="00C75D16"/>
    <w:rsid w:val="00C860D7"/>
    <w:rsid w:val="00CA2BA4"/>
    <w:rsid w:val="00CA7AD2"/>
    <w:rsid w:val="00CB535D"/>
    <w:rsid w:val="00CE24CC"/>
    <w:rsid w:val="00CF12CB"/>
    <w:rsid w:val="00CF6BF9"/>
    <w:rsid w:val="00D02873"/>
    <w:rsid w:val="00D15DE5"/>
    <w:rsid w:val="00D164AF"/>
    <w:rsid w:val="00D27C7E"/>
    <w:rsid w:val="00D51D04"/>
    <w:rsid w:val="00D60F32"/>
    <w:rsid w:val="00D60F50"/>
    <w:rsid w:val="00D75D83"/>
    <w:rsid w:val="00D96662"/>
    <w:rsid w:val="00DB5ACD"/>
    <w:rsid w:val="00DE2BA5"/>
    <w:rsid w:val="00DF24A0"/>
    <w:rsid w:val="00DF3C3D"/>
    <w:rsid w:val="00E12577"/>
    <w:rsid w:val="00E9198C"/>
    <w:rsid w:val="00EE2F7E"/>
    <w:rsid w:val="00EF73C1"/>
    <w:rsid w:val="00F04757"/>
    <w:rsid w:val="00F0589D"/>
    <w:rsid w:val="00F1203B"/>
    <w:rsid w:val="00F46C2F"/>
    <w:rsid w:val="00F5005F"/>
    <w:rsid w:val="00F5053C"/>
    <w:rsid w:val="00F77C3F"/>
    <w:rsid w:val="00FA064B"/>
    <w:rsid w:val="00FA43B3"/>
    <w:rsid w:val="00FC3618"/>
    <w:rsid w:val="00FC53DC"/>
    <w:rsid w:val="00FF3BE0"/>
    <w:rsid w:val="F6B71F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kern w:val="2"/>
      <w:sz w:val="21"/>
      <w:szCs w:val="24"/>
      <w:lang w:val="en-US" w:eastAsia="zh-CN" w:bidi="ar-SA"/>
    </w:rPr>
  </w:style>
  <w:style w:type="paragraph" w:styleId="2">
    <w:name w:val="heading 1"/>
    <w:basedOn w:val="1"/>
    <w:next w:val="1"/>
    <w:link w:val="242"/>
    <w:uiPriority w:val="0"/>
    <w:pPr>
      <w:keepNext/>
      <w:keepLines/>
      <w:spacing w:before="340" w:after="330" w:line="578" w:lineRule="auto"/>
      <w:outlineLvl w:val="0"/>
    </w:pPr>
    <w:rPr>
      <w:b/>
      <w:bCs/>
      <w:kern w:val="44"/>
      <w:sz w:val="44"/>
      <w:szCs w:val="44"/>
    </w:rPr>
  </w:style>
  <w:style w:type="paragraph" w:styleId="3">
    <w:name w:val="heading 2"/>
    <w:basedOn w:val="1"/>
    <w:next w:val="1"/>
    <w:link w:val="243"/>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iPriority w:val="0"/>
    <w:pPr>
      <w:keepNext/>
      <w:keepLines/>
      <w:spacing w:before="260" w:after="260" w:line="416" w:lineRule="auto"/>
      <w:outlineLvl w:val="2"/>
    </w:pPr>
    <w:rPr>
      <w:b/>
      <w:bCs/>
      <w:sz w:val="32"/>
      <w:szCs w:val="32"/>
    </w:rPr>
  </w:style>
  <w:style w:type="paragraph" w:styleId="5">
    <w:name w:val="heading 4"/>
    <w:basedOn w:val="1"/>
    <w:next w:val="1"/>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uiPriority w:val="0"/>
    <w:pPr>
      <w:keepNext/>
      <w:keepLines/>
      <w:spacing w:before="280" w:after="290" w:line="376" w:lineRule="auto"/>
      <w:outlineLvl w:val="4"/>
    </w:pPr>
    <w:rPr>
      <w:b/>
      <w:bCs/>
      <w:sz w:val="28"/>
      <w:szCs w:val="28"/>
    </w:rPr>
  </w:style>
  <w:style w:type="paragraph" w:styleId="7">
    <w:name w:val="heading 6"/>
    <w:basedOn w:val="1"/>
    <w:next w:val="1"/>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uiPriority w:val="0"/>
    <w:pPr>
      <w:keepNext/>
      <w:keepLines/>
      <w:spacing w:before="240" w:after="64" w:line="320" w:lineRule="auto"/>
      <w:outlineLvl w:val="6"/>
    </w:pPr>
    <w:rPr>
      <w:b/>
      <w:bCs/>
      <w:sz w:val="24"/>
    </w:rPr>
  </w:style>
  <w:style w:type="paragraph" w:styleId="9">
    <w:name w:val="heading 8"/>
    <w:basedOn w:val="1"/>
    <w:next w:val="1"/>
    <w:uiPriority w:val="0"/>
    <w:pPr>
      <w:keepNext/>
      <w:keepLines/>
      <w:spacing w:before="240" w:after="64" w:line="320" w:lineRule="auto"/>
      <w:outlineLvl w:val="7"/>
    </w:pPr>
    <w:rPr>
      <w:rFonts w:ascii="Arial" w:hAnsi="Arial" w:eastAsia="黑体"/>
      <w:sz w:val="24"/>
    </w:rPr>
  </w:style>
  <w:style w:type="paragraph" w:styleId="10">
    <w:name w:val="heading 9"/>
    <w:basedOn w:val="1"/>
    <w:next w:val="1"/>
    <w:uiPriority w:val="0"/>
    <w:pPr>
      <w:keepNext/>
      <w:keepLines/>
      <w:spacing w:before="240" w:after="64" w:line="320" w:lineRule="auto"/>
      <w:outlineLvl w:val="8"/>
    </w:pPr>
    <w:rPr>
      <w:rFonts w:ascii="Arial" w:hAnsi="Arial" w:eastAsia="黑体"/>
      <w:szCs w:val="21"/>
    </w:rPr>
  </w:style>
  <w:style w:type="character" w:default="1" w:styleId="40">
    <w:name w:val="Default Paragraph Font"/>
    <w:semiHidden/>
    <w:uiPriority w:val="0"/>
  </w:style>
  <w:style w:type="table" w:default="1" w:styleId="54">
    <w:name w:val="Normal Table"/>
    <w:semiHidden/>
    <w:uiPriority w:val="0"/>
    <w:tblPr>
      <w:tblStyle w:val="54"/>
      <w:tblCellMar>
        <w:top w:w="0" w:type="dxa"/>
        <w:left w:w="108" w:type="dxa"/>
        <w:bottom w:w="0" w:type="dxa"/>
        <w:right w:w="108" w:type="dxa"/>
      </w:tblCellMar>
    </w:tblPr>
    <w:trPr>
      <w:wBefore w:w="0" w:type="dxa"/>
    </w:trPr>
  </w:style>
  <w:style w:type="paragraph" w:styleId="11">
    <w:name w:val="annotation subject"/>
    <w:basedOn w:val="12"/>
    <w:next w:val="12"/>
    <w:semiHidden/>
    <w:uiPriority w:val="0"/>
    <w:rPr>
      <w:b/>
      <w:bCs/>
    </w:rPr>
  </w:style>
  <w:style w:type="paragraph" w:styleId="12">
    <w:name w:val="annotation text"/>
    <w:basedOn w:val="1"/>
    <w:link w:val="241"/>
    <w:semiHidden/>
    <w:uiPriority w:val="0"/>
    <w:pPr>
      <w:jc w:val="left"/>
    </w:pPr>
  </w:style>
  <w:style w:type="paragraph" w:styleId="13">
    <w:name w:val="toc 7"/>
    <w:basedOn w:val="14"/>
    <w:next w:val="1"/>
    <w:semiHidden/>
    <w:uiPriority w:val="0"/>
    <w:pPr>
      <w:tabs>
        <w:tab w:val="right" w:leader="dot" w:pos="8812"/>
      </w:tabs>
      <w:ind w:left="1260"/>
    </w:pPr>
  </w:style>
  <w:style w:type="paragraph" w:styleId="14">
    <w:name w:val="toc 6"/>
    <w:basedOn w:val="15"/>
    <w:next w:val="1"/>
    <w:semiHidden/>
    <w:uiPriority w:val="0"/>
    <w:pPr>
      <w:tabs>
        <w:tab w:val="right" w:leader="dot" w:pos="8812"/>
      </w:tabs>
      <w:ind w:left="1050"/>
    </w:pPr>
  </w:style>
  <w:style w:type="paragraph" w:styleId="15">
    <w:name w:val="toc 5"/>
    <w:basedOn w:val="16"/>
    <w:next w:val="1"/>
    <w:semiHidden/>
    <w:uiPriority w:val="0"/>
    <w:pPr>
      <w:tabs>
        <w:tab w:val="right" w:leader="dot" w:pos="8812"/>
      </w:tabs>
      <w:ind w:left="840"/>
    </w:pPr>
  </w:style>
  <w:style w:type="paragraph" w:styleId="16">
    <w:name w:val="toc 4"/>
    <w:basedOn w:val="17"/>
    <w:next w:val="1"/>
    <w:semiHidden/>
    <w:uiPriority w:val="0"/>
    <w:pPr>
      <w:tabs>
        <w:tab w:val="right" w:leader="dot" w:pos="8812"/>
      </w:tabs>
      <w:ind w:left="630"/>
    </w:pPr>
    <w:rPr>
      <w:i w:val="0"/>
      <w:iCs w:val="0"/>
      <w:sz w:val="18"/>
      <w:szCs w:val="18"/>
    </w:rPr>
  </w:style>
  <w:style w:type="paragraph" w:styleId="17">
    <w:name w:val="toc 3"/>
    <w:basedOn w:val="18"/>
    <w:next w:val="1"/>
    <w:uiPriority w:val="0"/>
    <w:pPr>
      <w:tabs>
        <w:tab w:val="right" w:leader="dot" w:pos="8812"/>
      </w:tabs>
      <w:ind w:left="420"/>
    </w:pPr>
    <w:rPr>
      <w:i/>
      <w:iCs/>
      <w:smallCaps w:val="0"/>
    </w:rPr>
  </w:style>
  <w:style w:type="paragraph" w:styleId="18">
    <w:name w:val="toc 2"/>
    <w:basedOn w:val="19"/>
    <w:next w:val="1"/>
    <w:uiPriority w:val="0"/>
    <w:pPr>
      <w:tabs>
        <w:tab w:val="right" w:leader="dot" w:pos="8812"/>
      </w:tabs>
      <w:spacing w:line="560" w:lineRule="exact"/>
      <w:ind w:left="210"/>
    </w:pPr>
    <w:rPr>
      <w:b w:val="0"/>
      <w:bCs w:val="0"/>
      <w:caps w:val="0"/>
      <w:smallCaps/>
    </w:rPr>
  </w:style>
  <w:style w:type="paragraph" w:styleId="19">
    <w:name w:val="toc 1"/>
    <w:basedOn w:val="1"/>
    <w:next w:val="1"/>
    <w:uiPriority w:val="0"/>
    <w:pPr>
      <w:tabs>
        <w:tab w:val="right" w:leader="dot" w:pos="8812"/>
      </w:tabs>
      <w:jc w:val="left"/>
    </w:pPr>
    <w:rPr>
      <w:rFonts w:ascii="仿宋_GB2312" w:hAnsi="Calibri" w:eastAsia="仿宋_GB2312" w:cs="Calibri"/>
      <w:b/>
      <w:bCs/>
      <w:caps/>
      <w:sz w:val="28"/>
      <w:szCs w:val="28"/>
    </w:rPr>
  </w:style>
  <w:style w:type="paragraph" w:styleId="20">
    <w:name w:val="Body Text First Indent"/>
    <w:basedOn w:val="1"/>
    <w:uiPriority w:val="0"/>
    <w:pPr>
      <w:autoSpaceDE w:val="0"/>
      <w:autoSpaceDN w:val="0"/>
      <w:adjustRightInd w:val="0"/>
      <w:spacing w:line="360" w:lineRule="auto"/>
      <w:ind w:left="544" w:firstLine="567"/>
    </w:pPr>
    <w:rPr>
      <w:kern w:val="0"/>
      <w:sz w:val="24"/>
      <w:szCs w:val="20"/>
    </w:rPr>
  </w:style>
  <w:style w:type="paragraph" w:styleId="21">
    <w:name w:val="Normal Indent"/>
    <w:basedOn w:val="1"/>
    <w:uiPriority w:val="0"/>
    <w:pPr>
      <w:widowControl/>
      <w:tabs>
        <w:tab w:val="left" w:pos="794"/>
        <w:tab w:val="left" w:pos="1191"/>
        <w:tab w:val="left" w:pos="1588"/>
        <w:tab w:val="left" w:pos="1985"/>
      </w:tabs>
      <w:overflowPunct w:val="0"/>
      <w:autoSpaceDE w:val="0"/>
      <w:autoSpaceDN w:val="0"/>
      <w:adjustRightInd w:val="0"/>
      <w:spacing w:before="120"/>
      <w:ind w:left="794"/>
      <w:jc w:val="left"/>
      <w:textAlignment w:val="baseline"/>
    </w:pPr>
    <w:rPr>
      <w:kern w:val="0"/>
      <w:sz w:val="24"/>
      <w:szCs w:val="20"/>
      <w:lang w:val="en-GB"/>
    </w:rPr>
  </w:style>
  <w:style w:type="paragraph" w:styleId="22">
    <w:name w:val="caption"/>
    <w:basedOn w:val="1"/>
    <w:next w:val="1"/>
    <w:uiPriority w:val="0"/>
    <w:rPr>
      <w:rFonts w:ascii="Arial" w:hAnsi="Arial" w:eastAsia="黑体" w:cs="Arial"/>
      <w:sz w:val="20"/>
      <w:szCs w:val="20"/>
    </w:rPr>
  </w:style>
  <w:style w:type="paragraph" w:styleId="23">
    <w:name w:val="Document Map"/>
    <w:basedOn w:val="1"/>
    <w:semiHidden/>
    <w:uiPriority w:val="0"/>
    <w:pPr>
      <w:shd w:val="clear" w:color="auto" w:fill="000080"/>
    </w:pPr>
  </w:style>
  <w:style w:type="paragraph" w:styleId="24">
    <w:name w:val="Body Text 3"/>
    <w:basedOn w:val="1"/>
    <w:uiPriority w:val="0"/>
    <w:pPr>
      <w:spacing w:after="120"/>
    </w:pPr>
    <w:rPr>
      <w:sz w:val="16"/>
      <w:szCs w:val="16"/>
    </w:rPr>
  </w:style>
  <w:style w:type="paragraph" w:styleId="25">
    <w:name w:val="Body Text"/>
    <w:basedOn w:val="1"/>
    <w:uiPriority w:val="0"/>
    <w:pPr>
      <w:spacing w:after="120"/>
    </w:pPr>
  </w:style>
  <w:style w:type="paragraph" w:styleId="26">
    <w:name w:val="Body Text Indent"/>
    <w:basedOn w:val="1"/>
    <w:uiPriority w:val="0"/>
    <w:pPr>
      <w:spacing w:after="120"/>
      <w:ind w:left="420"/>
    </w:pPr>
  </w:style>
  <w:style w:type="paragraph" w:styleId="27">
    <w:name w:val="HTML Address"/>
    <w:basedOn w:val="1"/>
    <w:uiPriority w:val="0"/>
    <w:rPr>
      <w:i/>
      <w:iCs/>
    </w:rPr>
  </w:style>
  <w:style w:type="paragraph" w:styleId="28">
    <w:name w:val="toc 8"/>
    <w:basedOn w:val="13"/>
    <w:next w:val="1"/>
    <w:semiHidden/>
    <w:uiPriority w:val="0"/>
    <w:pPr>
      <w:ind w:left="1470"/>
    </w:pPr>
  </w:style>
  <w:style w:type="paragraph" w:styleId="29">
    <w:name w:val="Date"/>
    <w:basedOn w:val="1"/>
    <w:next w:val="1"/>
    <w:uiPriority w:val="0"/>
    <w:rPr>
      <w:szCs w:val="20"/>
    </w:rPr>
  </w:style>
  <w:style w:type="paragraph" w:styleId="30">
    <w:name w:val="Balloon Text"/>
    <w:basedOn w:val="1"/>
    <w:semiHidden/>
    <w:uiPriority w:val="0"/>
    <w:rPr>
      <w:sz w:val="18"/>
      <w:szCs w:val="18"/>
    </w:rPr>
  </w:style>
  <w:style w:type="paragraph" w:styleId="31">
    <w:name w:val="footer"/>
    <w:basedOn w:val="1"/>
    <w:link w:val="239"/>
    <w:uiPriority w:val="0"/>
    <w:pPr>
      <w:tabs>
        <w:tab w:val="center" w:pos="4153"/>
        <w:tab w:val="right" w:pos="8306"/>
      </w:tabs>
      <w:snapToGrid w:val="0"/>
      <w:ind w:right="210" w:rightChars="100"/>
      <w:jc w:val="right"/>
    </w:pPr>
    <w:rPr>
      <w:sz w:val="18"/>
      <w:szCs w:val="18"/>
    </w:rPr>
  </w:style>
  <w:style w:type="paragraph" w:styleId="32">
    <w:name w:val="Body Text First Indent 2"/>
    <w:basedOn w:val="26"/>
    <w:uiPriority w:val="0"/>
    <w:pPr>
      <w:ind w:left="200" w:leftChars="200" w:firstLine="420" w:firstLineChars="200"/>
    </w:pPr>
  </w:style>
  <w:style w:type="paragraph" w:styleId="33">
    <w:name w:val="header"/>
    <w:basedOn w:val="1"/>
    <w:link w:val="238"/>
    <w:uiPriority w:val="0"/>
    <w:pPr>
      <w:pBdr>
        <w:bottom w:val="single" w:color="auto" w:sz="6" w:space="1"/>
      </w:pBdr>
      <w:tabs>
        <w:tab w:val="center" w:pos="4153"/>
        <w:tab w:val="right" w:pos="8306"/>
      </w:tabs>
      <w:snapToGrid w:val="0"/>
      <w:jc w:val="center"/>
    </w:pPr>
    <w:rPr>
      <w:sz w:val="18"/>
      <w:szCs w:val="18"/>
    </w:rPr>
  </w:style>
  <w:style w:type="paragraph" w:styleId="34">
    <w:name w:val="footnote text"/>
    <w:basedOn w:val="1"/>
    <w:semiHidden/>
    <w:uiPriority w:val="0"/>
    <w:pPr>
      <w:snapToGrid w:val="0"/>
      <w:jc w:val="left"/>
    </w:pPr>
    <w:rPr>
      <w:sz w:val="18"/>
      <w:szCs w:val="18"/>
    </w:rPr>
  </w:style>
  <w:style w:type="paragraph" w:styleId="35">
    <w:name w:val="toc 9"/>
    <w:basedOn w:val="28"/>
    <w:next w:val="1"/>
    <w:semiHidden/>
    <w:uiPriority w:val="0"/>
    <w:pPr>
      <w:ind w:left="1680"/>
    </w:pPr>
  </w:style>
  <w:style w:type="paragraph" w:styleId="36">
    <w:name w:val="HTML Preformatted"/>
    <w:basedOn w:val="1"/>
    <w:uiPriority w:val="0"/>
    <w:rPr>
      <w:rFonts w:ascii="Courier New" w:hAnsi="Courier New" w:cs="Courier New"/>
      <w:sz w:val="20"/>
      <w:szCs w:val="20"/>
    </w:rPr>
  </w:style>
  <w:style w:type="paragraph" w:styleId="37">
    <w:name w:val="Normal (Web)"/>
    <w:basedOn w:val="1"/>
    <w:uiPriority w:val="0"/>
    <w:pPr>
      <w:widowControl/>
      <w:spacing w:before="100" w:beforeAutospacing="1" w:after="100" w:afterAutospacing="1"/>
      <w:jc w:val="left"/>
    </w:pPr>
    <w:rPr>
      <w:rFonts w:ascii="宋体" w:hAnsi="宋体" w:cs="宋体"/>
      <w:kern w:val="0"/>
      <w:sz w:val="24"/>
    </w:rPr>
  </w:style>
  <w:style w:type="paragraph" w:styleId="38">
    <w:name w:val="index 1"/>
    <w:basedOn w:val="1"/>
    <w:next w:val="1"/>
    <w:semiHidden/>
    <w:uiPriority w:val="0"/>
    <w:pPr>
      <w:widowControl/>
      <w:overflowPunct w:val="0"/>
      <w:autoSpaceDE w:val="0"/>
      <w:autoSpaceDN w:val="0"/>
      <w:adjustRightInd w:val="0"/>
      <w:ind w:left="200" w:hanging="200"/>
      <w:jc w:val="left"/>
      <w:textAlignment w:val="baseline"/>
    </w:pPr>
    <w:rPr>
      <w:kern w:val="0"/>
      <w:sz w:val="18"/>
      <w:szCs w:val="20"/>
      <w:lang w:val="en-GB"/>
    </w:rPr>
  </w:style>
  <w:style w:type="paragraph" w:styleId="39">
    <w:name w:val="Title"/>
    <w:basedOn w:val="1"/>
    <w:uiPriority w:val="0"/>
    <w:pPr>
      <w:spacing w:before="240" w:after="60"/>
      <w:jc w:val="center"/>
      <w:outlineLvl w:val="0"/>
    </w:pPr>
    <w:rPr>
      <w:rFonts w:ascii="Arial" w:hAnsi="Arial" w:cs="Arial"/>
      <w:b/>
      <w:bCs/>
      <w:sz w:val="32"/>
      <w:szCs w:val="32"/>
    </w:rPr>
  </w:style>
  <w:style w:type="character" w:styleId="41">
    <w:name w:val="page number"/>
    <w:basedOn w:val="40"/>
    <w:uiPriority w:val="0"/>
    <w:rPr>
      <w:rFonts w:ascii="Times New Roman" w:hAnsi="Times New Roman" w:eastAsia="宋体" w:cs="Times New Roman"/>
      <w:sz w:val="18"/>
    </w:rPr>
  </w:style>
  <w:style w:type="character" w:styleId="42">
    <w:name w:val="Emphasis"/>
    <w:basedOn w:val="40"/>
    <w:uiPriority w:val="0"/>
    <w:rPr>
      <w:rFonts w:cs="Times New Roman"/>
      <w:color w:val="CC0033"/>
    </w:rPr>
  </w:style>
  <w:style w:type="character" w:styleId="43">
    <w:name w:val="HTML Definition"/>
    <w:basedOn w:val="40"/>
    <w:uiPriority w:val="0"/>
    <w:rPr>
      <w:rFonts w:cs="Times New Roman"/>
      <w:i/>
      <w:iCs/>
    </w:rPr>
  </w:style>
  <w:style w:type="character" w:styleId="44">
    <w:name w:val="HTML Typewriter"/>
    <w:basedOn w:val="40"/>
    <w:uiPriority w:val="0"/>
    <w:rPr>
      <w:rFonts w:ascii="Courier New" w:hAnsi="Courier New" w:cs="Times New Roman"/>
      <w:sz w:val="20"/>
      <w:szCs w:val="20"/>
    </w:rPr>
  </w:style>
  <w:style w:type="character" w:styleId="45">
    <w:name w:val="HTML Acronym"/>
    <w:basedOn w:val="40"/>
    <w:uiPriority w:val="0"/>
    <w:rPr>
      <w:rFonts w:cs="Times New Roman"/>
    </w:rPr>
  </w:style>
  <w:style w:type="character" w:styleId="46">
    <w:name w:val="HTML Variable"/>
    <w:basedOn w:val="40"/>
    <w:uiPriority w:val="0"/>
    <w:rPr>
      <w:rFonts w:cs="Times New Roman"/>
      <w:i/>
      <w:iCs/>
    </w:rPr>
  </w:style>
  <w:style w:type="character" w:styleId="47">
    <w:name w:val="Hyperlink"/>
    <w:basedOn w:val="40"/>
    <w:uiPriority w:val="0"/>
    <w:rPr>
      <w:rFonts w:ascii="Times New Roman" w:hAnsi="Times New Roman" w:eastAsia="宋体"/>
      <w:color w:val="auto"/>
      <w:spacing w:val="0"/>
      <w:w w:val="100"/>
      <w:position w:val="0"/>
      <w:sz w:val="21"/>
      <w:u w:val="none"/>
      <w:vertAlign w:val="baseline"/>
    </w:rPr>
  </w:style>
  <w:style w:type="character" w:styleId="48">
    <w:name w:val="HTML Code"/>
    <w:basedOn w:val="40"/>
    <w:uiPriority w:val="0"/>
    <w:rPr>
      <w:rFonts w:ascii="Courier New" w:hAnsi="Courier New" w:cs="Times New Roman"/>
      <w:sz w:val="20"/>
      <w:szCs w:val="20"/>
    </w:rPr>
  </w:style>
  <w:style w:type="character" w:styleId="49">
    <w:name w:val="annotation reference"/>
    <w:basedOn w:val="40"/>
    <w:semiHidden/>
    <w:uiPriority w:val="0"/>
    <w:rPr>
      <w:rFonts w:cs="Times New Roman"/>
      <w:sz w:val="21"/>
      <w:szCs w:val="21"/>
    </w:rPr>
  </w:style>
  <w:style w:type="character" w:styleId="50">
    <w:name w:val="HTML Cite"/>
    <w:basedOn w:val="40"/>
    <w:uiPriority w:val="0"/>
    <w:rPr>
      <w:rFonts w:cs="Times New Roman"/>
      <w:i/>
      <w:iCs/>
    </w:rPr>
  </w:style>
  <w:style w:type="character" w:styleId="51">
    <w:name w:val="footnote reference"/>
    <w:basedOn w:val="40"/>
    <w:semiHidden/>
    <w:uiPriority w:val="0"/>
    <w:rPr>
      <w:rFonts w:cs="Times New Roman"/>
      <w:vertAlign w:val="superscript"/>
    </w:rPr>
  </w:style>
  <w:style w:type="character" w:styleId="52">
    <w:name w:val="HTML Keyboard"/>
    <w:basedOn w:val="40"/>
    <w:uiPriority w:val="0"/>
    <w:rPr>
      <w:rFonts w:ascii="Courier New" w:hAnsi="Courier New" w:cs="Times New Roman"/>
      <w:sz w:val="20"/>
      <w:szCs w:val="20"/>
    </w:rPr>
  </w:style>
  <w:style w:type="character" w:styleId="53">
    <w:name w:val="HTML Sample"/>
    <w:basedOn w:val="40"/>
    <w:uiPriority w:val="0"/>
    <w:rPr>
      <w:rFonts w:ascii="Courier New" w:hAnsi="Courier New" w:cs="Times New Roman"/>
    </w:rPr>
  </w:style>
  <w:style w:type="table" w:styleId="55">
    <w:name w:val="Table Grid"/>
    <w:basedOn w:val="54"/>
    <w:uiPriority w:val="0"/>
    <w:pPr>
      <w:widowControl w:val="0"/>
      <w:jc w:val="both"/>
    </w:pPr>
    <w:rPr>
      <w:lang w:val="en-US" w:eastAsia="zh-CN" w:bidi="ar-SA"/>
    </w:rPr>
    <w:tblPr>
      <w:tblStyle w:val="54"/>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6">
    <w:name w:val="Table Grid 7"/>
    <w:basedOn w:val="54"/>
    <w:uiPriority w:val="0"/>
    <w:pPr>
      <w:widowControl w:val="0"/>
      <w:jc w:val="both"/>
    </w:pPr>
    <w:rPr>
      <w:b/>
      <w:bCs/>
      <w:lang w:val="en-US" w:eastAsia="zh-CN" w:bidi="ar-SA"/>
    </w:rPr>
    <w:tblPr>
      <w:tblStyle w:val="54"/>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blStylePr w:type="firstRow">
      <w:rPr>
        <w:rFonts w:cs="Times New Roman"/>
        <w:b w:val="0"/>
        <w:bCs w:val="0"/>
      </w:rPr>
      <w:tblPr>
        <w:tblStyle w:val="54"/>
      </w:tblPr>
      <w:tcPr>
        <w:tcBorders>
          <w:left w:val="single" w:color="000000" w:sz="12" w:space="0"/>
          <w:tl2br w:val="nil"/>
          <w:tr2bl w:val="nil"/>
        </w:tcBorders>
      </w:tcPr>
    </w:tblStylePr>
    <w:tblStylePr w:type="lastRow">
      <w:rPr>
        <w:rFonts w:cs="Times New Roman"/>
        <w:b w:val="0"/>
        <w:bCs w:val="0"/>
      </w:rPr>
      <w:tblPr>
        <w:tblStyle w:val="54"/>
      </w:tblPr>
      <w:tcPr>
        <w:tcBorders>
          <w:top w:val="single" w:color="000000" w:sz="6" w:space="0"/>
          <w:tl2br w:val="nil"/>
          <w:tr2bl w:val="nil"/>
        </w:tcBorders>
      </w:tcPr>
    </w:tblStylePr>
    <w:tblStylePr w:type="firstCol">
      <w:rPr>
        <w:rFonts w:cs="Times New Roman"/>
        <w:b w:val="0"/>
        <w:bCs w:val="0"/>
      </w:rPr>
      <w:tblPr>
        <w:tblStyle w:val="54"/>
      </w:tblPr>
      <w:tcPr>
        <w:tcBorders>
          <w:tl2br w:val="nil"/>
          <w:tr2bl w:val="nil"/>
        </w:tcBorders>
      </w:tcPr>
    </w:tblStylePr>
    <w:tblStylePr w:type="lastCol">
      <w:rPr>
        <w:rFonts w:cs="Times New Roman"/>
        <w:b w:val="0"/>
        <w:bCs w:val="0"/>
      </w:rPr>
      <w:tblPr>
        <w:tblStyle w:val="54"/>
      </w:tblPr>
      <w:tcPr>
        <w:tcBorders>
          <w:tl2br w:val="nil"/>
          <w:tr2bl w:val="nil"/>
        </w:tcBorders>
      </w:tcPr>
    </w:tblStylePr>
    <w:tblStylePr w:type="nwCell">
      <w:rPr>
        <w:rFonts w:cs="Times New Roman"/>
      </w:rPr>
      <w:tblPr>
        <w:tblStyle w:val="54"/>
      </w:tblPr>
      <w:tcPr>
        <w:tcBorders>
          <w:tl2br w:val="single" w:color="000000" w:sz="6" w:space="0"/>
          <w:tr2bl w:val="nil"/>
        </w:tcBorders>
      </w:tcPr>
    </w:tblStylePr>
  </w:style>
  <w:style w:type="paragraph" w:customStyle="1" w:styleId="57">
    <w:name w:val="标准标志"/>
    <w:next w:val="1"/>
    <w:uiPriority w:val="0"/>
    <w:pPr>
      <w:framePr w:w="2268" w:h="1392" w:hRule="exact" w:wrap="around" w:vAnchor="margin" w:hAnchor="margin" w:x="6748" w:y="171" w:anchorLock="1"/>
      <w:shd w:val="solid" w:color="FFFFFF" w:fill="FFFFFF"/>
      <w:spacing w:line="240" w:lineRule="atLeast"/>
      <w:jc w:val="right"/>
    </w:pPr>
    <w:rPr>
      <w:b/>
      <w:w w:val="130"/>
      <w:sz w:val="96"/>
      <w:lang w:val="en-US" w:eastAsia="zh-CN" w:bidi="ar-SA"/>
    </w:rPr>
  </w:style>
  <w:style w:type="paragraph" w:customStyle="1" w:styleId="58">
    <w:name w:val="标准称谓"/>
    <w:next w:val="1"/>
    <w:uiPriority w:val="0"/>
    <w:pPr>
      <w:framePr w:w="9638" w:h="754" w:hRule="exact" w:hSpace="180" w:vSpace="180" w:wrap="around" w:vAnchor="page" w:hAnchor="margin" w:xAlign="center" w:y="2128" w:anchorLock="1"/>
      <w:widowControl w:val="0"/>
      <w:kinsoku w:val="0"/>
      <w:overflowPunct w:val="0"/>
      <w:autoSpaceDE w:val="0"/>
      <w:autoSpaceDN w:val="0"/>
      <w:spacing w:line="240" w:lineRule="atLeast"/>
      <w:jc w:val="distribute"/>
    </w:pPr>
    <w:rPr>
      <w:rFonts w:ascii="宋体"/>
      <w:b/>
      <w:bCs/>
      <w:spacing w:val="20"/>
      <w:w w:val="148"/>
      <w:sz w:val="52"/>
      <w:lang w:val="en-US" w:eastAsia="zh-CN" w:bidi="ar-SA"/>
    </w:rPr>
  </w:style>
  <w:style w:type="paragraph" w:customStyle="1" w:styleId="59">
    <w:name w:val="标准书脚_偶数页"/>
    <w:uiPriority w:val="0"/>
    <w:pPr>
      <w:spacing w:before="120"/>
    </w:pPr>
    <w:rPr>
      <w:sz w:val="18"/>
      <w:lang w:val="en-US" w:eastAsia="zh-CN" w:bidi="ar-SA"/>
    </w:rPr>
  </w:style>
  <w:style w:type="paragraph" w:customStyle="1" w:styleId="60">
    <w:name w:val="标准书脚_奇数页"/>
    <w:uiPriority w:val="0"/>
    <w:pPr>
      <w:spacing w:before="120"/>
      <w:jc w:val="right"/>
    </w:pPr>
    <w:rPr>
      <w:sz w:val="18"/>
      <w:lang w:val="en-US" w:eastAsia="zh-CN" w:bidi="ar-SA"/>
    </w:rPr>
  </w:style>
  <w:style w:type="paragraph" w:customStyle="1" w:styleId="61">
    <w:name w:val="标准书眉_奇数页"/>
    <w:next w:val="1"/>
    <w:uiPriority w:val="0"/>
    <w:pPr>
      <w:tabs>
        <w:tab w:val="center" w:pos="4154"/>
        <w:tab w:val="right" w:pos="8306"/>
      </w:tabs>
      <w:spacing w:after="120"/>
      <w:jc w:val="right"/>
    </w:pPr>
    <w:rPr>
      <w:sz w:val="21"/>
      <w:lang w:val="en-US" w:eastAsia="zh-CN" w:bidi="ar-SA"/>
    </w:rPr>
  </w:style>
  <w:style w:type="paragraph" w:customStyle="1" w:styleId="62">
    <w:name w:val="标准书眉_偶数页"/>
    <w:basedOn w:val="61"/>
    <w:next w:val="1"/>
    <w:uiPriority w:val="0"/>
    <w:pPr>
      <w:jc w:val="left"/>
    </w:pPr>
  </w:style>
  <w:style w:type="paragraph" w:customStyle="1" w:styleId="63">
    <w:name w:val="标准书眉一"/>
    <w:uiPriority w:val="0"/>
    <w:pPr>
      <w:jc w:val="both"/>
    </w:pPr>
    <w:rPr>
      <w:lang w:val="en-US" w:eastAsia="zh-CN" w:bidi="ar-SA"/>
    </w:rPr>
  </w:style>
  <w:style w:type="paragraph" w:customStyle="1" w:styleId="64">
    <w:name w:val="前言、引言标题"/>
    <w:next w:val="1"/>
    <w:uiPriority w:val="0"/>
    <w:pPr>
      <w:numPr>
        <w:ilvl w:val="0"/>
        <w:numId w:val="1"/>
      </w:numPr>
      <w:shd w:val="clear" w:color="FFFFFF" w:fill="FFFFFF"/>
      <w:spacing w:before="640" w:after="560"/>
      <w:jc w:val="center"/>
      <w:outlineLvl w:val="0"/>
    </w:pPr>
    <w:rPr>
      <w:rFonts w:ascii="黑体" w:eastAsia="黑体"/>
      <w:sz w:val="32"/>
      <w:lang w:val="en-US" w:eastAsia="zh-CN" w:bidi="ar-SA"/>
    </w:rPr>
  </w:style>
  <w:style w:type="paragraph" w:customStyle="1" w:styleId="65">
    <w:name w:val="参考文献、索引标题"/>
    <w:basedOn w:val="64"/>
    <w:next w:val="1"/>
    <w:uiPriority w:val="0"/>
    <w:pPr>
      <w:numPr>
        <w:ilvl w:val="0"/>
        <w:numId w:val="0"/>
      </w:numPr>
      <w:spacing w:after="200"/>
    </w:pPr>
    <w:rPr>
      <w:sz w:val="21"/>
    </w:rPr>
  </w:style>
  <w:style w:type="paragraph" w:customStyle="1" w:styleId="66">
    <w:name w:val="段"/>
    <w:link w:val="237"/>
    <w:uiPriority w:val="0"/>
    <w:pPr>
      <w:autoSpaceDE w:val="0"/>
      <w:autoSpaceDN w:val="0"/>
      <w:ind w:firstLine="200" w:firstLineChars="200"/>
      <w:jc w:val="both"/>
    </w:pPr>
    <w:rPr>
      <w:rFonts w:ascii="宋体"/>
      <w:sz w:val="21"/>
      <w:lang w:val="en-US" w:eastAsia="zh-CN" w:bidi="ar-SA"/>
    </w:rPr>
  </w:style>
  <w:style w:type="paragraph" w:customStyle="1" w:styleId="67">
    <w:name w:val="章标题"/>
    <w:next w:val="66"/>
    <w:uiPriority w:val="0"/>
    <w:pPr>
      <w:numPr>
        <w:ilvl w:val="1"/>
        <w:numId w:val="1"/>
      </w:numPr>
      <w:spacing w:beforeLines="50" w:afterLines="50"/>
      <w:jc w:val="both"/>
      <w:outlineLvl w:val="0"/>
    </w:pPr>
    <w:rPr>
      <w:rFonts w:eastAsia="黑体"/>
      <w:sz w:val="28"/>
      <w:lang w:val="en-US" w:eastAsia="zh-CN" w:bidi="ar-SA"/>
    </w:rPr>
  </w:style>
  <w:style w:type="paragraph" w:customStyle="1" w:styleId="68">
    <w:name w:val="一级条标题"/>
    <w:basedOn w:val="67"/>
    <w:next w:val="66"/>
    <w:uiPriority w:val="0"/>
    <w:pPr>
      <w:numPr>
        <w:ilvl w:val="2"/>
        <w:numId w:val="1"/>
      </w:numPr>
      <w:ind w:left="426"/>
      <w:outlineLvl w:val="2"/>
    </w:pPr>
  </w:style>
  <w:style w:type="paragraph" w:customStyle="1" w:styleId="69">
    <w:name w:val="二级条标题"/>
    <w:basedOn w:val="68"/>
    <w:next w:val="66"/>
    <w:uiPriority w:val="0"/>
    <w:pPr>
      <w:numPr>
        <w:ilvl w:val="0"/>
        <w:numId w:val="0"/>
      </w:numPr>
      <w:spacing w:beforeLines="0" w:afterLines="0" w:line="360" w:lineRule="auto"/>
      <w:ind w:left="420"/>
    </w:pPr>
    <w:rPr>
      <w:rFonts w:ascii="宋体" w:hAnsi="宋体" w:eastAsia="宋体"/>
    </w:rPr>
  </w:style>
  <w:style w:type="paragraph" w:customStyle="1" w:styleId="70">
    <w:name w:val="二级无标题条"/>
    <w:basedOn w:val="1"/>
    <w:uiPriority w:val="0"/>
    <w:pPr>
      <w:numPr>
        <w:ilvl w:val="3"/>
        <w:numId w:val="2"/>
      </w:numPr>
    </w:pPr>
  </w:style>
  <w:style w:type="paragraph" w:customStyle="1" w:styleId="71">
    <w:name w:val="发布部门"/>
    <w:next w:val="66"/>
    <w:uiPriority w:val="0"/>
    <w:pPr>
      <w:framePr w:w="7433" w:h="585" w:hRule="exact" w:hSpace="180" w:vSpace="180" w:wrap="around" w:vAnchor="margin" w:hAnchor="margin" w:xAlign="center" w:y="14401" w:anchorLock="1"/>
      <w:jc w:val="center"/>
    </w:pPr>
    <w:rPr>
      <w:rFonts w:ascii="宋体"/>
      <w:b/>
      <w:spacing w:val="20"/>
      <w:w w:val="135"/>
      <w:sz w:val="36"/>
      <w:lang w:val="en-US" w:eastAsia="zh-CN" w:bidi="ar-SA"/>
    </w:rPr>
  </w:style>
  <w:style w:type="paragraph" w:customStyle="1" w:styleId="72">
    <w:name w:val="发布日期"/>
    <w:uiPriority w:val="0"/>
    <w:pPr>
      <w:framePr w:w="4000" w:h="473" w:hRule="exact" w:hSpace="180" w:vSpace="180" w:wrap="around" w:vAnchor="margin" w:hAnchor="margin" w:y="13511" w:anchorLock="1"/>
    </w:pPr>
    <w:rPr>
      <w:rFonts w:eastAsia="黑体"/>
      <w:sz w:val="28"/>
      <w:lang w:val="en-US" w:eastAsia="zh-CN" w:bidi="ar-SA"/>
    </w:rPr>
  </w:style>
  <w:style w:type="paragraph" w:customStyle="1" w:styleId="73">
    <w:name w:val="封面标准号1"/>
    <w:uiPriority w:val="0"/>
    <w:pPr>
      <w:widowControl w:val="0"/>
      <w:kinsoku w:val="0"/>
      <w:overflowPunct w:val="0"/>
      <w:autoSpaceDE w:val="0"/>
      <w:autoSpaceDN w:val="0"/>
      <w:spacing w:before="308"/>
      <w:jc w:val="right"/>
      <w:textAlignment w:val="center"/>
    </w:pPr>
    <w:rPr>
      <w:sz w:val="28"/>
      <w:lang w:val="en-US" w:eastAsia="zh-CN" w:bidi="ar-SA"/>
    </w:rPr>
  </w:style>
  <w:style w:type="paragraph" w:customStyle="1" w:styleId="74">
    <w:name w:val="封面标准号2"/>
    <w:basedOn w:val="73"/>
    <w:uiPriority w:val="0"/>
    <w:pPr>
      <w:framePr w:w="9138" w:h="1244" w:hRule="exact" w:wrap="around" w:vAnchor="page" w:hAnchor="margin" w:y="2908"/>
      <w:adjustRightInd w:val="0"/>
      <w:spacing w:before="357" w:line="280" w:lineRule="exact"/>
    </w:pPr>
  </w:style>
  <w:style w:type="paragraph" w:customStyle="1" w:styleId="75">
    <w:name w:val="封面标准代替信息"/>
    <w:basedOn w:val="74"/>
    <w:uiPriority w:val="0"/>
    <w:pPr>
      <w:spacing w:before="57"/>
    </w:pPr>
    <w:rPr>
      <w:rFonts w:ascii="宋体"/>
      <w:sz w:val="21"/>
    </w:rPr>
  </w:style>
  <w:style w:type="paragraph" w:customStyle="1" w:styleId="76">
    <w:name w:val="封面标准名称"/>
    <w:uiPriority w:val="0"/>
    <w:pPr>
      <w:framePr w:w="9638" w:h="6917" w:hRule="exact" w:wrap="around" w:vAnchor="margin" w:hAnchor="margin" w:xAlign="center" w:y="5955" w:anchorLock="1"/>
      <w:widowControl w:val="0"/>
      <w:spacing w:line="680" w:lineRule="exact"/>
      <w:jc w:val="center"/>
      <w:textAlignment w:val="center"/>
    </w:pPr>
    <w:rPr>
      <w:rFonts w:ascii="黑体" w:eastAsia="黑体"/>
      <w:sz w:val="52"/>
      <w:lang w:val="en-US" w:eastAsia="zh-CN" w:bidi="ar-SA"/>
    </w:rPr>
  </w:style>
  <w:style w:type="paragraph" w:customStyle="1" w:styleId="77">
    <w:name w:val="封面标准文稿编辑信息"/>
    <w:uiPriority w:val="0"/>
    <w:pPr>
      <w:spacing w:before="180" w:line="180" w:lineRule="exact"/>
      <w:jc w:val="center"/>
    </w:pPr>
    <w:rPr>
      <w:rFonts w:ascii="宋体"/>
      <w:sz w:val="21"/>
      <w:lang w:val="en-US" w:eastAsia="zh-CN" w:bidi="ar-SA"/>
    </w:rPr>
  </w:style>
  <w:style w:type="paragraph" w:customStyle="1" w:styleId="78">
    <w:name w:val="封面标准文稿类别"/>
    <w:uiPriority w:val="0"/>
    <w:pPr>
      <w:spacing w:before="440" w:line="400" w:lineRule="exact"/>
      <w:jc w:val="center"/>
    </w:pPr>
    <w:rPr>
      <w:rFonts w:ascii="宋体"/>
      <w:sz w:val="24"/>
      <w:lang w:val="en-US" w:eastAsia="zh-CN" w:bidi="ar-SA"/>
    </w:rPr>
  </w:style>
  <w:style w:type="paragraph" w:customStyle="1" w:styleId="79">
    <w:name w:val="封面标准英文名称"/>
    <w:uiPriority w:val="0"/>
    <w:pPr>
      <w:widowControl w:val="0"/>
      <w:spacing w:before="370" w:line="400" w:lineRule="exact"/>
      <w:jc w:val="center"/>
    </w:pPr>
    <w:rPr>
      <w:sz w:val="28"/>
      <w:lang w:val="en-US" w:eastAsia="zh-CN" w:bidi="ar-SA"/>
    </w:rPr>
  </w:style>
  <w:style w:type="paragraph" w:customStyle="1" w:styleId="80">
    <w:name w:val="封面一致性程度标识"/>
    <w:uiPriority w:val="0"/>
    <w:pPr>
      <w:spacing w:before="440" w:line="400" w:lineRule="exact"/>
      <w:jc w:val="center"/>
    </w:pPr>
    <w:rPr>
      <w:rFonts w:ascii="宋体"/>
      <w:sz w:val="28"/>
      <w:lang w:val="en-US" w:eastAsia="zh-CN" w:bidi="ar-SA"/>
    </w:rPr>
  </w:style>
  <w:style w:type="paragraph" w:customStyle="1" w:styleId="81">
    <w:name w:val="封面正文"/>
    <w:uiPriority w:val="0"/>
    <w:pPr>
      <w:jc w:val="both"/>
    </w:pPr>
    <w:rPr>
      <w:lang w:val="en-US" w:eastAsia="zh-CN" w:bidi="ar-SA"/>
    </w:rPr>
  </w:style>
  <w:style w:type="paragraph" w:customStyle="1" w:styleId="82">
    <w:name w:val="附录标识"/>
    <w:basedOn w:val="64"/>
    <w:uiPriority w:val="0"/>
    <w:pPr>
      <w:numPr>
        <w:ilvl w:val="0"/>
        <w:numId w:val="0"/>
      </w:numPr>
      <w:tabs>
        <w:tab w:val="left" w:pos="6405"/>
      </w:tabs>
      <w:spacing w:after="200"/>
    </w:pPr>
    <w:rPr>
      <w:sz w:val="21"/>
    </w:rPr>
  </w:style>
  <w:style w:type="paragraph" w:customStyle="1" w:styleId="83">
    <w:name w:val="附录表标题"/>
    <w:next w:val="66"/>
    <w:uiPriority w:val="0"/>
    <w:pPr>
      <w:jc w:val="center"/>
      <w:textAlignment w:val="baseline"/>
    </w:pPr>
    <w:rPr>
      <w:rFonts w:ascii="黑体" w:eastAsia="黑体"/>
      <w:kern w:val="21"/>
      <w:sz w:val="21"/>
      <w:lang w:val="en-US" w:eastAsia="zh-CN" w:bidi="ar-SA"/>
    </w:rPr>
  </w:style>
  <w:style w:type="paragraph" w:customStyle="1" w:styleId="84">
    <w:name w:val="附录章标题"/>
    <w:next w:val="66"/>
    <w:uiPriority w:val="0"/>
    <w:pPr>
      <w:wordWrap w:val="0"/>
      <w:overflowPunct w:val="0"/>
      <w:autoSpaceDE w:val="0"/>
      <w:spacing w:beforeLines="50" w:afterLines="50"/>
      <w:jc w:val="both"/>
      <w:textAlignment w:val="baseline"/>
      <w:outlineLvl w:val="1"/>
    </w:pPr>
    <w:rPr>
      <w:rFonts w:ascii="黑体" w:eastAsia="黑体"/>
      <w:kern w:val="21"/>
      <w:sz w:val="21"/>
      <w:lang w:val="en-US" w:eastAsia="zh-CN" w:bidi="ar-SA"/>
    </w:rPr>
  </w:style>
  <w:style w:type="paragraph" w:customStyle="1" w:styleId="85">
    <w:name w:val="附录一级条标题"/>
    <w:basedOn w:val="84"/>
    <w:next w:val="66"/>
    <w:uiPriority w:val="0"/>
    <w:pPr>
      <w:autoSpaceDN w:val="0"/>
      <w:outlineLvl w:val="2"/>
    </w:pPr>
  </w:style>
  <w:style w:type="paragraph" w:customStyle="1" w:styleId="86">
    <w:name w:val="附录二级条标题"/>
    <w:basedOn w:val="85"/>
    <w:next w:val="66"/>
    <w:uiPriority w:val="0"/>
    <w:pPr>
      <w:spacing w:before="120" w:after="120"/>
      <w:outlineLvl w:val="3"/>
    </w:pPr>
  </w:style>
  <w:style w:type="paragraph" w:customStyle="1" w:styleId="87">
    <w:name w:val="附录三级条标题"/>
    <w:basedOn w:val="86"/>
    <w:next w:val="66"/>
    <w:uiPriority w:val="0"/>
    <w:pPr>
      <w:outlineLvl w:val="4"/>
    </w:pPr>
  </w:style>
  <w:style w:type="paragraph" w:customStyle="1" w:styleId="88">
    <w:name w:val="附录四级条标题"/>
    <w:basedOn w:val="87"/>
    <w:next w:val="66"/>
    <w:uiPriority w:val="0"/>
    <w:pPr>
      <w:outlineLvl w:val="5"/>
    </w:pPr>
  </w:style>
  <w:style w:type="paragraph" w:customStyle="1" w:styleId="89">
    <w:name w:val="附录图标题"/>
    <w:next w:val="66"/>
    <w:uiPriority w:val="0"/>
    <w:pPr>
      <w:spacing w:beforeLines="50" w:afterLines="50"/>
      <w:jc w:val="center"/>
    </w:pPr>
    <w:rPr>
      <w:rFonts w:ascii="黑体" w:eastAsia="黑体"/>
      <w:sz w:val="21"/>
      <w:lang w:val="en-US" w:eastAsia="zh-CN" w:bidi="ar-SA"/>
    </w:rPr>
  </w:style>
  <w:style w:type="paragraph" w:customStyle="1" w:styleId="90">
    <w:name w:val="附录五级条标题"/>
    <w:basedOn w:val="88"/>
    <w:next w:val="66"/>
    <w:uiPriority w:val="0"/>
    <w:pPr>
      <w:outlineLvl w:val="6"/>
    </w:pPr>
  </w:style>
  <w:style w:type="paragraph" w:customStyle="1" w:styleId="91">
    <w:name w:val="列项——"/>
    <w:uiPriority w:val="0"/>
    <w:pPr>
      <w:widowControl w:val="0"/>
      <w:numPr>
        <w:ilvl w:val="0"/>
        <w:numId w:val="3"/>
      </w:numPr>
      <w:jc w:val="both"/>
    </w:pPr>
    <w:rPr>
      <w:rFonts w:ascii="宋体"/>
      <w:sz w:val="21"/>
      <w:lang w:val="en-US" w:eastAsia="zh-CN" w:bidi="ar-SA"/>
    </w:rPr>
  </w:style>
  <w:style w:type="paragraph" w:customStyle="1" w:styleId="92">
    <w:name w:val="列项·"/>
    <w:uiPriority w:val="0"/>
    <w:pPr>
      <w:numPr>
        <w:ilvl w:val="0"/>
        <w:numId w:val="4"/>
      </w:numPr>
      <w:tabs>
        <w:tab w:val="left" w:pos="840"/>
        <w:tab w:val="clear" w:pos="-540"/>
      </w:tabs>
      <w:spacing w:beforeLines="50" w:afterLines="50"/>
      <w:ind w:left="400" w:leftChars="200" w:hanging="200" w:hangingChars="200"/>
      <w:jc w:val="both"/>
    </w:pPr>
    <w:rPr>
      <w:rFonts w:ascii="宋体"/>
      <w:sz w:val="21"/>
      <w:lang w:val="en-US" w:eastAsia="zh-CN" w:bidi="ar-SA"/>
    </w:rPr>
  </w:style>
  <w:style w:type="paragraph" w:customStyle="1" w:styleId="93">
    <w:name w:val="目次、标准名称标题"/>
    <w:basedOn w:val="64"/>
    <w:next w:val="66"/>
    <w:uiPriority w:val="0"/>
    <w:pPr>
      <w:numPr>
        <w:ilvl w:val="0"/>
        <w:numId w:val="0"/>
      </w:numPr>
      <w:spacing w:line="460" w:lineRule="exact"/>
    </w:pPr>
  </w:style>
  <w:style w:type="paragraph" w:customStyle="1" w:styleId="94">
    <w:name w:val="目次、索引正文"/>
    <w:uiPriority w:val="0"/>
    <w:pPr>
      <w:spacing w:line="320" w:lineRule="exact"/>
      <w:jc w:val="both"/>
    </w:pPr>
    <w:rPr>
      <w:rFonts w:ascii="宋体"/>
      <w:sz w:val="21"/>
      <w:lang w:val="en-US" w:eastAsia="zh-CN" w:bidi="ar-SA"/>
    </w:rPr>
  </w:style>
  <w:style w:type="paragraph" w:customStyle="1" w:styleId="95">
    <w:name w:val="其他标准称谓"/>
    <w:uiPriority w:val="0"/>
    <w:pPr>
      <w:spacing w:line="240" w:lineRule="atLeast"/>
      <w:jc w:val="distribute"/>
    </w:pPr>
    <w:rPr>
      <w:rFonts w:ascii="黑体" w:hAnsi="宋体" w:eastAsia="黑体"/>
      <w:sz w:val="52"/>
      <w:lang w:val="en-US" w:eastAsia="zh-CN" w:bidi="ar-SA"/>
    </w:rPr>
  </w:style>
  <w:style w:type="paragraph" w:customStyle="1" w:styleId="96">
    <w:name w:val="其他发布部门"/>
    <w:basedOn w:val="71"/>
    <w:uiPriority w:val="0"/>
    <w:pPr>
      <w:spacing w:line="240" w:lineRule="atLeast"/>
    </w:pPr>
    <w:rPr>
      <w:rFonts w:ascii="黑体" w:eastAsia="黑体"/>
      <w:b w:val="0"/>
    </w:rPr>
  </w:style>
  <w:style w:type="paragraph" w:customStyle="1" w:styleId="97">
    <w:name w:val="三级条标题"/>
    <w:basedOn w:val="69"/>
    <w:next w:val="66"/>
    <w:uiPriority w:val="0"/>
    <w:pPr>
      <w:ind w:left="1080" w:hanging="1080" w:hangingChars="343"/>
      <w:outlineLvl w:val="4"/>
    </w:pPr>
  </w:style>
  <w:style w:type="paragraph" w:customStyle="1" w:styleId="98">
    <w:name w:val="三级无标题条"/>
    <w:basedOn w:val="1"/>
    <w:uiPriority w:val="0"/>
    <w:pPr>
      <w:numPr>
        <w:ilvl w:val="4"/>
        <w:numId w:val="2"/>
      </w:numPr>
    </w:pPr>
  </w:style>
  <w:style w:type="paragraph" w:customStyle="1" w:styleId="99">
    <w:name w:val="实施日期"/>
    <w:basedOn w:val="72"/>
    <w:uiPriority w:val="0"/>
    <w:pPr>
      <w:framePr w:hSpace="0" w:xAlign="right"/>
      <w:jc w:val="right"/>
    </w:pPr>
  </w:style>
  <w:style w:type="paragraph" w:customStyle="1" w:styleId="100">
    <w:name w:val="示例"/>
    <w:next w:val="66"/>
    <w:uiPriority w:val="0"/>
    <w:pPr>
      <w:numPr>
        <w:ilvl w:val="0"/>
        <w:numId w:val="5"/>
      </w:numPr>
      <w:tabs>
        <w:tab w:val="left" w:pos="816"/>
        <w:tab w:val="clear" w:pos="1120"/>
      </w:tabs>
      <w:ind w:firstLine="419" w:firstLineChars="233"/>
      <w:jc w:val="both"/>
    </w:pPr>
    <w:rPr>
      <w:rFonts w:ascii="宋体"/>
      <w:sz w:val="18"/>
      <w:lang w:val="en-US" w:eastAsia="zh-CN" w:bidi="ar-SA"/>
    </w:rPr>
  </w:style>
  <w:style w:type="paragraph" w:customStyle="1" w:styleId="101">
    <w:name w:val="数字编号列项（二级）"/>
    <w:uiPriority w:val="0"/>
    <w:pPr>
      <w:ind w:left="1260" w:leftChars="400" w:hanging="420" w:hangingChars="200"/>
      <w:jc w:val="both"/>
    </w:pPr>
    <w:rPr>
      <w:rFonts w:ascii="宋体"/>
      <w:sz w:val="21"/>
      <w:lang w:val="en-US" w:eastAsia="zh-CN" w:bidi="ar-SA"/>
    </w:rPr>
  </w:style>
  <w:style w:type="paragraph" w:customStyle="1" w:styleId="102">
    <w:name w:val="四级条标题"/>
    <w:basedOn w:val="97"/>
    <w:next w:val="66"/>
    <w:uiPriority w:val="0"/>
    <w:pPr>
      <w:numPr>
        <w:ilvl w:val="5"/>
        <w:numId w:val="0"/>
      </w:numPr>
      <w:ind w:left="1080" w:hanging="1080" w:hangingChars="343"/>
      <w:outlineLvl w:val="5"/>
    </w:pPr>
  </w:style>
  <w:style w:type="paragraph" w:customStyle="1" w:styleId="103">
    <w:name w:val="四级无标题条"/>
    <w:basedOn w:val="1"/>
    <w:uiPriority w:val="0"/>
    <w:pPr>
      <w:numPr>
        <w:ilvl w:val="5"/>
        <w:numId w:val="2"/>
      </w:numPr>
    </w:pPr>
  </w:style>
  <w:style w:type="paragraph" w:customStyle="1" w:styleId="104">
    <w:name w:val="条文脚注"/>
    <w:basedOn w:val="34"/>
    <w:uiPriority w:val="0"/>
    <w:pPr>
      <w:ind w:left="780" w:leftChars="200" w:hanging="360" w:hangingChars="200"/>
      <w:jc w:val="both"/>
    </w:pPr>
    <w:rPr>
      <w:rFonts w:ascii="宋体"/>
    </w:rPr>
  </w:style>
  <w:style w:type="paragraph" w:customStyle="1" w:styleId="105">
    <w:name w:val="图表脚注"/>
    <w:next w:val="66"/>
    <w:uiPriority w:val="0"/>
    <w:pPr>
      <w:ind w:left="300" w:leftChars="200" w:hanging="100" w:hangingChars="100"/>
      <w:jc w:val="both"/>
    </w:pPr>
    <w:rPr>
      <w:rFonts w:ascii="宋体"/>
      <w:sz w:val="18"/>
      <w:lang w:val="en-US" w:eastAsia="zh-CN" w:bidi="ar-SA"/>
    </w:rPr>
  </w:style>
  <w:style w:type="paragraph" w:customStyle="1" w:styleId="106">
    <w:name w:val="文献分类号"/>
    <w:uiPriority w:val="0"/>
    <w:pPr>
      <w:framePr w:hSpace="180" w:vSpace="180" w:wrap="around" w:vAnchor="margin" w:hAnchor="margin" w:y="1" w:anchorLock="1"/>
      <w:widowControl w:val="0"/>
      <w:textAlignment w:val="center"/>
    </w:pPr>
    <w:rPr>
      <w:rFonts w:eastAsia="黑体"/>
      <w:sz w:val="21"/>
      <w:lang w:val="en-US" w:eastAsia="zh-CN" w:bidi="ar-SA"/>
    </w:rPr>
  </w:style>
  <w:style w:type="paragraph" w:customStyle="1" w:styleId="107">
    <w:name w:val="无标题条"/>
    <w:next w:val="66"/>
    <w:uiPriority w:val="0"/>
    <w:pPr>
      <w:jc w:val="both"/>
    </w:pPr>
    <w:rPr>
      <w:sz w:val="21"/>
      <w:lang w:val="en-US" w:eastAsia="zh-CN" w:bidi="ar-SA"/>
    </w:rPr>
  </w:style>
  <w:style w:type="paragraph" w:customStyle="1" w:styleId="108">
    <w:name w:val="五级条标题"/>
    <w:basedOn w:val="102"/>
    <w:next w:val="66"/>
    <w:uiPriority w:val="0"/>
    <w:pPr>
      <w:numPr>
        <w:ilvl w:val="6"/>
        <w:numId w:val="0"/>
      </w:numPr>
      <w:ind w:left="1080" w:hanging="1080" w:hangingChars="343"/>
      <w:outlineLvl w:val="6"/>
    </w:pPr>
  </w:style>
  <w:style w:type="paragraph" w:customStyle="1" w:styleId="109">
    <w:name w:val="五级无标题条"/>
    <w:basedOn w:val="1"/>
    <w:uiPriority w:val="0"/>
    <w:pPr>
      <w:numPr>
        <w:ilvl w:val="6"/>
        <w:numId w:val="2"/>
      </w:numPr>
    </w:pPr>
  </w:style>
  <w:style w:type="paragraph" w:customStyle="1" w:styleId="110">
    <w:name w:val="一级无标题条"/>
    <w:basedOn w:val="1"/>
    <w:uiPriority w:val="0"/>
    <w:pPr>
      <w:numPr>
        <w:ilvl w:val="2"/>
        <w:numId w:val="2"/>
      </w:numPr>
    </w:pPr>
  </w:style>
  <w:style w:type="paragraph" w:customStyle="1" w:styleId="111">
    <w:name w:val="正文表标题"/>
    <w:next w:val="66"/>
    <w:uiPriority w:val="0"/>
    <w:pPr>
      <w:numPr>
        <w:ilvl w:val="0"/>
        <w:numId w:val="6"/>
      </w:numPr>
      <w:spacing w:beforeLines="50" w:afterLines="50"/>
      <w:jc w:val="center"/>
    </w:pPr>
    <w:rPr>
      <w:rFonts w:ascii="黑体" w:eastAsia="黑体"/>
      <w:sz w:val="21"/>
      <w:lang w:val="en-US" w:eastAsia="zh-CN" w:bidi="ar-SA"/>
    </w:rPr>
  </w:style>
  <w:style w:type="paragraph" w:customStyle="1" w:styleId="112">
    <w:name w:val="正文图标题"/>
    <w:next w:val="66"/>
    <w:uiPriority w:val="0"/>
    <w:pPr>
      <w:numPr>
        <w:ilvl w:val="0"/>
        <w:numId w:val="7"/>
      </w:numPr>
      <w:spacing w:beforeLines="50" w:afterLines="50"/>
      <w:jc w:val="center"/>
    </w:pPr>
    <w:rPr>
      <w:rFonts w:ascii="黑体" w:eastAsia="黑体"/>
      <w:sz w:val="21"/>
      <w:lang w:val="en-US" w:eastAsia="zh-CN" w:bidi="ar-SA"/>
    </w:rPr>
  </w:style>
  <w:style w:type="paragraph" w:customStyle="1" w:styleId="113">
    <w:name w:val="注："/>
    <w:next w:val="66"/>
    <w:uiPriority w:val="0"/>
    <w:pPr>
      <w:widowControl w:val="0"/>
      <w:numPr>
        <w:ilvl w:val="0"/>
        <w:numId w:val="8"/>
      </w:numPr>
      <w:tabs>
        <w:tab w:val="clear" w:pos="1140"/>
      </w:tabs>
      <w:autoSpaceDE w:val="0"/>
      <w:autoSpaceDN w:val="0"/>
      <w:spacing w:beforeLines="50" w:afterLines="50"/>
      <w:jc w:val="both"/>
    </w:pPr>
    <w:rPr>
      <w:rFonts w:ascii="宋体"/>
      <w:sz w:val="18"/>
      <w:lang w:val="en-US" w:eastAsia="zh-CN" w:bidi="ar-SA"/>
    </w:rPr>
  </w:style>
  <w:style w:type="paragraph" w:customStyle="1" w:styleId="114">
    <w:name w:val="注×："/>
    <w:uiPriority w:val="0"/>
    <w:pPr>
      <w:widowControl w:val="0"/>
      <w:numPr>
        <w:ilvl w:val="0"/>
        <w:numId w:val="9"/>
      </w:numPr>
      <w:tabs>
        <w:tab w:val="left" w:pos="630"/>
        <w:tab w:val="clear" w:pos="900"/>
      </w:tabs>
      <w:autoSpaceDE w:val="0"/>
      <w:autoSpaceDN w:val="0"/>
      <w:jc w:val="both"/>
    </w:pPr>
    <w:rPr>
      <w:rFonts w:ascii="宋体"/>
      <w:sz w:val="18"/>
      <w:lang w:val="en-US" w:eastAsia="zh-CN" w:bidi="ar-SA"/>
    </w:rPr>
  </w:style>
  <w:style w:type="paragraph" w:customStyle="1" w:styleId="115">
    <w:name w:val="字母编号列项（一级）"/>
    <w:uiPriority w:val="0"/>
    <w:pPr>
      <w:spacing w:beforeLines="50" w:afterLines="50"/>
      <w:ind w:left="400" w:leftChars="200" w:hanging="200" w:hangingChars="200"/>
      <w:jc w:val="both"/>
    </w:pPr>
    <w:rPr>
      <w:rFonts w:ascii="宋体"/>
      <w:sz w:val="21"/>
      <w:lang w:val="en-US" w:eastAsia="zh-CN" w:bidi="ar-SA"/>
    </w:rPr>
  </w:style>
  <w:style w:type="paragraph" w:customStyle="1" w:styleId="116">
    <w:name w:val="Annex_#"/>
    <w:basedOn w:val="1"/>
    <w:next w:val="1"/>
    <w:uiPriority w:val="0"/>
    <w:pPr>
      <w:keepNext/>
      <w:keepLines/>
      <w:widowControl/>
      <w:tabs>
        <w:tab w:val="left" w:pos="794"/>
        <w:tab w:val="left" w:pos="1191"/>
        <w:tab w:val="left" w:pos="1588"/>
        <w:tab w:val="left" w:pos="1985"/>
      </w:tabs>
      <w:overflowPunct w:val="0"/>
      <w:autoSpaceDE w:val="0"/>
      <w:autoSpaceDN w:val="0"/>
      <w:adjustRightInd w:val="0"/>
      <w:spacing w:before="480" w:after="80"/>
      <w:jc w:val="center"/>
      <w:textAlignment w:val="baseline"/>
    </w:pPr>
    <w:rPr>
      <w:caps/>
      <w:kern w:val="0"/>
      <w:sz w:val="24"/>
      <w:szCs w:val="20"/>
      <w:lang w:val="en-GB" w:eastAsia="en-US"/>
    </w:rPr>
  </w:style>
  <w:style w:type="paragraph" w:customStyle="1" w:styleId="117">
    <w:name w:val="enumlev1"/>
    <w:basedOn w:val="1"/>
    <w:uiPriority w:val="0"/>
    <w:pPr>
      <w:widowControl/>
      <w:tabs>
        <w:tab w:val="left" w:pos="794"/>
        <w:tab w:val="left" w:pos="1191"/>
        <w:tab w:val="left" w:pos="1588"/>
        <w:tab w:val="left" w:pos="1985"/>
      </w:tabs>
      <w:overflowPunct w:val="0"/>
      <w:autoSpaceDE w:val="0"/>
      <w:autoSpaceDN w:val="0"/>
      <w:adjustRightInd w:val="0"/>
      <w:spacing w:before="80"/>
      <w:ind w:left="794" w:hanging="794"/>
      <w:textAlignment w:val="baseline"/>
    </w:pPr>
    <w:rPr>
      <w:kern w:val="0"/>
      <w:sz w:val="24"/>
      <w:szCs w:val="20"/>
      <w:lang w:val="en-GB" w:eastAsia="en-US"/>
    </w:rPr>
  </w:style>
  <w:style w:type="paragraph" w:customStyle="1" w:styleId="118">
    <w:name w:val="Table_Text"/>
    <w:basedOn w:val="1"/>
    <w:uiPriority w:val="0"/>
    <w:pPr>
      <w:widowControl/>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jc w:val="left"/>
      <w:textAlignment w:val="baseline"/>
    </w:pPr>
    <w:rPr>
      <w:kern w:val="0"/>
      <w:sz w:val="22"/>
      <w:szCs w:val="20"/>
      <w:lang w:val="en-GB" w:eastAsia="en-US"/>
    </w:rPr>
  </w:style>
  <w:style w:type="paragraph" w:customStyle="1" w:styleId="119">
    <w:name w:val="Table_Title"/>
    <w:basedOn w:val="1"/>
    <w:next w:val="118"/>
    <w:uiPriority w:val="0"/>
    <w:pPr>
      <w:keepNext/>
      <w:keepLines/>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b/>
      <w:kern w:val="0"/>
      <w:sz w:val="24"/>
      <w:szCs w:val="20"/>
      <w:lang w:val="en-GB" w:eastAsia="en-US"/>
    </w:rPr>
  </w:style>
  <w:style w:type="paragraph" w:customStyle="1" w:styleId="120">
    <w:name w:val="Table_Head"/>
    <w:basedOn w:val="118"/>
    <w:uiPriority w:val="0"/>
    <w:pPr>
      <w:spacing w:before="80" w:after="80"/>
      <w:jc w:val="center"/>
    </w:pPr>
    <w:rPr>
      <w:b/>
    </w:rPr>
  </w:style>
  <w:style w:type="paragraph" w:customStyle="1" w:styleId="121">
    <w:name w:val="Figure_#"/>
    <w:basedOn w:val="1"/>
    <w:next w:val="122"/>
    <w:uiPriority w:val="0"/>
    <w:pPr>
      <w:keepNext/>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kern w:val="0"/>
      <w:sz w:val="24"/>
      <w:szCs w:val="20"/>
      <w:lang w:val="en-GB" w:eastAsia="en-US"/>
    </w:rPr>
  </w:style>
  <w:style w:type="paragraph" w:customStyle="1" w:styleId="122">
    <w:name w:val="Figure_Title"/>
    <w:basedOn w:val="119"/>
    <w:next w:val="1"/>
    <w:uiPriority w:val="0"/>
    <w:pPr>
      <w:keepNext w:val="0"/>
      <w:spacing w:before="120" w:after="480"/>
    </w:pPr>
  </w:style>
  <w:style w:type="paragraph" w:customStyle="1" w:styleId="123">
    <w:name w:val="Note"/>
    <w:basedOn w:val="1"/>
    <w:uiPriority w:val="0"/>
    <w:pPr>
      <w:widowControl/>
      <w:tabs>
        <w:tab w:val="left" w:pos="794"/>
        <w:tab w:val="left" w:pos="1191"/>
        <w:tab w:val="left" w:pos="1588"/>
        <w:tab w:val="left" w:pos="1985"/>
      </w:tabs>
      <w:overflowPunct w:val="0"/>
      <w:autoSpaceDE w:val="0"/>
      <w:autoSpaceDN w:val="0"/>
      <w:adjustRightInd w:val="0"/>
      <w:spacing w:before="120"/>
      <w:textAlignment w:val="baseline"/>
    </w:pPr>
    <w:rPr>
      <w:kern w:val="0"/>
      <w:sz w:val="22"/>
      <w:szCs w:val="20"/>
      <w:lang w:val="en-GB" w:eastAsia="en-US"/>
    </w:rPr>
  </w:style>
  <w:style w:type="paragraph" w:customStyle="1" w:styleId="124">
    <w:name w:val="Appendix_#"/>
    <w:basedOn w:val="116"/>
    <w:next w:val="125"/>
    <w:uiPriority w:val="0"/>
  </w:style>
  <w:style w:type="paragraph" w:customStyle="1" w:styleId="125">
    <w:name w:val="Appendix_Ref"/>
    <w:basedOn w:val="126"/>
    <w:next w:val="129"/>
    <w:uiPriority w:val="0"/>
    <w:pPr>
      <w:tabs>
        <w:tab w:val="left" w:pos="794"/>
        <w:tab w:val="left" w:pos="1191"/>
        <w:tab w:val="left" w:pos="1588"/>
        <w:tab w:val="left" w:pos="1985"/>
      </w:tabs>
    </w:pPr>
  </w:style>
  <w:style w:type="paragraph" w:customStyle="1" w:styleId="126">
    <w:name w:val="Annex_Ref"/>
    <w:basedOn w:val="1"/>
    <w:next w:val="127"/>
    <w:uiPriority w:val="0"/>
    <w:pPr>
      <w:keepNext/>
      <w:keepLines/>
      <w:widowControl/>
      <w:tabs>
        <w:tab w:val="left" w:pos="794"/>
        <w:tab w:val="left" w:pos="1191"/>
        <w:tab w:val="left" w:pos="1588"/>
        <w:tab w:val="left" w:pos="1985"/>
      </w:tabs>
      <w:overflowPunct w:val="0"/>
      <w:autoSpaceDE w:val="0"/>
      <w:autoSpaceDN w:val="0"/>
      <w:adjustRightInd w:val="0"/>
      <w:spacing w:before="120"/>
      <w:jc w:val="center"/>
      <w:textAlignment w:val="baseline"/>
    </w:pPr>
    <w:rPr>
      <w:kern w:val="0"/>
      <w:sz w:val="24"/>
      <w:szCs w:val="20"/>
      <w:lang w:val="en-GB" w:eastAsia="en-US"/>
    </w:rPr>
  </w:style>
  <w:style w:type="paragraph" w:customStyle="1" w:styleId="127">
    <w:name w:val="Annex_Title"/>
    <w:basedOn w:val="1"/>
    <w:next w:val="128"/>
    <w:uiPriority w:val="0"/>
    <w:pPr>
      <w:keepNext/>
      <w:keepLines/>
      <w:widowControl/>
      <w:tabs>
        <w:tab w:val="left" w:pos="794"/>
        <w:tab w:val="left" w:pos="1191"/>
        <w:tab w:val="left" w:pos="1588"/>
        <w:tab w:val="left" w:pos="1985"/>
      </w:tabs>
      <w:overflowPunct w:val="0"/>
      <w:autoSpaceDE w:val="0"/>
      <w:autoSpaceDN w:val="0"/>
      <w:adjustRightInd w:val="0"/>
      <w:spacing w:before="80" w:after="20"/>
      <w:jc w:val="center"/>
      <w:textAlignment w:val="baseline"/>
    </w:pPr>
    <w:rPr>
      <w:b/>
      <w:kern w:val="0"/>
      <w:sz w:val="24"/>
      <w:szCs w:val="20"/>
      <w:lang w:val="en-GB" w:eastAsia="en-US"/>
    </w:rPr>
  </w:style>
  <w:style w:type="paragraph" w:customStyle="1" w:styleId="128">
    <w:name w:val="Normal after title"/>
    <w:basedOn w:val="1"/>
    <w:next w:val="1"/>
    <w:uiPriority w:val="0"/>
    <w:pPr>
      <w:widowControl/>
      <w:tabs>
        <w:tab w:val="left" w:pos="794"/>
        <w:tab w:val="left" w:pos="1191"/>
        <w:tab w:val="left" w:pos="1588"/>
        <w:tab w:val="left" w:pos="1985"/>
      </w:tabs>
      <w:overflowPunct w:val="0"/>
      <w:autoSpaceDE w:val="0"/>
      <w:autoSpaceDN w:val="0"/>
      <w:adjustRightInd w:val="0"/>
      <w:spacing w:before="320"/>
      <w:textAlignment w:val="baseline"/>
    </w:pPr>
    <w:rPr>
      <w:kern w:val="0"/>
      <w:sz w:val="24"/>
      <w:szCs w:val="20"/>
      <w:lang w:val="en-GB" w:eastAsia="en-US"/>
    </w:rPr>
  </w:style>
  <w:style w:type="paragraph" w:customStyle="1" w:styleId="129">
    <w:name w:val="Appendix_Title"/>
    <w:basedOn w:val="127"/>
    <w:next w:val="128"/>
    <w:uiPriority w:val="0"/>
  </w:style>
  <w:style w:type="paragraph" w:customStyle="1" w:styleId="130">
    <w:name w:val="Equation"/>
    <w:basedOn w:val="1"/>
    <w:uiPriority w:val="0"/>
    <w:pPr>
      <w:widowControl/>
      <w:tabs>
        <w:tab w:val="left" w:pos="794"/>
        <w:tab w:val="center" w:pos="4876"/>
        <w:tab w:val="right" w:pos="9752"/>
      </w:tabs>
      <w:overflowPunct w:val="0"/>
      <w:autoSpaceDE w:val="0"/>
      <w:autoSpaceDN w:val="0"/>
      <w:adjustRightInd w:val="0"/>
      <w:spacing w:before="120"/>
      <w:textAlignment w:val="baseline"/>
    </w:pPr>
    <w:rPr>
      <w:kern w:val="0"/>
      <w:sz w:val="24"/>
      <w:szCs w:val="20"/>
      <w:lang w:val="en-GB" w:eastAsia="en-US"/>
    </w:rPr>
  </w:style>
  <w:style w:type="paragraph" w:customStyle="1" w:styleId="131">
    <w:name w:val="heading_b"/>
    <w:basedOn w:val="4"/>
    <w:next w:val="1"/>
    <w:uiPriority w:val="0"/>
    <w:pPr>
      <w:widowControl/>
      <w:tabs>
        <w:tab w:val="left" w:pos="794"/>
        <w:tab w:val="left" w:pos="2127"/>
        <w:tab w:val="left" w:pos="2410"/>
        <w:tab w:val="left" w:pos="2921"/>
        <w:tab w:val="left" w:pos="3261"/>
      </w:tabs>
      <w:overflowPunct w:val="0"/>
      <w:autoSpaceDE w:val="0"/>
      <w:autoSpaceDN w:val="0"/>
      <w:adjustRightInd w:val="0"/>
      <w:spacing w:before="160" w:after="0" w:line="240" w:lineRule="auto"/>
      <w:jc w:val="left"/>
      <w:textAlignment w:val="baseline"/>
      <w:outlineLvl w:val="9"/>
    </w:pPr>
    <w:rPr>
      <w:bCs w:val="0"/>
      <w:kern w:val="0"/>
      <w:sz w:val="24"/>
      <w:szCs w:val="20"/>
      <w:lang w:val="en-GB" w:eastAsia="en-US"/>
    </w:rPr>
  </w:style>
  <w:style w:type="paragraph" w:customStyle="1" w:styleId="132">
    <w:name w:val="列项"/>
    <w:basedOn w:val="1"/>
    <w:uiPriority w:val="0"/>
    <w:pPr>
      <w:numPr>
        <w:ilvl w:val="0"/>
        <w:numId w:val="10"/>
      </w:numPr>
      <w:adjustRightInd w:val="0"/>
    </w:pPr>
    <w:rPr>
      <w:szCs w:val="20"/>
    </w:rPr>
  </w:style>
  <w:style w:type="paragraph" w:customStyle="1" w:styleId="133">
    <w:name w:val="列项细分"/>
    <w:basedOn w:val="1"/>
    <w:uiPriority w:val="0"/>
    <w:pPr>
      <w:tabs>
        <w:tab w:val="decimal" w:pos="1161"/>
        <w:tab w:val="left" w:pos="1196"/>
      </w:tabs>
      <w:ind w:left="1140" w:hanging="301"/>
    </w:pPr>
    <w:rPr>
      <w:rFonts w:ascii="宋体"/>
      <w:szCs w:val="20"/>
    </w:rPr>
  </w:style>
  <w:style w:type="paragraph" w:customStyle="1" w:styleId="134">
    <w:name w:val="插图题注"/>
    <w:basedOn w:val="1"/>
    <w:uiPriority w:val="0"/>
    <w:pPr>
      <w:tabs>
        <w:tab w:val="left" w:pos="720"/>
      </w:tabs>
      <w:autoSpaceDE w:val="0"/>
      <w:autoSpaceDN w:val="0"/>
      <w:adjustRightInd w:val="0"/>
      <w:spacing w:before="80" w:after="80"/>
      <w:ind w:left="425" w:hanging="425"/>
      <w:jc w:val="center"/>
    </w:pPr>
    <w:rPr>
      <w:kern w:val="0"/>
      <w:sz w:val="24"/>
      <w:szCs w:val="20"/>
    </w:rPr>
  </w:style>
  <w:style w:type="paragraph" w:customStyle="1" w:styleId="135">
    <w:name w:val="正文编号"/>
    <w:basedOn w:val="136"/>
    <w:uiPriority w:val="0"/>
    <w:pPr>
      <w:tabs>
        <w:tab w:val="left" w:pos="1260"/>
      </w:tabs>
      <w:spacing w:after="60"/>
      <w:ind w:left="1259" w:hanging="357"/>
    </w:pPr>
    <w:rPr>
      <w:rFonts w:ascii="宋体"/>
    </w:rPr>
  </w:style>
  <w:style w:type="paragraph" w:customStyle="1" w:styleId="136">
    <w:name w:val="首行缩进"/>
    <w:basedOn w:val="1"/>
    <w:uiPriority w:val="0"/>
    <w:pPr>
      <w:autoSpaceDE w:val="0"/>
      <w:autoSpaceDN w:val="0"/>
      <w:adjustRightInd w:val="0"/>
      <w:spacing w:after="240" w:line="360" w:lineRule="auto"/>
      <w:ind w:left="544" w:firstLine="567"/>
    </w:pPr>
    <w:rPr>
      <w:kern w:val="0"/>
      <w:sz w:val="24"/>
      <w:szCs w:val="20"/>
    </w:rPr>
  </w:style>
  <w:style w:type="paragraph" w:customStyle="1" w:styleId="137">
    <w:name w:val="表号"/>
    <w:basedOn w:val="1"/>
    <w:uiPriority w:val="0"/>
    <w:pPr>
      <w:tabs>
        <w:tab w:val="left" w:pos="567"/>
        <w:tab w:val="left" w:pos="720"/>
      </w:tabs>
      <w:autoSpaceDE w:val="0"/>
      <w:autoSpaceDN w:val="0"/>
      <w:adjustRightInd w:val="0"/>
      <w:spacing w:before="210" w:after="60"/>
      <w:ind w:left="425" w:hanging="425"/>
      <w:jc w:val="center"/>
    </w:pPr>
    <w:rPr>
      <w:rFonts w:ascii="宋体"/>
      <w:kern w:val="0"/>
      <w:sz w:val="24"/>
      <w:szCs w:val="20"/>
    </w:rPr>
  </w:style>
  <w:style w:type="paragraph" w:customStyle="1" w:styleId="138">
    <w:name w:val="ASN1"/>
    <w:basedOn w:val="1"/>
    <w:uiPriority w:val="0"/>
    <w:pPr>
      <w:widowControl/>
      <w:overflowPunct w:val="0"/>
      <w:autoSpaceDE w:val="0"/>
      <w:autoSpaceDN w:val="0"/>
      <w:adjustRightInd w:val="0"/>
      <w:jc w:val="left"/>
      <w:textAlignment w:val="baseline"/>
    </w:pPr>
    <w:rPr>
      <w:rFonts w:ascii="LinePrinter" w:hAnsi="LinePrinter"/>
      <w:kern w:val="0"/>
      <w:sz w:val="17"/>
      <w:szCs w:val="20"/>
    </w:rPr>
  </w:style>
  <w:style w:type="paragraph" w:customStyle="1" w:styleId="139">
    <w:name w:val="PL"/>
    <w:uiPriority w:val="0"/>
    <w:pPr>
      <w:widowControl w:v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bidi="ar-SA"/>
    </w:rPr>
  </w:style>
  <w:style w:type="paragraph" w:customStyle="1" w:styleId="140">
    <w:name w:val="ASN.1"/>
    <w:basedOn w:val="1"/>
    <w:uiPriority w:val="0"/>
    <w:pPr>
      <w:tabs>
        <w:tab w:val="left" w:pos="567"/>
        <w:tab w:val="left" w:pos="1134"/>
        <w:tab w:val="left" w:pos="1701"/>
        <w:tab w:val="left" w:pos="2268"/>
        <w:tab w:val="left" w:pos="2835"/>
        <w:tab w:val="left" w:pos="3402"/>
        <w:tab w:val="left" w:pos="3969"/>
        <w:tab w:val="left" w:pos="4536"/>
        <w:tab w:val="left" w:pos="5103"/>
        <w:tab w:val="left" w:pos="5670"/>
      </w:tabs>
      <w:autoSpaceDE w:val="0"/>
      <w:autoSpaceDN w:val="0"/>
      <w:adjustRightInd w:val="0"/>
      <w:jc w:val="left"/>
    </w:pPr>
    <w:rPr>
      <w:b/>
      <w:kern w:val="0"/>
      <w:sz w:val="20"/>
      <w:szCs w:val="20"/>
    </w:rPr>
  </w:style>
  <w:style w:type="paragraph" w:customStyle="1" w:styleId="141">
    <w:name w:val="缺省文本"/>
    <w:basedOn w:val="1"/>
    <w:uiPriority w:val="0"/>
    <w:pPr>
      <w:autoSpaceDE w:val="0"/>
      <w:autoSpaceDN w:val="0"/>
      <w:adjustRightInd w:val="0"/>
      <w:jc w:val="left"/>
    </w:pPr>
    <w:rPr>
      <w:kern w:val="0"/>
      <w:szCs w:val="20"/>
    </w:rPr>
  </w:style>
  <w:style w:type="paragraph" w:customStyle="1" w:styleId="142">
    <w:name w:val="table left"/>
    <w:basedOn w:val="1"/>
    <w:uiPriority w:val="0"/>
    <w:pPr>
      <w:keepNext/>
      <w:widowControl/>
      <w:spacing w:before="40" w:after="40"/>
      <w:ind w:left="40" w:right="40"/>
      <w:jc w:val="left"/>
    </w:pPr>
    <w:rPr>
      <w:rFonts w:ascii="Helvetica" w:hAnsi="Helvetica"/>
      <w:kern w:val="0"/>
      <w:sz w:val="18"/>
      <w:szCs w:val="20"/>
    </w:rPr>
  </w:style>
  <w:style w:type="paragraph" w:customStyle="1" w:styleId="143">
    <w:name w:val="ASN1_Comment"/>
    <w:basedOn w:val="1"/>
    <w:uiPriority w:val="0"/>
    <w:pPr>
      <w:widowControl/>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jc w:val="left"/>
      <w:textAlignment w:val="baseline"/>
    </w:pPr>
    <w:rPr>
      <w:i/>
      <w:kern w:val="0"/>
      <w:sz w:val="20"/>
      <w:szCs w:val="20"/>
      <w:lang w:val="en-GB" w:eastAsia="en-US"/>
    </w:rPr>
  </w:style>
  <w:style w:type="paragraph" w:customStyle="1" w:styleId="144">
    <w:name w:val="table header center"/>
    <w:basedOn w:val="142"/>
    <w:uiPriority w:val="0"/>
    <w:pPr>
      <w:spacing w:before="60" w:after="60"/>
      <w:ind w:left="0" w:right="0"/>
      <w:jc w:val="center"/>
    </w:pPr>
    <w:rPr>
      <w:b/>
    </w:rPr>
  </w:style>
  <w:style w:type="paragraph" w:customStyle="1" w:styleId="145">
    <w:name w:val="table center"/>
    <w:basedOn w:val="142"/>
    <w:uiPriority w:val="0"/>
    <w:pPr>
      <w:ind w:left="0" w:right="0"/>
      <w:jc w:val="center"/>
    </w:pPr>
  </w:style>
  <w:style w:type="paragraph" w:customStyle="1" w:styleId="146">
    <w:name w:val="首页脚注"/>
    <w:basedOn w:val="31"/>
    <w:uiPriority w:val="0"/>
    <w:pPr>
      <w:tabs>
        <w:tab w:val="left" w:pos="57"/>
        <w:tab w:val="clear" w:pos="4153"/>
        <w:tab w:val="clear" w:pos="8306"/>
      </w:tabs>
      <w:snapToGrid/>
      <w:spacing w:line="318" w:lineRule="atLeast"/>
      <w:ind w:right="0" w:rightChars="0" w:firstLine="510"/>
      <w:jc w:val="center"/>
    </w:pPr>
    <w:rPr>
      <w:rFonts w:ascii="黑体" w:eastAsia="黑体"/>
      <w:spacing w:val="-35"/>
      <w:kern w:val="0"/>
      <w:sz w:val="21"/>
      <w:szCs w:val="20"/>
    </w:rPr>
  </w:style>
  <w:style w:type="paragraph" w:customStyle="1" w:styleId="147">
    <w:name w:val="首页篇眉"/>
    <w:basedOn w:val="33"/>
    <w:uiPriority w:val="0"/>
    <w:pPr>
      <w:tabs>
        <w:tab w:val="left" w:pos="57"/>
        <w:tab w:val="clear" w:pos="4153"/>
        <w:tab w:val="clear" w:pos="8306"/>
      </w:tabs>
      <w:snapToGrid/>
      <w:spacing w:line="318" w:lineRule="atLeast"/>
    </w:pPr>
    <w:rPr>
      <w:rFonts w:ascii="宋体"/>
      <w:kern w:val="0"/>
      <w:sz w:val="21"/>
      <w:szCs w:val="20"/>
    </w:rPr>
  </w:style>
  <w:style w:type="paragraph" w:customStyle="1" w:styleId="148">
    <w:name w:val="Normal short"/>
    <w:basedOn w:val="1"/>
    <w:next w:val="149"/>
    <w:uiPriority w:val="0"/>
    <w:pPr>
      <w:keepNext/>
      <w:widowControl/>
      <w:spacing w:after="160"/>
      <w:ind w:left="1440"/>
    </w:pPr>
    <w:rPr>
      <w:rFonts w:ascii="Times" w:hAnsi="Times"/>
      <w:kern w:val="0"/>
      <w:sz w:val="20"/>
      <w:szCs w:val="20"/>
    </w:rPr>
  </w:style>
  <w:style w:type="paragraph" w:customStyle="1" w:styleId="149">
    <w:name w:val="figure narrow"/>
    <w:basedOn w:val="148"/>
    <w:uiPriority w:val="0"/>
    <w:pPr>
      <w:pBdr>
        <w:top w:val="single" w:color="auto" w:sz="6" w:space="3"/>
        <w:left w:val="single" w:color="auto" w:sz="6" w:space="3"/>
        <w:bottom w:val="single" w:color="auto" w:sz="6" w:space="3"/>
        <w:right w:val="single" w:color="auto" w:sz="6" w:space="3"/>
      </w:pBdr>
      <w:ind w:left="2060" w:right="180" w:hanging="260"/>
    </w:pPr>
  </w:style>
  <w:style w:type="paragraph" w:customStyle="1" w:styleId="150">
    <w:name w:val="figure"/>
    <w:basedOn w:val="1"/>
    <w:uiPriority w:val="0"/>
    <w:pPr>
      <w:keepNext/>
      <w:widowControl/>
      <w:pBdr>
        <w:top w:val="single" w:color="auto" w:sz="6" w:space="3"/>
        <w:left w:val="single" w:color="auto" w:sz="6" w:space="3"/>
        <w:bottom w:val="single" w:color="auto" w:sz="6" w:space="3"/>
        <w:right w:val="single" w:color="auto" w:sz="6" w:space="3"/>
      </w:pBdr>
      <w:ind w:left="187" w:right="101"/>
      <w:jc w:val="center"/>
    </w:pPr>
    <w:rPr>
      <w:rFonts w:ascii="Times" w:hAnsi="Times"/>
      <w:kern w:val="0"/>
      <w:sz w:val="20"/>
      <w:szCs w:val="20"/>
    </w:rPr>
  </w:style>
  <w:style w:type="paragraph" w:customStyle="1" w:styleId="151">
    <w:name w:val="Scenario step"/>
    <w:basedOn w:val="1"/>
    <w:uiPriority w:val="0"/>
    <w:pPr>
      <w:widowControl/>
      <w:spacing w:before="80" w:after="80"/>
      <w:ind w:left="1880" w:hanging="440"/>
    </w:pPr>
    <w:rPr>
      <w:rFonts w:ascii="Times" w:hAnsi="Times"/>
      <w:kern w:val="0"/>
      <w:sz w:val="20"/>
      <w:szCs w:val="20"/>
    </w:rPr>
  </w:style>
  <w:style w:type="paragraph" w:customStyle="1" w:styleId="152">
    <w:name w:val="Table header"/>
    <w:basedOn w:val="153"/>
    <w:uiPriority w:val="0"/>
    <w:pPr>
      <w:spacing w:before="60" w:after="60"/>
      <w:ind w:left="0" w:firstLine="0"/>
      <w:jc w:val="left"/>
    </w:pPr>
    <w:rPr>
      <w:rFonts w:ascii="Helvetica" w:hAnsi="Helvetica"/>
      <w:sz w:val="18"/>
    </w:rPr>
  </w:style>
  <w:style w:type="paragraph" w:customStyle="1" w:styleId="153">
    <w:name w:val="list 1"/>
    <w:basedOn w:val="1"/>
    <w:uiPriority w:val="0"/>
    <w:pPr>
      <w:keepNext/>
      <w:widowControl/>
      <w:spacing w:after="160"/>
      <w:ind w:left="2160" w:hanging="360"/>
    </w:pPr>
    <w:rPr>
      <w:rFonts w:ascii="Times" w:hAnsi="Times"/>
      <w:kern w:val="0"/>
      <w:sz w:val="20"/>
      <w:szCs w:val="20"/>
    </w:rPr>
  </w:style>
  <w:style w:type="paragraph" w:customStyle="1" w:styleId="154">
    <w:name w:val="Table entry"/>
    <w:basedOn w:val="153"/>
    <w:uiPriority w:val="0"/>
    <w:pPr>
      <w:tabs>
        <w:tab w:val="left" w:pos="180"/>
      </w:tabs>
      <w:spacing w:before="60" w:after="60"/>
      <w:ind w:left="260" w:hanging="260"/>
      <w:jc w:val="left"/>
    </w:pPr>
    <w:rPr>
      <w:sz w:val="18"/>
    </w:rPr>
  </w:style>
  <w:style w:type="paragraph" w:customStyle="1" w:styleId="155">
    <w:name w:val="Unnamed Style"/>
    <w:basedOn w:val="1"/>
    <w:next w:val="1"/>
    <w:uiPriority w:val="0"/>
    <w:pPr>
      <w:widowControl/>
      <w:ind w:left="80" w:right="100"/>
    </w:pPr>
    <w:rPr>
      <w:rFonts w:ascii="Courier" w:hAnsi="Courier"/>
      <w:vanish/>
      <w:kern w:val="0"/>
      <w:sz w:val="20"/>
      <w:szCs w:val="20"/>
    </w:rPr>
  </w:style>
  <w:style w:type="paragraph" w:customStyle="1" w:styleId="156">
    <w:name w:val="table center middle"/>
    <w:basedOn w:val="145"/>
    <w:uiPriority w:val="0"/>
    <w:pPr>
      <w:keepNext w:val="0"/>
      <w:spacing w:after="0" w:line="20" w:lineRule="exact"/>
    </w:pPr>
  </w:style>
  <w:style w:type="paragraph" w:customStyle="1" w:styleId="157">
    <w:name w:val="Encoding entry"/>
    <w:basedOn w:val="1"/>
    <w:uiPriority w:val="0"/>
    <w:pPr>
      <w:keepNext/>
      <w:keepLines/>
      <w:widowControl/>
      <w:pBdr>
        <w:left w:val="single" w:color="auto" w:sz="2" w:space="3"/>
        <w:right w:val="single" w:color="auto" w:sz="2" w:space="3"/>
      </w:pBdr>
      <w:tabs>
        <w:tab w:val="center" w:pos="2160"/>
        <w:tab w:val="center" w:pos="2420"/>
        <w:tab w:val="center" w:pos="2700"/>
        <w:tab w:val="center" w:pos="2960"/>
        <w:tab w:val="center" w:pos="3240"/>
        <w:tab w:val="center" w:pos="3500"/>
        <w:tab w:val="center" w:pos="3780"/>
        <w:tab w:val="center" w:pos="4040"/>
        <w:tab w:val="center" w:pos="4580"/>
        <w:tab w:val="left" w:pos="5220"/>
      </w:tabs>
      <w:ind w:left="5040" w:right="72" w:hanging="3571"/>
    </w:pPr>
    <w:rPr>
      <w:rFonts w:ascii="Times" w:hAnsi="Times"/>
      <w:kern w:val="0"/>
      <w:sz w:val="18"/>
      <w:szCs w:val="20"/>
    </w:rPr>
  </w:style>
  <w:style w:type="paragraph" w:customStyle="1" w:styleId="158">
    <w:name w:val="header even"/>
    <w:basedOn w:val="33"/>
    <w:uiPriority w:val="0"/>
    <w:pPr>
      <w:widowControl/>
      <w:pBdr>
        <w:bottom w:val="none" w:color="auto" w:sz="0" w:space="0"/>
      </w:pBdr>
      <w:tabs>
        <w:tab w:val="right" w:pos="8640"/>
        <w:tab w:val="clear" w:pos="4153"/>
        <w:tab w:val="clear" w:pos="8306"/>
      </w:tabs>
      <w:snapToGrid/>
      <w:jc w:val="left"/>
    </w:pPr>
    <w:rPr>
      <w:rFonts w:ascii="Helvetica" w:hAnsi="Helvetica"/>
      <w:kern w:val="0"/>
      <w:szCs w:val="20"/>
    </w:rPr>
  </w:style>
  <w:style w:type="paragraph" w:customStyle="1" w:styleId="159">
    <w:name w:val="footer even"/>
    <w:basedOn w:val="158"/>
    <w:uiPriority w:val="0"/>
    <w:pPr>
      <w:tabs>
        <w:tab w:val="center" w:pos="4320"/>
      </w:tabs>
    </w:pPr>
  </w:style>
  <w:style w:type="paragraph" w:customStyle="1" w:styleId="160">
    <w:name w:val="列表 21"/>
    <w:basedOn w:val="153"/>
    <w:uiPriority w:val="0"/>
    <w:pPr>
      <w:ind w:left="2520"/>
    </w:pPr>
  </w:style>
  <w:style w:type="paragraph" w:customStyle="1" w:styleId="161">
    <w:name w:val="note"/>
    <w:basedOn w:val="1"/>
    <w:uiPriority w:val="0"/>
    <w:pPr>
      <w:keepNext/>
      <w:widowControl/>
      <w:pBdr>
        <w:top w:val="double" w:color="auto" w:sz="6" w:space="5"/>
        <w:left w:val="double" w:color="auto" w:sz="6" w:space="5"/>
        <w:bottom w:val="double" w:color="auto" w:sz="6" w:space="5"/>
        <w:right w:val="double" w:color="auto" w:sz="6" w:space="5"/>
      </w:pBdr>
      <w:shd w:val="pct5" w:color="auto" w:fill="auto"/>
      <w:spacing w:after="200"/>
      <w:ind w:left="1620" w:right="180"/>
    </w:pPr>
    <w:rPr>
      <w:rFonts w:ascii="Times" w:hAnsi="Times"/>
      <w:kern w:val="0"/>
      <w:sz w:val="20"/>
      <w:szCs w:val="20"/>
    </w:rPr>
  </w:style>
  <w:style w:type="paragraph" w:customStyle="1" w:styleId="162">
    <w:name w:val="Encoding entry meaning"/>
    <w:basedOn w:val="157"/>
    <w:uiPriority w:val="0"/>
    <w:pPr>
      <w:keepLines w:val="0"/>
      <w:pBdr>
        <w:left w:val="none" w:color="auto" w:sz="0" w:space="0"/>
        <w:right w:val="none" w:color="auto" w:sz="0" w:space="0"/>
      </w:pBdr>
      <w:tabs>
        <w:tab w:val="clear" w:pos="2160"/>
        <w:tab w:val="clear" w:pos="2420"/>
        <w:tab w:val="clear" w:pos="2700"/>
        <w:tab w:val="clear" w:pos="2960"/>
        <w:tab w:val="clear" w:pos="3240"/>
        <w:tab w:val="clear" w:pos="3500"/>
        <w:tab w:val="clear" w:pos="3780"/>
        <w:tab w:val="clear" w:pos="4040"/>
        <w:tab w:val="clear" w:pos="4580"/>
        <w:tab w:val="clear" w:pos="5220"/>
      </w:tabs>
      <w:spacing w:before="20" w:after="20"/>
      <w:ind w:left="0" w:firstLine="0"/>
    </w:pPr>
  </w:style>
  <w:style w:type="paragraph" w:customStyle="1" w:styleId="163">
    <w:name w:val="Encoding table lead"/>
    <w:basedOn w:val="157"/>
    <w:uiPriority w:val="0"/>
    <w:pPr>
      <w:spacing w:line="160" w:lineRule="exact"/>
    </w:pPr>
  </w:style>
  <w:style w:type="paragraph" w:customStyle="1" w:styleId="164">
    <w:name w:val="Encoding box top"/>
    <w:basedOn w:val="165"/>
    <w:uiPriority w:val="0"/>
    <w:pPr>
      <w:pBdr>
        <w:top w:val="single" w:color="auto" w:sz="2" w:space="0"/>
      </w:pBdr>
      <w:spacing w:before="0" w:after="0" w:line="20" w:lineRule="exact"/>
    </w:pPr>
    <w:rPr>
      <w:sz w:val="8"/>
    </w:rPr>
  </w:style>
  <w:style w:type="paragraph" w:customStyle="1" w:styleId="165">
    <w:name w:val="Encoding title"/>
    <w:basedOn w:val="1"/>
    <w:uiPriority w:val="0"/>
    <w:pPr>
      <w:keepNext/>
      <w:widowControl/>
      <w:pBdr>
        <w:left w:val="single" w:color="auto" w:sz="2" w:space="3"/>
        <w:right w:val="single" w:color="auto" w:sz="2" w:space="3"/>
      </w:pBdr>
      <w:spacing w:before="160" w:after="80"/>
      <w:ind w:left="5040" w:right="72" w:hanging="3571"/>
    </w:pPr>
    <w:rPr>
      <w:rFonts w:ascii="Times" w:hAnsi="Times"/>
      <w:i/>
      <w:kern w:val="0"/>
      <w:sz w:val="20"/>
      <w:szCs w:val="20"/>
    </w:rPr>
  </w:style>
  <w:style w:type="paragraph" w:customStyle="1" w:styleId="166">
    <w:name w:val="Encoding box bottom"/>
    <w:basedOn w:val="164"/>
    <w:uiPriority w:val="0"/>
    <w:pPr>
      <w:keepNext w:val="0"/>
      <w:pBdr>
        <w:top w:val="none" w:color="auto" w:sz="0" w:space="0"/>
        <w:bottom w:val="single" w:color="auto" w:sz="2" w:space="0"/>
      </w:pBdr>
      <w:spacing w:before="40" w:after="160"/>
    </w:pPr>
  </w:style>
  <w:style w:type="paragraph" w:customStyle="1" w:styleId="167">
    <w:name w:val="index"/>
    <w:basedOn w:val="1"/>
    <w:uiPriority w:val="0"/>
    <w:pPr>
      <w:keepNext/>
      <w:widowControl/>
      <w:ind w:left="360" w:right="100" w:hanging="360"/>
      <w:jc w:val="left"/>
    </w:pPr>
    <w:rPr>
      <w:rFonts w:ascii="Courier" w:hAnsi="Courier"/>
      <w:vanish/>
      <w:kern w:val="0"/>
      <w:sz w:val="20"/>
      <w:szCs w:val="20"/>
    </w:rPr>
  </w:style>
  <w:style w:type="paragraph" w:customStyle="1" w:styleId="168">
    <w:name w:val="Encoding entry elipse"/>
    <w:basedOn w:val="1"/>
    <w:uiPriority w:val="0"/>
    <w:pPr>
      <w:keepNext/>
      <w:widowControl/>
      <w:tabs>
        <w:tab w:val="center" w:pos="1742"/>
        <w:tab w:val="center" w:pos="3220"/>
      </w:tabs>
      <w:spacing w:before="20" w:after="20"/>
    </w:pPr>
    <w:rPr>
      <w:rFonts w:ascii="Times" w:hAnsi="Times"/>
      <w:kern w:val="0"/>
      <w:sz w:val="18"/>
      <w:szCs w:val="20"/>
    </w:rPr>
  </w:style>
  <w:style w:type="paragraph" w:customStyle="1" w:styleId="169">
    <w:name w:val="table right"/>
    <w:basedOn w:val="142"/>
    <w:uiPriority w:val="0"/>
    <w:pPr>
      <w:jc w:val="right"/>
    </w:pPr>
  </w:style>
  <w:style w:type="paragraph" w:customStyle="1" w:styleId="170">
    <w:name w:val="列表 41"/>
    <w:basedOn w:val="171"/>
    <w:uiPriority w:val="0"/>
    <w:pPr>
      <w:spacing w:after="80"/>
      <w:ind w:hanging="1397"/>
    </w:pPr>
  </w:style>
  <w:style w:type="paragraph" w:customStyle="1" w:styleId="171">
    <w:name w:val="列表 31"/>
    <w:basedOn w:val="160"/>
    <w:uiPriority w:val="0"/>
    <w:pPr>
      <w:keepNext w:val="0"/>
      <w:ind w:left="2880"/>
    </w:pPr>
  </w:style>
  <w:style w:type="paragraph" w:customStyle="1" w:styleId="172">
    <w:name w:val="boxed note"/>
    <w:basedOn w:val="1"/>
    <w:uiPriority w:val="0"/>
    <w:pPr>
      <w:widowControl/>
      <w:pBdr>
        <w:top w:val="double" w:color="auto" w:sz="6" w:space="5"/>
        <w:left w:val="double" w:color="auto" w:sz="6" w:space="5"/>
        <w:bottom w:val="double" w:color="auto" w:sz="6" w:space="5"/>
        <w:right w:val="double" w:color="auto" w:sz="6" w:space="5"/>
      </w:pBdr>
      <w:shd w:val="pct5" w:color="auto" w:fill="auto"/>
      <w:spacing w:before="100" w:after="100"/>
      <w:ind w:left="360" w:right="360"/>
    </w:pPr>
    <w:rPr>
      <w:rFonts w:ascii="New York" w:hAnsi="New York"/>
      <w:kern w:val="0"/>
      <w:sz w:val="20"/>
      <w:szCs w:val="20"/>
    </w:rPr>
  </w:style>
  <w:style w:type="paragraph" w:customStyle="1" w:styleId="173">
    <w:name w:val="big figure"/>
    <w:basedOn w:val="1"/>
    <w:next w:val="10"/>
    <w:uiPriority w:val="0"/>
    <w:pPr>
      <w:keepNext/>
      <w:widowControl/>
      <w:pBdr>
        <w:top w:val="single" w:color="auto" w:sz="6" w:space="4"/>
        <w:left w:val="single" w:color="auto" w:sz="6" w:space="4"/>
        <w:bottom w:val="single" w:color="auto" w:sz="6" w:space="4"/>
        <w:right w:val="single" w:color="auto" w:sz="6" w:space="4"/>
      </w:pBdr>
      <w:ind w:left="187" w:right="101"/>
      <w:jc w:val="center"/>
    </w:pPr>
    <w:rPr>
      <w:rFonts w:ascii="Times" w:hAnsi="Times"/>
      <w:kern w:val="0"/>
      <w:sz w:val="20"/>
      <w:szCs w:val="20"/>
    </w:rPr>
  </w:style>
  <w:style w:type="paragraph" w:customStyle="1" w:styleId="174">
    <w:name w:val="Encoding entry list"/>
    <w:basedOn w:val="157"/>
    <w:uiPriority w:val="0"/>
    <w:pPr>
      <w:tabs>
        <w:tab w:val="right" w:pos="3420"/>
        <w:tab w:val="clear" w:pos="2160"/>
        <w:tab w:val="clear" w:pos="2420"/>
        <w:tab w:val="clear" w:pos="2700"/>
        <w:tab w:val="clear" w:pos="2960"/>
        <w:tab w:val="clear" w:pos="3240"/>
        <w:tab w:val="clear" w:pos="3500"/>
        <w:tab w:val="clear" w:pos="3780"/>
        <w:tab w:val="clear" w:pos="4040"/>
        <w:tab w:val="clear" w:pos="4580"/>
        <w:tab w:val="clear" w:pos="5220"/>
      </w:tabs>
    </w:pPr>
  </w:style>
  <w:style w:type="paragraph" w:customStyle="1" w:styleId="175">
    <w:name w:val="table filler"/>
    <w:basedOn w:val="142"/>
    <w:uiPriority w:val="0"/>
    <w:pPr>
      <w:spacing w:before="0" w:after="0" w:line="40" w:lineRule="exact"/>
      <w:ind w:left="0" w:right="86"/>
    </w:pPr>
    <w:rPr>
      <w:sz w:val="8"/>
    </w:rPr>
  </w:style>
  <w:style w:type="paragraph" w:customStyle="1" w:styleId="176">
    <w:name w:val="table continued"/>
    <w:basedOn w:val="10"/>
    <w:uiPriority w:val="0"/>
    <w:pPr>
      <w:keepNext w:val="0"/>
      <w:keepLines w:val="0"/>
      <w:widowControl/>
      <w:spacing w:before="40" w:after="0" w:line="240" w:lineRule="auto"/>
      <w:ind w:left="1160" w:hanging="1160"/>
      <w:jc w:val="right"/>
    </w:pPr>
    <w:rPr>
      <w:rFonts w:ascii="Helvetica" w:hAnsi="Helvetica" w:eastAsia="宋体"/>
      <w:b/>
      <w:kern w:val="0"/>
      <w:sz w:val="20"/>
      <w:szCs w:val="20"/>
    </w:rPr>
  </w:style>
  <w:style w:type="paragraph" w:customStyle="1" w:styleId="177">
    <w:name w:val="table header right"/>
    <w:basedOn w:val="144"/>
    <w:uiPriority w:val="0"/>
    <w:pPr>
      <w:spacing w:before="100" w:after="100"/>
      <w:ind w:left="-80" w:right="-80"/>
      <w:jc w:val="right"/>
    </w:pPr>
    <w:rPr>
      <w:b w:val="0"/>
      <w:vanish/>
      <w:sz w:val="16"/>
    </w:rPr>
  </w:style>
  <w:style w:type="paragraph" w:customStyle="1" w:styleId="178">
    <w:name w:val="heading"/>
    <w:basedOn w:val="2"/>
    <w:next w:val="1"/>
    <w:uiPriority w:val="0"/>
    <w:pPr>
      <w:keepLines w:val="0"/>
      <w:pageBreakBefore/>
      <w:widowControl/>
      <w:pBdr>
        <w:bottom w:val="single" w:color="auto" w:sz="2" w:space="2"/>
      </w:pBdr>
      <w:tabs>
        <w:tab w:val="bar" w:pos="8900"/>
      </w:tabs>
      <w:spacing w:before="160" w:after="160" w:line="240" w:lineRule="auto"/>
      <w:ind w:left="440" w:hanging="440"/>
      <w:jc w:val="left"/>
    </w:pPr>
    <w:rPr>
      <w:rFonts w:ascii="Helvetica" w:hAnsi="Helvetica"/>
      <w:bCs w:val="0"/>
      <w:kern w:val="0"/>
      <w:sz w:val="36"/>
      <w:szCs w:val="20"/>
    </w:rPr>
  </w:style>
  <w:style w:type="paragraph" w:customStyle="1" w:styleId="179">
    <w:name w:val="table header left"/>
    <w:basedOn w:val="142"/>
    <w:uiPriority w:val="0"/>
    <w:pPr>
      <w:spacing w:before="20" w:after="20"/>
      <w:ind w:left="80" w:right="86"/>
    </w:pPr>
    <w:rPr>
      <w:b/>
    </w:rPr>
  </w:style>
  <w:style w:type="paragraph" w:customStyle="1" w:styleId="180">
    <w:name w:val="list 1 long"/>
    <w:basedOn w:val="153"/>
    <w:uiPriority w:val="0"/>
    <w:pPr>
      <w:keepNext w:val="0"/>
      <w:spacing w:after="320"/>
    </w:pPr>
  </w:style>
  <w:style w:type="paragraph" w:customStyle="1" w:styleId="181">
    <w:name w:val="code"/>
    <w:basedOn w:val="1"/>
    <w:uiPriority w:val="0"/>
    <w:pPr>
      <w:keepNext/>
      <w:widowControl/>
      <w:tabs>
        <w:tab w:val="left" w:pos="1613"/>
        <w:tab w:val="left" w:pos="2419"/>
        <w:tab w:val="left" w:pos="3211"/>
        <w:tab w:val="left" w:pos="4003"/>
        <w:tab w:val="left" w:pos="4804"/>
        <w:tab w:val="left" w:pos="5602"/>
        <w:tab w:val="left" w:pos="6405"/>
        <w:tab w:val="left" w:pos="7200"/>
        <w:tab w:val="left" w:pos="8000"/>
      </w:tabs>
      <w:ind w:left="3694" w:right="360" w:hanging="814"/>
      <w:jc w:val="left"/>
    </w:pPr>
    <w:rPr>
      <w:rFonts w:ascii="Courier" w:hAnsi="Courier"/>
      <w:kern w:val="0"/>
      <w:sz w:val="18"/>
      <w:szCs w:val="20"/>
    </w:rPr>
  </w:style>
  <w:style w:type="paragraph" w:customStyle="1" w:styleId="182">
    <w:name w:val="numbers right"/>
    <w:uiPriority w:val="0"/>
    <w:pPr>
      <w:spacing w:line="220" w:lineRule="exact"/>
      <w:ind w:left="-720" w:right="-720"/>
      <w:jc w:val="right"/>
    </w:pPr>
    <w:rPr>
      <w:rFonts w:ascii="Helvetica" w:hAnsi="Helvetica"/>
      <w:sz w:val="12"/>
      <w:lang w:val="en-US" w:eastAsia="zh-CN" w:bidi="ar-SA"/>
    </w:rPr>
  </w:style>
  <w:style w:type="paragraph" w:customStyle="1" w:styleId="183">
    <w:name w:val="numbers left"/>
    <w:basedOn w:val="182"/>
    <w:uiPriority w:val="0"/>
    <w:pPr>
      <w:ind w:left="-1160" w:right="9540"/>
    </w:pPr>
  </w:style>
  <w:style w:type="paragraph" w:customStyle="1" w:styleId="184">
    <w:name w:val="notes"/>
    <w:basedOn w:val="1"/>
    <w:uiPriority w:val="0"/>
    <w:pPr>
      <w:keepNext/>
      <w:widowControl/>
      <w:spacing w:before="160" w:after="80"/>
      <w:ind w:left="1440"/>
    </w:pPr>
    <w:rPr>
      <w:rFonts w:ascii="Times" w:hAnsi="Times"/>
      <w:kern w:val="0"/>
      <w:sz w:val="20"/>
      <w:szCs w:val="20"/>
    </w:rPr>
  </w:style>
  <w:style w:type="paragraph" w:customStyle="1" w:styleId="185">
    <w:name w:val="Encoding header"/>
    <w:basedOn w:val="1"/>
    <w:uiPriority w:val="0"/>
    <w:pPr>
      <w:keepNext/>
      <w:widowControl/>
      <w:pBdr>
        <w:left w:val="single" w:color="auto" w:sz="2" w:space="3"/>
        <w:right w:val="single" w:color="auto" w:sz="2" w:space="3"/>
      </w:pBdr>
      <w:tabs>
        <w:tab w:val="left" w:pos="1620"/>
        <w:tab w:val="center" w:pos="2160"/>
        <w:tab w:val="center" w:pos="2420"/>
        <w:tab w:val="center" w:pos="2700"/>
        <w:tab w:val="center" w:pos="2960"/>
        <w:tab w:val="center" w:pos="3240"/>
        <w:tab w:val="center" w:pos="3500"/>
        <w:tab w:val="center" w:pos="3780"/>
        <w:tab w:val="center" w:pos="4040"/>
        <w:tab w:val="center" w:pos="4580"/>
      </w:tabs>
      <w:spacing w:after="160"/>
      <w:ind w:left="5040" w:right="72" w:hanging="3571"/>
    </w:pPr>
    <w:rPr>
      <w:rFonts w:ascii="Helvetica" w:hAnsi="Helvetica"/>
      <w:kern w:val="0"/>
      <w:sz w:val="18"/>
      <w:szCs w:val="20"/>
    </w:rPr>
  </w:style>
  <w:style w:type="paragraph" w:customStyle="1" w:styleId="186">
    <w:name w:val="table title continued"/>
    <w:basedOn w:val="10"/>
    <w:uiPriority w:val="0"/>
    <w:pPr>
      <w:keepLines w:val="0"/>
      <w:widowControl/>
      <w:tabs>
        <w:tab w:val="left" w:pos="2520"/>
      </w:tabs>
      <w:spacing w:before="120" w:after="60" w:line="240" w:lineRule="auto"/>
      <w:ind w:left="1440"/>
      <w:jc w:val="center"/>
    </w:pPr>
    <w:rPr>
      <w:rFonts w:ascii="Helvetica" w:hAnsi="Helvetica" w:eastAsia="宋体"/>
      <w:b/>
      <w:kern w:val="0"/>
      <w:sz w:val="20"/>
      <w:szCs w:val="20"/>
    </w:rPr>
  </w:style>
  <w:style w:type="paragraph" w:customStyle="1" w:styleId="187">
    <w:name w:val="heading 8 no TOC"/>
    <w:basedOn w:val="9"/>
    <w:uiPriority w:val="0"/>
    <w:pPr>
      <w:keepLines w:val="0"/>
      <w:widowControl/>
      <w:spacing w:before="0" w:after="40" w:line="240" w:lineRule="auto"/>
      <w:ind w:left="1440"/>
      <w:jc w:val="center"/>
    </w:pPr>
    <w:rPr>
      <w:rFonts w:ascii="Helvetica" w:hAnsi="Helvetica" w:eastAsia="宋体"/>
      <w:b/>
      <w:kern w:val="0"/>
      <w:sz w:val="20"/>
      <w:szCs w:val="20"/>
    </w:rPr>
  </w:style>
  <w:style w:type="paragraph" w:customStyle="1" w:styleId="188">
    <w:name w:val="EQ"/>
    <w:basedOn w:val="1"/>
    <w:next w:val="1"/>
    <w:uiPriority w:val="0"/>
    <w:pPr>
      <w:keepLines/>
      <w:widowControl/>
      <w:tabs>
        <w:tab w:val="center" w:pos="4536"/>
        <w:tab w:val="right" w:pos="9072"/>
      </w:tabs>
      <w:overflowPunct w:val="0"/>
      <w:autoSpaceDE w:val="0"/>
      <w:autoSpaceDN w:val="0"/>
      <w:adjustRightInd w:val="0"/>
      <w:spacing w:after="180"/>
      <w:jc w:val="left"/>
      <w:textAlignment w:val="baseline"/>
    </w:pPr>
    <w:rPr>
      <w:kern w:val="0"/>
      <w:sz w:val="20"/>
      <w:szCs w:val="20"/>
      <w:lang w:val="en-GB"/>
    </w:rPr>
  </w:style>
  <w:style w:type="paragraph" w:customStyle="1" w:styleId="189">
    <w:name w:val="toc 0"/>
    <w:basedOn w:val="2"/>
    <w:uiPriority w:val="0"/>
    <w:pPr>
      <w:keepLines w:val="0"/>
      <w:widowControl/>
      <w:pBdr>
        <w:bottom w:val="single" w:color="auto" w:sz="2" w:space="2"/>
      </w:pBdr>
      <w:spacing w:before="160" w:after="160" w:line="240" w:lineRule="auto"/>
      <w:ind w:left="1080" w:hanging="1080"/>
      <w:jc w:val="left"/>
    </w:pPr>
    <w:rPr>
      <w:rFonts w:ascii="Helvetica" w:hAnsi="Helvetica"/>
      <w:bCs w:val="0"/>
      <w:kern w:val="0"/>
      <w:sz w:val="36"/>
      <w:szCs w:val="20"/>
    </w:rPr>
  </w:style>
  <w:style w:type="paragraph" w:customStyle="1" w:styleId="190">
    <w:name w:val="Table Title"/>
    <w:basedOn w:val="1"/>
    <w:uiPriority w:val="0"/>
    <w:pPr>
      <w:keepNext/>
      <w:widowControl/>
      <w:spacing w:before="100" w:after="100"/>
      <w:jc w:val="center"/>
    </w:pPr>
    <w:rPr>
      <w:rFonts w:ascii="Helvetica" w:hAnsi="Helvetica"/>
      <w:b/>
      <w:kern w:val="0"/>
      <w:sz w:val="18"/>
      <w:szCs w:val="20"/>
    </w:rPr>
  </w:style>
  <w:style w:type="paragraph" w:customStyle="1" w:styleId="191">
    <w:name w:val="Table 1"/>
    <w:basedOn w:val="153"/>
    <w:uiPriority w:val="0"/>
    <w:pPr>
      <w:spacing w:before="80" w:after="80"/>
      <w:ind w:left="0" w:firstLine="0"/>
      <w:jc w:val="center"/>
    </w:pPr>
  </w:style>
  <w:style w:type="paragraph" w:customStyle="1" w:styleId="192">
    <w:name w:val="Table 2"/>
    <w:basedOn w:val="153"/>
    <w:uiPriority w:val="0"/>
    <w:pPr>
      <w:spacing w:before="80" w:after="80"/>
      <w:ind w:left="0" w:firstLine="0"/>
      <w:jc w:val="center"/>
    </w:pPr>
  </w:style>
  <w:style w:type="paragraph" w:customStyle="1" w:styleId="193">
    <w:name w:val="Table 3"/>
    <w:basedOn w:val="153"/>
    <w:uiPriority w:val="0"/>
    <w:pPr>
      <w:spacing w:before="80" w:after="80"/>
      <w:ind w:left="0" w:firstLine="0"/>
      <w:jc w:val="center"/>
    </w:pPr>
  </w:style>
  <w:style w:type="paragraph" w:customStyle="1" w:styleId="194">
    <w:name w:val="索引标题1"/>
    <w:basedOn w:val="1"/>
    <w:next w:val="38"/>
    <w:uiPriority w:val="0"/>
    <w:pPr>
      <w:widowControl/>
      <w:jc w:val="left"/>
    </w:pPr>
    <w:rPr>
      <w:rFonts w:ascii="Times" w:hAnsi="Times"/>
      <w:kern w:val="0"/>
      <w:sz w:val="20"/>
      <w:szCs w:val="20"/>
    </w:rPr>
  </w:style>
  <w:style w:type="paragraph" w:customStyle="1" w:styleId="195">
    <w:name w:val="Normal1"/>
    <w:uiPriority w:val="0"/>
    <w:pPr>
      <w:widowControl w:val="0"/>
      <w:adjustRightInd w:val="0"/>
      <w:spacing w:line="360" w:lineRule="atLeast"/>
      <w:textAlignment w:val="baseline"/>
    </w:pPr>
    <w:rPr>
      <w:rFonts w:ascii="宋体"/>
      <w:sz w:val="34"/>
      <w:lang w:val="en-US" w:eastAsia="zh-CN" w:bidi="ar-SA"/>
    </w:rPr>
  </w:style>
  <w:style w:type="paragraph" w:customStyle="1" w:styleId="196">
    <w:name w:val="TAN"/>
    <w:basedOn w:val="1"/>
    <w:uiPriority w:val="0"/>
    <w:pPr>
      <w:keepNext/>
      <w:keepLines/>
      <w:widowControl/>
      <w:ind w:left="851" w:hanging="851"/>
      <w:jc w:val="left"/>
    </w:pPr>
    <w:rPr>
      <w:rFonts w:ascii="Arial" w:hAnsi="Arial"/>
      <w:kern w:val="0"/>
      <w:sz w:val="18"/>
      <w:szCs w:val="20"/>
      <w:lang w:val="en-GB" w:eastAsia="en-US"/>
    </w:rPr>
  </w:style>
  <w:style w:type="paragraph" w:customStyle="1" w:styleId="197">
    <w:name w:val="TF"/>
    <w:basedOn w:val="1"/>
    <w:uiPriority w:val="0"/>
    <w:pPr>
      <w:keepLines/>
      <w:widowControl/>
      <w:spacing w:after="240"/>
      <w:jc w:val="center"/>
    </w:pPr>
    <w:rPr>
      <w:rFonts w:ascii="Arial" w:hAnsi="Arial"/>
      <w:b/>
      <w:kern w:val="0"/>
      <w:sz w:val="20"/>
      <w:szCs w:val="20"/>
      <w:lang w:val="en-GB" w:eastAsia="en-US"/>
    </w:rPr>
  </w:style>
  <w:style w:type="paragraph" w:customStyle="1" w:styleId="198">
    <w:name w:val="样式1"/>
    <w:basedOn w:val="69"/>
    <w:uiPriority w:val="0"/>
  </w:style>
  <w:style w:type="paragraph" w:customStyle="1" w:styleId="199">
    <w:name w:val="样式2"/>
    <w:basedOn w:val="97"/>
    <w:uiPriority w:val="0"/>
  </w:style>
  <w:style w:type="paragraph" w:customStyle="1" w:styleId="200">
    <w:name w:val="样式 一级条标题 + 行距: 1.5 倍行距"/>
    <w:basedOn w:val="68"/>
    <w:uiPriority w:val="0"/>
    <w:pPr>
      <w:spacing w:beforeLines="0" w:afterLines="0" w:line="360" w:lineRule="auto"/>
      <w:ind w:left="525"/>
    </w:pPr>
    <w:rPr>
      <w:rFonts w:ascii="黑体" w:cs="宋体"/>
    </w:rPr>
  </w:style>
  <w:style w:type="paragraph" w:customStyle="1" w:styleId="201">
    <w:name w:val="a14"/>
    <w:basedOn w:val="1"/>
    <w:uiPriority w:val="0"/>
    <w:pPr>
      <w:widowControl/>
      <w:spacing w:before="100" w:beforeAutospacing="1" w:after="100" w:afterAutospacing="1" w:line="300" w:lineRule="atLeast"/>
      <w:ind w:firstLine="375"/>
      <w:jc w:val="left"/>
    </w:pPr>
    <w:rPr>
      <w:rFonts w:ascii="宋体" w:hAnsi="宋体" w:cs="宋体"/>
      <w:kern w:val="0"/>
      <w:szCs w:val="21"/>
    </w:rPr>
  </w:style>
  <w:style w:type="paragraph" w:customStyle="1" w:styleId="202">
    <w:name w:val="样式 章标题 + 左侧:  0 磅 段前: 0.5 行 段后: 0.5 行"/>
    <w:basedOn w:val="67"/>
    <w:uiPriority w:val="0"/>
    <w:pPr>
      <w:jc w:val="left"/>
    </w:pPr>
    <w:rPr>
      <w:rFonts w:ascii="黑体"/>
    </w:rPr>
  </w:style>
  <w:style w:type="paragraph" w:customStyle="1" w:styleId="203">
    <w:name w:val="正文 首行缩进"/>
    <w:basedOn w:val="1"/>
    <w:uiPriority w:val="0"/>
    <w:pPr>
      <w:autoSpaceDE w:val="0"/>
      <w:autoSpaceDN w:val="0"/>
      <w:adjustRightInd w:val="0"/>
      <w:spacing w:line="360" w:lineRule="auto"/>
      <w:ind w:firstLine="420"/>
      <w:jc w:val="left"/>
    </w:pPr>
    <w:rPr>
      <w:rFonts w:ascii="宋体" w:hAnsi="Arial Narrow" w:cs="宋体"/>
      <w:kern w:val="0"/>
      <w:szCs w:val="21"/>
    </w:rPr>
  </w:style>
  <w:style w:type="paragraph" w:customStyle="1" w:styleId="204">
    <w:name w:val="样式 一级条标题 + 段前: 0.5 行 段后: 0.5 行"/>
    <w:basedOn w:val="68"/>
    <w:uiPriority w:val="0"/>
    <w:rPr>
      <w:rFonts w:cs="宋体"/>
    </w:rPr>
  </w:style>
  <w:style w:type="paragraph" w:customStyle="1" w:styleId="205">
    <w:name w:val="Char Char Char Char Char Char Char Char Char Char Char Char Char Char Char Char"/>
    <w:basedOn w:val="1"/>
    <w:uiPriority w:val="0"/>
    <w:pPr>
      <w:tabs>
        <w:tab w:val="left" w:pos="360"/>
      </w:tabs>
    </w:pPr>
    <w:rPr>
      <w:sz w:val="24"/>
    </w:rPr>
  </w:style>
  <w:style w:type="paragraph" w:customStyle="1" w:styleId="206">
    <w:name w:val="Char"/>
    <w:basedOn w:val="1"/>
    <w:uiPriority w:val="0"/>
    <w:rPr>
      <w:rFonts w:ascii="Tahoma" w:hAnsi="Tahoma"/>
      <w:sz w:val="24"/>
      <w:szCs w:val="20"/>
    </w:rPr>
  </w:style>
  <w:style w:type="paragraph" w:customStyle="1" w:styleId="207">
    <w:name w:val="Char Char Char Char Char Char Char Char Char Char Char Char Char Char Char Char1"/>
    <w:basedOn w:val="1"/>
    <w:uiPriority w:val="0"/>
    <w:pPr>
      <w:tabs>
        <w:tab w:val="left" w:pos="360"/>
      </w:tabs>
    </w:pPr>
    <w:rPr>
      <w:sz w:val="24"/>
    </w:rPr>
  </w:style>
  <w:style w:type="paragraph" w:customStyle="1" w:styleId="208">
    <w:name w:val="样式 样式 首行缩进:  2 字符 Char + 黑色 Char"/>
    <w:basedOn w:val="1"/>
    <w:uiPriority w:val="0"/>
    <w:pPr>
      <w:spacing w:line="360" w:lineRule="auto"/>
      <w:ind w:firstLine="420"/>
    </w:pPr>
    <w:rPr>
      <w:color w:val="000000"/>
      <w:kern w:val="0"/>
      <w:szCs w:val="21"/>
    </w:rPr>
  </w:style>
  <w:style w:type="paragraph" w:customStyle="1" w:styleId="209">
    <w:name w:val="附录一级"/>
    <w:basedOn w:val="1"/>
    <w:uiPriority w:val="0"/>
    <w:pPr>
      <w:tabs>
        <w:tab w:val="left" w:pos="840"/>
      </w:tabs>
      <w:ind w:left="840" w:hanging="420"/>
    </w:pPr>
    <w:rPr>
      <w:sz w:val="24"/>
    </w:rPr>
  </w:style>
  <w:style w:type="paragraph" w:customStyle="1" w:styleId="210">
    <w:name w:val="6"/>
    <w:basedOn w:val="1"/>
    <w:next w:val="26"/>
    <w:uiPriority w:val="0"/>
    <w:pPr>
      <w:spacing w:after="120"/>
      <w:ind w:left="420" w:leftChars="200"/>
    </w:pPr>
  </w:style>
  <w:style w:type="paragraph" w:customStyle="1" w:styleId="211">
    <w:name w:val="样式 样式 样式 首行缩进:  2 字符 Char + 黑色 + Times New Roman 五号"/>
    <w:basedOn w:val="208"/>
    <w:uiPriority w:val="0"/>
    <w:rPr>
      <w:rFonts w:ascii="宋体" w:hAnsi="宋体"/>
      <w:color w:val="auto"/>
    </w:rPr>
  </w:style>
  <w:style w:type="paragraph" w:customStyle="1" w:styleId="212">
    <w:name w:val="标题1（章）"/>
    <w:basedOn w:val="2"/>
    <w:uiPriority w:val="0"/>
    <w:pPr>
      <w:tabs>
        <w:tab w:val="left" w:pos="360"/>
      </w:tabs>
      <w:spacing w:before="100" w:beforeAutospacing="1" w:after="100" w:afterAutospacing="1" w:line="240" w:lineRule="auto"/>
      <w:ind w:left="357" w:hanging="357"/>
    </w:pPr>
    <w:rPr>
      <w:rFonts w:ascii="宋体" w:hAnsi="宋体"/>
      <w:b w:val="0"/>
      <w:sz w:val="21"/>
      <w:szCs w:val="21"/>
      <w:lang w:eastAsia="en-US"/>
    </w:rPr>
  </w:style>
  <w:style w:type="paragraph" w:customStyle="1" w:styleId="213">
    <w:name w:val="Char Char Char Char Char Char"/>
    <w:basedOn w:val="1"/>
    <w:uiPriority w:val="0"/>
    <w:pPr>
      <w:widowControl/>
      <w:autoSpaceDE w:val="0"/>
      <w:autoSpaceDN w:val="0"/>
      <w:adjustRightInd w:val="0"/>
      <w:snapToGrid w:val="0"/>
      <w:spacing w:beforeLines="50" w:afterLines="50" w:line="360" w:lineRule="auto"/>
      <w:ind w:left="113" w:right="113"/>
      <w:jc w:val="center"/>
      <w:outlineLvl w:val="3"/>
    </w:pPr>
    <w:rPr>
      <w:rFonts w:ascii="黑体" w:hAnsi="Tahoma" w:eastAsia="黑体"/>
      <w:b/>
      <w:kern w:val="0"/>
      <w:szCs w:val="20"/>
    </w:rPr>
  </w:style>
  <w:style w:type="paragraph" w:customStyle="1" w:styleId="214">
    <w:name w:val="Char Char"/>
    <w:basedOn w:val="1"/>
    <w:uiPriority w:val="0"/>
    <w:rPr>
      <w:rFonts w:ascii="Tahoma" w:hAnsi="Tahoma"/>
      <w:sz w:val="24"/>
      <w:szCs w:val="20"/>
    </w:rPr>
  </w:style>
  <w:style w:type="paragraph" w:customStyle="1" w:styleId="215">
    <w:name w:val="样式 一级条标题 + 段前: 0.5 行 段后: 0.5 行1"/>
    <w:basedOn w:val="68"/>
    <w:uiPriority w:val="0"/>
    <w:pPr>
      <w:numPr>
        <w:ilvl w:val="1"/>
        <w:numId w:val="11"/>
      </w:numPr>
      <w:jc w:val="left"/>
      <w:outlineLvl w:val="1"/>
    </w:pPr>
    <w:rPr>
      <w:rFonts w:cs="宋体"/>
      <w:b/>
      <w:sz w:val="21"/>
      <w:szCs w:val="21"/>
    </w:rPr>
  </w:style>
  <w:style w:type="paragraph" w:customStyle="1" w:styleId="216">
    <w:name w:val="样式 一级条标题 + 段前: 0.5 行 段后: 0.5 行 行距: 1.5 倍行距"/>
    <w:basedOn w:val="68"/>
    <w:uiPriority w:val="0"/>
    <w:pPr>
      <w:spacing w:line="360" w:lineRule="auto"/>
      <w:outlineLvl w:val="1"/>
    </w:pPr>
    <w:rPr>
      <w:rFonts w:cs="宋体"/>
    </w:rPr>
  </w:style>
  <w:style w:type="paragraph" w:customStyle="1" w:styleId="217">
    <w:name w:val="一级标题条"/>
    <w:basedOn w:val="20"/>
    <w:next w:val="1"/>
    <w:uiPriority w:val="0"/>
    <w:pPr>
      <w:tabs>
        <w:tab w:val="left" w:pos="360"/>
      </w:tabs>
      <w:autoSpaceDE/>
      <w:autoSpaceDN/>
      <w:adjustRightInd/>
      <w:ind w:left="0" w:firstLine="420" w:firstLineChars="200"/>
    </w:pPr>
    <w:rPr>
      <w:kern w:val="2"/>
      <w:szCs w:val="24"/>
    </w:rPr>
  </w:style>
  <w:style w:type="paragraph" w:customStyle="1" w:styleId="218">
    <w:name w:val="列出段落1"/>
    <w:basedOn w:val="1"/>
    <w:uiPriority w:val="0"/>
    <w:pPr>
      <w:ind w:firstLine="420" w:firstLineChars="200"/>
    </w:pPr>
    <w:rPr>
      <w:rFonts w:ascii="Calibri" w:hAnsi="Calibri"/>
      <w:szCs w:val="22"/>
    </w:rPr>
  </w:style>
  <w:style w:type="paragraph" w:customStyle="1" w:styleId="219">
    <w:name w:val="Default"/>
    <w:uiPriority w:val="0"/>
    <w:pPr>
      <w:autoSpaceDE w:val="0"/>
      <w:autoSpaceDN w:val="0"/>
      <w:adjustRightInd w:val="0"/>
    </w:pPr>
    <w:rPr>
      <w:color w:val="000000"/>
      <w:sz w:val="24"/>
      <w:szCs w:val="24"/>
      <w:lang w:val="en-US" w:eastAsia="zh-CN" w:bidi="ar-SA"/>
    </w:rPr>
  </w:style>
  <w:style w:type="paragraph" w:customStyle="1" w:styleId="220">
    <w:name w:val="Char Char1"/>
    <w:basedOn w:val="1"/>
    <w:uiPriority w:val="0"/>
    <w:rPr>
      <w:rFonts w:ascii="Tahoma" w:hAnsi="Tahoma"/>
      <w:sz w:val="24"/>
      <w:szCs w:val="20"/>
    </w:rPr>
  </w:style>
  <w:style w:type="paragraph" w:customStyle="1" w:styleId="221">
    <w:name w:val="列出段落2"/>
    <w:basedOn w:val="1"/>
    <w:uiPriority w:val="0"/>
    <w:pPr>
      <w:ind w:firstLine="420" w:firstLineChars="200"/>
    </w:pPr>
    <w:rPr>
      <w:rFonts w:ascii="Calibri" w:hAnsi="Calibri"/>
      <w:szCs w:val="22"/>
    </w:rPr>
  </w:style>
  <w:style w:type="paragraph" w:customStyle="1" w:styleId="222">
    <w:name w:val="Char2"/>
    <w:basedOn w:val="1"/>
    <w:uiPriority w:val="0"/>
    <w:rPr>
      <w:rFonts w:ascii="Tahoma" w:hAnsi="Tahoma"/>
      <w:sz w:val="24"/>
      <w:szCs w:val="20"/>
    </w:rPr>
  </w:style>
  <w:style w:type="paragraph" w:customStyle="1" w:styleId="223">
    <w:name w:val="Char1"/>
    <w:basedOn w:val="1"/>
    <w:uiPriority w:val="0"/>
    <w:pPr>
      <w:tabs>
        <w:tab w:val="left" w:pos="360"/>
      </w:tabs>
    </w:pPr>
    <w:rPr>
      <w:sz w:val="24"/>
    </w:rPr>
  </w:style>
  <w:style w:type="paragraph" w:customStyle="1" w:styleId="224">
    <w:name w:val="TOC 标题1"/>
    <w:basedOn w:val="2"/>
    <w:next w:val="1"/>
    <w:uiPriority w:val="0"/>
    <w:pPr>
      <w:widowControl/>
      <w:spacing w:before="480" w:after="0" w:line="276" w:lineRule="auto"/>
      <w:jc w:val="left"/>
      <w:outlineLvl w:val="9"/>
    </w:pPr>
    <w:rPr>
      <w:rFonts w:ascii="Cambria" w:hAnsi="Cambria"/>
      <w:color w:val="365F91"/>
      <w:kern w:val="0"/>
      <w:sz w:val="28"/>
      <w:szCs w:val="28"/>
    </w:rPr>
  </w:style>
  <w:style w:type="paragraph" w:customStyle="1" w:styleId="225">
    <w:name w:val="a0"/>
    <w:basedOn w:val="1"/>
    <w:uiPriority w:val="0"/>
    <w:pPr>
      <w:widowControl/>
      <w:spacing w:before="100" w:beforeAutospacing="1" w:after="100" w:afterAutospacing="1"/>
      <w:jc w:val="left"/>
    </w:pPr>
    <w:rPr>
      <w:rFonts w:ascii="宋体" w:hAnsi="宋体" w:cs="宋体"/>
      <w:kern w:val="0"/>
      <w:sz w:val="24"/>
    </w:rPr>
  </w:style>
  <w:style w:type="paragraph" w:customStyle="1" w:styleId="226">
    <w:name w:val="修订1"/>
    <w:hidden/>
    <w:semiHidden/>
    <w:uiPriority w:val="0"/>
    <w:rPr>
      <w:kern w:val="2"/>
      <w:sz w:val="21"/>
      <w:szCs w:val="24"/>
      <w:lang w:val="en-US" w:eastAsia="zh-CN" w:bidi="ar-SA"/>
    </w:rPr>
  </w:style>
  <w:style w:type="paragraph" w:customStyle="1" w:styleId="227">
    <w:name w:val="样式3"/>
    <w:basedOn w:val="1"/>
    <w:uiPriority w:val="0"/>
    <w:pPr>
      <w:numPr>
        <w:ilvl w:val="0"/>
        <w:numId w:val="12"/>
      </w:numPr>
      <w:spacing w:line="288" w:lineRule="auto"/>
    </w:pPr>
    <w:rPr>
      <w:rFonts w:ascii="Arial" w:hAnsi="Arial"/>
      <w:kern w:val="0"/>
      <w:szCs w:val="21"/>
      <w:lang w:eastAsia="en-US"/>
    </w:rPr>
  </w:style>
  <w:style w:type="paragraph" w:customStyle="1" w:styleId="228">
    <w:name w:val="表格内文字"/>
    <w:basedOn w:val="1"/>
    <w:uiPriority w:val="0"/>
    <w:pPr>
      <w:spacing w:line="300" w:lineRule="atLeast"/>
      <w:ind w:firstLine="180" w:firstLineChars="100"/>
    </w:pPr>
    <w:rPr>
      <w:rFonts w:ascii="Arial" w:hAnsi="Arial"/>
      <w:sz w:val="18"/>
      <w:szCs w:val="20"/>
    </w:rPr>
  </w:style>
  <w:style w:type="paragraph" w:customStyle="1" w:styleId="229">
    <w:name w:val="List Paragraph"/>
    <w:basedOn w:val="1"/>
    <w:uiPriority w:val="0"/>
    <w:pPr>
      <w:ind w:firstLine="420" w:firstLineChars="200"/>
    </w:pPr>
  </w:style>
  <w:style w:type="character" w:customStyle="1" w:styleId="230">
    <w:name w:val="发布"/>
    <w:basedOn w:val="40"/>
    <w:uiPriority w:val="0"/>
    <w:rPr>
      <w:rFonts w:ascii="黑体" w:eastAsia="黑体" w:cs="Times New Roman"/>
      <w:spacing w:val="22"/>
      <w:w w:val="100"/>
      <w:position w:val="3"/>
      <w:sz w:val="28"/>
    </w:rPr>
  </w:style>
  <w:style w:type="character" w:customStyle="1" w:styleId="231">
    <w:name w:val="个人答复风格"/>
    <w:basedOn w:val="40"/>
    <w:uiPriority w:val="0"/>
    <w:rPr>
      <w:rFonts w:ascii="Arial" w:hAnsi="Arial" w:eastAsia="宋体" w:cs="Arial"/>
      <w:color w:val="auto"/>
      <w:sz w:val="20"/>
    </w:rPr>
  </w:style>
  <w:style w:type="character" w:customStyle="1" w:styleId="232">
    <w:name w:val="个人撰写风格"/>
    <w:basedOn w:val="40"/>
    <w:uiPriority w:val="0"/>
    <w:rPr>
      <w:rFonts w:ascii="Arial" w:hAnsi="Arial" w:eastAsia="宋体" w:cs="Arial"/>
      <w:color w:val="auto"/>
      <w:sz w:val="20"/>
    </w:rPr>
  </w:style>
  <w:style w:type="character" w:customStyle="1" w:styleId="233">
    <w:name w:val="已访问的超链接1"/>
    <w:basedOn w:val="40"/>
    <w:uiPriority w:val="0"/>
    <w:rPr>
      <w:rFonts w:cs="Times New Roman"/>
      <w:color w:val="800080"/>
      <w:u w:val="single"/>
    </w:rPr>
  </w:style>
  <w:style w:type="character" w:customStyle="1" w:styleId="234">
    <w:name w:val="样式 样式 首行缩进:  2 字符 Char + 黑色 Char3"/>
    <w:basedOn w:val="40"/>
    <w:uiPriority w:val="0"/>
    <w:rPr>
      <w:rFonts w:eastAsia="宋体" w:cs="宋体"/>
      <w:color w:val="000000"/>
      <w:kern w:val="2"/>
      <w:sz w:val="21"/>
      <w:szCs w:val="21"/>
      <w:lang w:val="en-US" w:eastAsia="zh-CN" w:bidi="ar-SA"/>
    </w:rPr>
  </w:style>
  <w:style w:type="character" w:customStyle="1" w:styleId="235">
    <w:name w:val="样式 一级条标题 + (中文) 楷体_GB2312 四号 Char"/>
    <w:basedOn w:val="40"/>
    <w:uiPriority w:val="0"/>
    <w:rPr>
      <w:rFonts w:ascii="黑体" w:eastAsia="宋体" w:cs="Times New Roman"/>
      <w:sz w:val="21"/>
      <w:szCs w:val="21"/>
      <w:lang w:val="en-US" w:eastAsia="zh-CN" w:bidi="ar-SA"/>
    </w:rPr>
  </w:style>
  <w:style w:type="character" w:customStyle="1" w:styleId="236">
    <w:name w:val="apple-style-span"/>
    <w:basedOn w:val="40"/>
    <w:uiPriority w:val="0"/>
    <w:rPr>
      <w:rFonts w:cs="Times New Roman"/>
    </w:rPr>
  </w:style>
  <w:style w:type="character" w:customStyle="1" w:styleId="237">
    <w:name w:val="段 Char"/>
    <w:basedOn w:val="40"/>
    <w:link w:val="66"/>
    <w:locked/>
    <w:uiPriority w:val="0"/>
    <w:rPr>
      <w:rFonts w:ascii="宋体" w:eastAsia="宋体"/>
      <w:sz w:val="21"/>
      <w:lang w:val="en-US" w:eastAsia="zh-CN" w:bidi="ar-SA"/>
    </w:rPr>
  </w:style>
  <w:style w:type="character" w:customStyle="1" w:styleId="238">
    <w:name w:val="Header Char"/>
    <w:basedOn w:val="40"/>
    <w:link w:val="33"/>
    <w:locked/>
    <w:uiPriority w:val="0"/>
    <w:rPr>
      <w:rFonts w:eastAsia="宋体"/>
      <w:kern w:val="2"/>
      <w:sz w:val="18"/>
      <w:szCs w:val="18"/>
      <w:lang w:val="en-US" w:eastAsia="zh-CN" w:bidi="ar-SA"/>
    </w:rPr>
  </w:style>
  <w:style w:type="character" w:customStyle="1" w:styleId="239">
    <w:name w:val="Footer Char"/>
    <w:basedOn w:val="40"/>
    <w:link w:val="31"/>
    <w:locked/>
    <w:uiPriority w:val="0"/>
    <w:rPr>
      <w:rFonts w:eastAsia="宋体"/>
      <w:kern w:val="2"/>
      <w:sz w:val="18"/>
      <w:szCs w:val="18"/>
      <w:lang w:val="en-US" w:eastAsia="zh-CN" w:bidi="ar-SA"/>
    </w:rPr>
  </w:style>
  <w:style w:type="character" w:customStyle="1" w:styleId="240">
    <w:name w:val="样式 小四"/>
    <w:uiPriority w:val="0"/>
    <w:rPr>
      <w:sz w:val="21"/>
    </w:rPr>
  </w:style>
  <w:style w:type="character" w:customStyle="1" w:styleId="241">
    <w:name w:val="Comment Text Char"/>
    <w:basedOn w:val="40"/>
    <w:link w:val="12"/>
    <w:semiHidden/>
    <w:locked/>
    <w:uiPriority w:val="0"/>
    <w:rPr>
      <w:rFonts w:eastAsia="宋体"/>
      <w:kern w:val="2"/>
      <w:sz w:val="21"/>
      <w:szCs w:val="24"/>
      <w:lang w:val="en-US" w:eastAsia="zh-CN" w:bidi="ar-SA"/>
    </w:rPr>
  </w:style>
  <w:style w:type="character" w:customStyle="1" w:styleId="242">
    <w:name w:val="Heading 1 Char"/>
    <w:basedOn w:val="40"/>
    <w:link w:val="2"/>
    <w:locked/>
    <w:uiPriority w:val="0"/>
    <w:rPr>
      <w:rFonts w:eastAsia="宋体"/>
      <w:b/>
      <w:bCs/>
      <w:kern w:val="44"/>
      <w:sz w:val="44"/>
      <w:szCs w:val="44"/>
      <w:lang w:val="en-US" w:eastAsia="zh-CN" w:bidi="ar-SA"/>
    </w:rPr>
  </w:style>
  <w:style w:type="character" w:customStyle="1" w:styleId="243">
    <w:name w:val="Heading 2 Char"/>
    <w:basedOn w:val="40"/>
    <w:link w:val="3"/>
    <w:locked/>
    <w:uiPriority w:val="0"/>
    <w:rPr>
      <w:rFonts w:ascii="Arial" w:hAnsi="Arial" w:eastAsia="黑体"/>
      <w:b/>
      <w:bCs/>
      <w:kern w:val="2"/>
      <w:sz w:val="32"/>
      <w:szCs w:val="32"/>
      <w:lang w:val="en-US" w:eastAsia="zh-CN" w:bidi="ar-SA"/>
    </w:rPr>
  </w:style>
  <w:style w:type="table" w:customStyle="1" w:styleId="244">
    <w:name w:val="网格型1"/>
    <w:uiPriority w:val="0"/>
    <w:pPr>
      <w:widowControl w:val="0"/>
      <w:jc w:val="both"/>
    </w:pPr>
    <w:rPr>
      <w:lang w:val="en-US" w:eastAsia="zh-CN" w:bidi="ar-SA"/>
    </w:rPr>
    <w:tblPr>
      <w:tblStyle w:val="54"/>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rPr>
      <w:wBefore w:w="0" w:type="dxa"/>
    </w:t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emf"/><Relationship Id="rId14" Type="http://schemas.openxmlformats.org/officeDocument/2006/relationships/oleObject" Target="embeddings/oleObject2.bin"/><Relationship Id="rId13" Type="http://schemas.openxmlformats.org/officeDocument/2006/relationships/image" Target="media/image1.emf"/><Relationship Id="rId12" Type="http://schemas.openxmlformats.org/officeDocument/2006/relationships/oleObject" Target="embeddings/oleObject1.bin"/><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7"/>
    <customShpInfo spid="_x0000_s1026"/>
    <customShpInfo spid="_x0000_s1025"/>
    <customShpInfo spid="_x0000_s1030"/>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WWW.YlmF.CoM</Company>
  <Pages>1</Pages>
  <Words>3081</Words>
  <Characters>17568</Characters>
  <Lines>146</Lines>
  <Paragraphs>41</Paragraphs>
  <ScaleCrop>false</ScaleCrop>
  <LinksUpToDate>false</LinksUpToDate>
  <CharactersWithSpaces>20608</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2017-12-05T16:05:00Z</dcterms:created>
  <dc:creator>贾芳姝</dc:creator>
  <cp:lastModifiedBy>sugar</cp:lastModifiedBy>
  <dcterms:modified xsi:type="dcterms:W3CDTF">2020-02-04T17:45:40Z</dcterms:modified>
  <dc:title>报告编号：</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