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right"/>
        <w:rPr>
          <w:rFonts w:hint="eastAsia"/>
          <w:color w:val="000000"/>
          <w:kern w:val="0"/>
          <w:sz w:val="28"/>
          <w:szCs w:val="28"/>
        </w:rPr>
      </w:pPr>
      <w:bookmarkStart w:id="26" w:name="_GoBack"/>
      <w:bookmarkEnd w:id="26"/>
      <w:r>
        <w:rPr>
          <w:rFonts w:hint="eastAsia"/>
          <w:b/>
          <w:color w:val="000000"/>
          <w:sz w:val="28"/>
          <w:szCs w:val="28"/>
        </w:rPr>
        <w:t>报告编号：</w:t>
      </w:r>
    </w:p>
    <w:p>
      <w:pPr>
        <w:widowControl/>
        <w:jc w:val="right"/>
        <w:rPr>
          <w:color w:val="000000"/>
          <w:kern w:val="0"/>
          <w:sz w:val="28"/>
          <w:szCs w:val="28"/>
        </w:rPr>
      </w:pPr>
    </w:p>
    <w:p>
      <w:pPr>
        <w:pStyle w:val="66"/>
        <w:ind w:firstLine="420"/>
        <w:rPr>
          <w:rFonts w:ascii="Times New Roman"/>
          <w:color w:val="000000"/>
        </w:rPr>
      </w:pPr>
    </w:p>
    <w:p>
      <w:pPr>
        <w:spacing w:before="312" w:beforeLines="100" w:after="312" w:afterLines="100" w:line="480" w:lineRule="auto"/>
        <w:jc w:val="center"/>
        <w:rPr>
          <w:b/>
          <w:sz w:val="44"/>
          <w:szCs w:val="44"/>
        </w:rPr>
      </w:pPr>
    </w:p>
    <w:p>
      <w:pPr>
        <w:spacing w:before="312" w:beforeLines="100" w:after="312" w:afterLines="100" w:line="480" w:lineRule="auto"/>
        <w:jc w:val="center"/>
        <w:rPr>
          <w:b/>
          <w:sz w:val="44"/>
          <w:szCs w:val="44"/>
        </w:rPr>
      </w:pPr>
    </w:p>
    <w:p>
      <w:pPr>
        <w:spacing w:before="312" w:beforeLines="100" w:after="312" w:afterLines="100" w:line="480" w:lineRule="auto"/>
        <w:jc w:val="center"/>
        <w:rPr>
          <w:b/>
          <w:sz w:val="44"/>
          <w:szCs w:val="44"/>
        </w:rPr>
      </w:pPr>
    </w:p>
    <w:p>
      <w:pPr>
        <w:spacing w:before="312" w:beforeLines="100" w:after="312" w:afterLines="100" w:line="480" w:lineRule="auto"/>
        <w:jc w:val="center"/>
        <w:rPr>
          <w:b/>
          <w:sz w:val="44"/>
          <w:szCs w:val="44"/>
        </w:rPr>
      </w:pPr>
    </w:p>
    <w:p>
      <w:pPr>
        <w:pStyle w:val="26"/>
        <w:spacing w:after="0" w:line="560" w:lineRule="exact"/>
        <w:ind w:left="0"/>
        <w:jc w:val="center"/>
        <w:rPr>
          <w:b/>
          <w:sz w:val="44"/>
          <w:szCs w:val="44"/>
        </w:rPr>
      </w:pPr>
      <w:r>
        <w:rPr>
          <w:rFonts w:hint="eastAsia" w:eastAsia="方正小标宋简体"/>
          <w:kern w:val="0"/>
          <w:sz w:val="44"/>
          <w:szCs w:val="44"/>
        </w:rPr>
        <w:t>互联网新技术新业务信息安全评估报告</w:t>
      </w:r>
    </w:p>
    <w:p>
      <w:pPr>
        <w:spacing w:before="312" w:beforeLines="100" w:after="312" w:afterLines="100" w:line="480" w:lineRule="auto"/>
        <w:jc w:val="center"/>
        <w:rPr>
          <w:b/>
          <w:sz w:val="32"/>
          <w:szCs w:val="44"/>
        </w:rPr>
      </w:pPr>
    </w:p>
    <w:p>
      <w:pPr>
        <w:spacing w:line="360" w:lineRule="auto"/>
        <w:jc w:val="center"/>
        <w:rPr>
          <w:b/>
          <w:sz w:val="32"/>
          <w:szCs w:val="44"/>
        </w:rPr>
      </w:pPr>
    </w:p>
    <w:tbl>
      <w:tblPr>
        <w:tblStyle w:val="54"/>
        <w:tblW w:w="74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5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567" w:hRule="exact"/>
          <w:jc w:val="center"/>
        </w:trPr>
        <w:tc>
          <w:tcPr>
            <w:tcW w:w="1704" w:type="dxa"/>
            <w:tcBorders>
              <w:top w:val="nil"/>
              <w:left w:val="nil"/>
              <w:bottom w:val="nil"/>
              <w:right w:val="nil"/>
            </w:tcBorders>
            <w:noWrap w:val="0"/>
            <w:vAlign w:val="top"/>
          </w:tcPr>
          <w:p>
            <w:pPr>
              <w:wordWrap w:val="0"/>
              <w:spacing w:line="360" w:lineRule="auto"/>
              <w:jc w:val="right"/>
              <w:rPr>
                <w:b/>
                <w:sz w:val="32"/>
                <w:szCs w:val="44"/>
              </w:rPr>
            </w:pPr>
            <w:r>
              <w:rPr>
                <w:rFonts w:hint="eastAsia"/>
                <w:b/>
                <w:sz w:val="32"/>
                <w:szCs w:val="44"/>
              </w:rPr>
              <w:t>委托单位：</w:t>
            </w:r>
            <w:r>
              <w:rPr>
                <w:b/>
                <w:sz w:val="32"/>
                <w:szCs w:val="44"/>
              </w:rPr>
              <w:t xml:space="preserve"> </w:t>
            </w:r>
          </w:p>
        </w:tc>
        <w:tc>
          <w:tcPr>
            <w:tcW w:w="5703" w:type="dxa"/>
            <w:tcBorders>
              <w:top w:val="nil"/>
              <w:left w:val="nil"/>
              <w:right w:val="nil"/>
            </w:tcBorders>
            <w:noWrap w:val="0"/>
            <w:vAlign w:val="top"/>
          </w:tcPr>
          <w:p>
            <w:pPr>
              <w:spacing w:line="360" w:lineRule="auto"/>
              <w:jc w:val="center"/>
              <w:rPr>
                <w:b/>
                <w:sz w:val="32"/>
                <w:szCs w:val="44"/>
              </w:rPr>
            </w:pPr>
            <w:r>
              <w:rPr>
                <w:rFonts w:hint="eastAsia"/>
                <w:b/>
                <w:sz w:val="32"/>
                <w:szCs w:val="44"/>
              </w:rPr>
              <w:t>中国移动通信集团贵州有限公司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567" w:hRule="exact"/>
          <w:jc w:val="center"/>
        </w:trPr>
        <w:tc>
          <w:tcPr>
            <w:tcW w:w="1704" w:type="dxa"/>
            <w:tcBorders>
              <w:top w:val="nil"/>
              <w:left w:val="nil"/>
              <w:bottom w:val="nil"/>
              <w:right w:val="nil"/>
            </w:tcBorders>
            <w:noWrap w:val="0"/>
            <w:vAlign w:val="top"/>
          </w:tcPr>
          <w:p>
            <w:pPr>
              <w:wordWrap w:val="0"/>
              <w:spacing w:line="360" w:lineRule="auto"/>
              <w:jc w:val="right"/>
              <w:rPr>
                <w:b/>
                <w:sz w:val="32"/>
                <w:szCs w:val="44"/>
              </w:rPr>
            </w:pPr>
            <w:r>
              <w:rPr>
                <w:rFonts w:hint="eastAsia"/>
                <w:b/>
                <w:sz w:val="32"/>
                <w:szCs w:val="44"/>
              </w:rPr>
              <w:t>业务名称：</w:t>
            </w:r>
            <w:r>
              <w:rPr>
                <w:b/>
                <w:sz w:val="32"/>
                <w:szCs w:val="44"/>
              </w:rPr>
              <w:t xml:space="preserve"> </w:t>
            </w:r>
          </w:p>
        </w:tc>
        <w:tc>
          <w:tcPr>
            <w:tcW w:w="5703" w:type="dxa"/>
            <w:tcBorders>
              <w:left w:val="nil"/>
              <w:right w:val="nil"/>
            </w:tcBorders>
            <w:noWrap w:val="0"/>
            <w:vAlign w:val="top"/>
          </w:tcPr>
          <w:p>
            <w:pPr>
              <w:spacing w:line="360" w:lineRule="auto"/>
              <w:jc w:val="center"/>
              <w:rPr>
                <w:b/>
                <w:sz w:val="32"/>
                <w:szCs w:val="44"/>
              </w:rPr>
            </w:pPr>
            <w:r>
              <w:rPr>
                <w:rFonts w:hint="eastAsia"/>
                <w:b/>
                <w:sz w:val="32"/>
                <w:szCs w:val="44"/>
              </w:rPr>
              <w:t>集团号簿</w:t>
            </w:r>
          </w:p>
        </w:tc>
      </w:tr>
    </w:tbl>
    <w:p>
      <w:pPr>
        <w:spacing w:before="312" w:beforeLines="100" w:after="312" w:afterLines="100" w:line="480" w:lineRule="auto"/>
        <w:jc w:val="center"/>
        <w:rPr>
          <w:b/>
          <w:sz w:val="32"/>
          <w:szCs w:val="44"/>
        </w:rPr>
      </w:pPr>
    </w:p>
    <w:p>
      <w:pPr>
        <w:spacing w:before="312" w:beforeLines="100" w:after="312" w:afterLines="100" w:line="480" w:lineRule="auto"/>
        <w:jc w:val="center"/>
        <w:rPr>
          <w:rFonts w:eastAsia="仿宋_GB2312"/>
          <w:b/>
          <w:sz w:val="44"/>
          <w:szCs w:val="44"/>
        </w:rPr>
      </w:pPr>
    </w:p>
    <w:p>
      <w:pPr>
        <w:spacing w:before="312" w:beforeLines="100" w:after="312" w:afterLines="100" w:line="480" w:lineRule="auto"/>
        <w:jc w:val="center"/>
        <w:rPr>
          <w:rFonts w:eastAsia="仿宋_GB2312"/>
          <w:b/>
          <w:sz w:val="44"/>
          <w:szCs w:val="44"/>
        </w:rPr>
      </w:pPr>
    </w:p>
    <w:p>
      <w:pPr>
        <w:jc w:val="center"/>
        <w:rPr>
          <w:rFonts w:eastAsia="仿宋_GB2312"/>
          <w:b/>
          <w:sz w:val="32"/>
          <w:szCs w:val="32"/>
        </w:rPr>
      </w:pPr>
      <w:r>
        <w:rPr>
          <w:rFonts w:hint="eastAsia" w:eastAsia="仿宋_GB2312"/>
          <w:b/>
          <w:sz w:val="32"/>
          <w:szCs w:val="32"/>
        </w:rPr>
        <w:t>评估单位：国家计算机网络与信息安全管理中心</w:t>
      </w:r>
    </w:p>
    <w:p>
      <w:pPr>
        <w:jc w:val="center"/>
        <w:rPr>
          <w:rFonts w:eastAsia="仿宋_GB2312"/>
          <w:b/>
          <w:sz w:val="32"/>
          <w:szCs w:val="32"/>
        </w:rPr>
      </w:pPr>
      <w:r>
        <w:rPr>
          <w:rFonts w:eastAsia="仿宋_GB2312"/>
          <w:b/>
          <w:sz w:val="32"/>
          <w:szCs w:val="32"/>
        </w:rPr>
        <w:t>2017</w:t>
      </w:r>
      <w:r>
        <w:rPr>
          <w:rFonts w:hint="eastAsia" w:eastAsia="仿宋_GB2312"/>
          <w:b/>
          <w:sz w:val="32"/>
          <w:szCs w:val="32"/>
        </w:rPr>
        <w:t>年12月</w:t>
      </w:r>
    </w:p>
    <w:p>
      <w:pPr>
        <w:jc w:val="center"/>
        <w:rPr>
          <w:rFonts w:eastAsia="仿宋_GB2312"/>
          <w:b/>
          <w:sz w:val="32"/>
          <w:szCs w:val="32"/>
        </w:rPr>
        <w:sectPr>
          <w:headerReference r:id="rId5" w:type="first"/>
          <w:headerReference r:id="rId3" w:type="default"/>
          <w:footerReference r:id="rId6" w:type="default"/>
          <w:headerReference r:id="rId4" w:type="even"/>
          <w:pgSz w:w="11906" w:h="16838"/>
          <w:pgMar w:top="1440" w:right="1797" w:bottom="1440" w:left="1287" w:header="851" w:footer="992" w:gutter="0"/>
          <w:cols w:space="425" w:num="1"/>
          <w:docGrid w:type="lines" w:linePitch="312" w:charSpace="0"/>
        </w:sectPr>
      </w:pPr>
    </w:p>
    <w:p>
      <w:pPr>
        <w:pStyle w:val="224"/>
        <w:spacing w:before="0" w:line="540" w:lineRule="exact"/>
        <w:jc w:val="center"/>
        <w:rPr>
          <w:rFonts w:ascii="Times New Roman" w:hAnsi="Times New Roman"/>
          <w:sz w:val="36"/>
          <w:szCs w:val="36"/>
        </w:rPr>
      </w:pPr>
      <w:r>
        <w:rPr>
          <w:rFonts w:hint="eastAsia" w:ascii="Times New Roman" w:hAnsi="Times New Roman"/>
          <w:color w:val="auto"/>
          <w:sz w:val="36"/>
          <w:szCs w:val="36"/>
          <w:lang w:val="zh-CN"/>
        </w:rPr>
        <w:t>目录</w:t>
      </w:r>
    </w:p>
    <w:p>
      <w:pPr>
        <w:pStyle w:val="19"/>
        <w:rPr>
          <w:rFonts w:ascii="Times New Roman" w:hAnsi="Times New Roman" w:eastAsia="宋体" w:cs="Times New Roman"/>
          <w:b w:val="0"/>
          <w:bCs w:val="0"/>
          <w:caps w:val="0"/>
          <w:sz w:val="21"/>
          <w:szCs w:val="24"/>
          <w:lang/>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Style w:val="47"/>
          <w:lang/>
        </w:rPr>
        <w:fldChar w:fldCharType="begin"/>
      </w:r>
      <w:r>
        <w:rPr>
          <w:rStyle w:val="47"/>
          <w:lang/>
        </w:rPr>
        <w:instrText xml:space="preserve"> </w:instrText>
      </w:r>
      <w:r>
        <w:rPr>
          <w:lang/>
        </w:rPr>
        <w:instrText xml:space="preserve">HYPERLINK \l "_Toc500925999"</w:instrText>
      </w:r>
      <w:r>
        <w:rPr>
          <w:rStyle w:val="47"/>
          <w:lang/>
        </w:rPr>
        <w:instrText xml:space="preserve"> </w:instrText>
      </w:r>
      <w:r>
        <w:rPr>
          <w:rStyle w:val="47"/>
          <w:lang/>
        </w:rPr>
        <w:fldChar w:fldCharType="separate"/>
      </w:r>
      <w:r>
        <w:rPr>
          <w:rStyle w:val="47"/>
          <w:rFonts w:ascii="仿宋_GB2312" w:eastAsia="仿宋_GB2312"/>
          <w:lang/>
        </w:rPr>
        <w:t xml:space="preserve">1 </w:t>
      </w:r>
      <w:r>
        <w:rPr>
          <w:rStyle w:val="47"/>
          <w:rFonts w:hint="eastAsia" w:ascii="仿宋_GB2312" w:eastAsia="仿宋_GB2312"/>
          <w:lang/>
        </w:rPr>
        <w:t>业务基本情况介绍</w:t>
      </w:r>
      <w:r>
        <w:rPr>
          <w:lang/>
        </w:rPr>
        <w:tab/>
      </w:r>
      <w:r>
        <w:rPr>
          <w:lang/>
        </w:rPr>
        <w:fldChar w:fldCharType="begin"/>
      </w:r>
      <w:r>
        <w:rPr>
          <w:lang/>
        </w:rPr>
        <w:instrText xml:space="preserve"> PAGEREF _Toc500925999 \h </w:instrText>
      </w:r>
      <w:r>
        <w:rPr>
          <w:lang/>
        </w:rPr>
        <w:fldChar w:fldCharType="separate"/>
      </w:r>
      <w:r>
        <w:rPr>
          <w:lang/>
        </w:rPr>
        <w:t>3</w:t>
      </w:r>
      <w:r>
        <w:rPr>
          <w:lang/>
        </w:rPr>
        <w:fldChar w:fldCharType="end"/>
      </w:r>
      <w:r>
        <w:rPr>
          <w:rStyle w:val="47"/>
          <w:lang/>
        </w:rPr>
        <w:fldChar w:fldCharType="end"/>
      </w:r>
    </w:p>
    <w:p>
      <w:pPr>
        <w:pStyle w:val="18"/>
        <w:rPr>
          <w:rFonts w:ascii="Times New Roman" w:hAnsi="Times New Roman" w:eastAsia="宋体" w:cs="Times New Roman"/>
          <w:smallCaps w:val="0"/>
          <w:sz w:val="21"/>
          <w:szCs w:val="24"/>
          <w:lang/>
        </w:rPr>
      </w:pPr>
      <w:r>
        <w:rPr>
          <w:rStyle w:val="47"/>
          <w:lang/>
        </w:rPr>
        <w:fldChar w:fldCharType="begin"/>
      </w:r>
      <w:r>
        <w:rPr>
          <w:rStyle w:val="47"/>
          <w:lang/>
        </w:rPr>
        <w:instrText xml:space="preserve"> </w:instrText>
      </w:r>
      <w:r>
        <w:rPr>
          <w:lang/>
        </w:rPr>
        <w:instrText xml:space="preserve">HYPERLINK \l "_Toc500926000"</w:instrText>
      </w:r>
      <w:r>
        <w:rPr>
          <w:rStyle w:val="47"/>
          <w:lang/>
        </w:rPr>
        <w:instrText xml:space="preserve"> </w:instrText>
      </w:r>
      <w:r>
        <w:rPr>
          <w:rStyle w:val="47"/>
          <w:lang/>
        </w:rPr>
        <w:fldChar w:fldCharType="separate"/>
      </w:r>
      <w:r>
        <w:rPr>
          <w:rStyle w:val="47"/>
          <w:rFonts w:ascii="仿宋_GB2312" w:eastAsia="仿宋_GB2312"/>
          <w:lang/>
        </w:rPr>
        <w:t xml:space="preserve">1.1 </w:t>
      </w:r>
      <w:r>
        <w:rPr>
          <w:rStyle w:val="47"/>
          <w:rFonts w:hint="eastAsia" w:ascii="仿宋_GB2312" w:eastAsia="仿宋_GB2312"/>
          <w:lang/>
        </w:rPr>
        <w:t>业务名称</w:t>
      </w:r>
      <w:r>
        <w:rPr>
          <w:lang/>
        </w:rPr>
        <w:tab/>
      </w:r>
      <w:r>
        <w:rPr>
          <w:lang/>
        </w:rPr>
        <w:fldChar w:fldCharType="begin"/>
      </w:r>
      <w:r>
        <w:rPr>
          <w:lang/>
        </w:rPr>
        <w:instrText xml:space="preserve"> PAGEREF _Toc500926000 \h </w:instrText>
      </w:r>
      <w:r>
        <w:rPr>
          <w:lang/>
        </w:rPr>
        <w:fldChar w:fldCharType="separate"/>
      </w:r>
      <w:r>
        <w:rPr>
          <w:lang/>
        </w:rPr>
        <w:t>3</w:t>
      </w:r>
      <w:r>
        <w:rPr>
          <w:lang/>
        </w:rPr>
        <w:fldChar w:fldCharType="end"/>
      </w:r>
      <w:r>
        <w:rPr>
          <w:rStyle w:val="47"/>
          <w:lang/>
        </w:rPr>
        <w:fldChar w:fldCharType="end"/>
      </w:r>
    </w:p>
    <w:p>
      <w:pPr>
        <w:pStyle w:val="18"/>
        <w:rPr>
          <w:rFonts w:ascii="Times New Roman" w:hAnsi="Times New Roman" w:eastAsia="宋体" w:cs="Times New Roman"/>
          <w:smallCaps w:val="0"/>
          <w:sz w:val="21"/>
          <w:szCs w:val="24"/>
          <w:lang/>
        </w:rPr>
      </w:pPr>
      <w:r>
        <w:rPr>
          <w:rStyle w:val="47"/>
          <w:lang/>
        </w:rPr>
        <w:fldChar w:fldCharType="begin"/>
      </w:r>
      <w:r>
        <w:rPr>
          <w:rStyle w:val="47"/>
          <w:lang/>
        </w:rPr>
        <w:instrText xml:space="preserve"> </w:instrText>
      </w:r>
      <w:r>
        <w:rPr>
          <w:lang/>
        </w:rPr>
        <w:instrText xml:space="preserve">HYPERLINK \l "_Toc500926001"</w:instrText>
      </w:r>
      <w:r>
        <w:rPr>
          <w:rStyle w:val="47"/>
          <w:lang/>
        </w:rPr>
        <w:instrText xml:space="preserve"> </w:instrText>
      </w:r>
      <w:r>
        <w:rPr>
          <w:rStyle w:val="47"/>
          <w:lang/>
        </w:rPr>
        <w:fldChar w:fldCharType="separate"/>
      </w:r>
      <w:r>
        <w:rPr>
          <w:rStyle w:val="47"/>
          <w:rFonts w:ascii="仿宋_GB2312" w:eastAsia="仿宋_GB2312"/>
          <w:lang/>
        </w:rPr>
        <w:t xml:space="preserve">1.2 </w:t>
      </w:r>
      <w:r>
        <w:rPr>
          <w:rStyle w:val="47"/>
          <w:rFonts w:hint="eastAsia" w:ascii="仿宋_GB2312" w:eastAsia="仿宋_GB2312"/>
          <w:lang/>
        </w:rPr>
        <w:t>业务功能介绍</w:t>
      </w:r>
      <w:r>
        <w:rPr>
          <w:lang/>
        </w:rPr>
        <w:tab/>
      </w:r>
      <w:r>
        <w:rPr>
          <w:lang/>
        </w:rPr>
        <w:fldChar w:fldCharType="begin"/>
      </w:r>
      <w:r>
        <w:rPr>
          <w:lang/>
        </w:rPr>
        <w:instrText xml:space="preserve"> PAGEREF _Toc500926001 \h </w:instrText>
      </w:r>
      <w:r>
        <w:rPr>
          <w:lang/>
        </w:rPr>
        <w:fldChar w:fldCharType="separate"/>
      </w:r>
      <w:r>
        <w:rPr>
          <w:lang/>
        </w:rPr>
        <w:t>3</w:t>
      </w:r>
      <w:r>
        <w:rPr>
          <w:lang/>
        </w:rPr>
        <w:fldChar w:fldCharType="end"/>
      </w:r>
      <w:r>
        <w:rPr>
          <w:rStyle w:val="47"/>
          <w:lang/>
        </w:rPr>
        <w:fldChar w:fldCharType="end"/>
      </w:r>
    </w:p>
    <w:p>
      <w:pPr>
        <w:pStyle w:val="18"/>
        <w:rPr>
          <w:rFonts w:ascii="Times New Roman" w:hAnsi="Times New Roman" w:eastAsia="宋体" w:cs="Times New Roman"/>
          <w:smallCaps w:val="0"/>
          <w:sz w:val="21"/>
          <w:szCs w:val="24"/>
          <w:lang/>
        </w:rPr>
      </w:pPr>
      <w:r>
        <w:rPr>
          <w:rStyle w:val="47"/>
          <w:lang/>
        </w:rPr>
        <w:fldChar w:fldCharType="begin"/>
      </w:r>
      <w:r>
        <w:rPr>
          <w:rStyle w:val="47"/>
          <w:lang/>
        </w:rPr>
        <w:instrText xml:space="preserve"> </w:instrText>
      </w:r>
      <w:r>
        <w:rPr>
          <w:lang/>
        </w:rPr>
        <w:instrText xml:space="preserve">HYPERLINK \l "_Toc500926002"</w:instrText>
      </w:r>
      <w:r>
        <w:rPr>
          <w:rStyle w:val="47"/>
          <w:lang/>
        </w:rPr>
        <w:instrText xml:space="preserve"> </w:instrText>
      </w:r>
      <w:r>
        <w:rPr>
          <w:rStyle w:val="47"/>
          <w:lang/>
        </w:rPr>
        <w:fldChar w:fldCharType="separate"/>
      </w:r>
      <w:r>
        <w:rPr>
          <w:rStyle w:val="47"/>
          <w:rFonts w:ascii="仿宋_GB2312" w:eastAsia="仿宋_GB2312"/>
          <w:lang/>
        </w:rPr>
        <w:t>1.3</w:t>
      </w:r>
      <w:r>
        <w:rPr>
          <w:rStyle w:val="47"/>
          <w:rFonts w:hint="eastAsia" w:ascii="仿宋_GB2312" w:eastAsia="仿宋_GB2312"/>
          <w:lang/>
        </w:rPr>
        <w:t>技术实现方式介绍</w:t>
      </w:r>
      <w:r>
        <w:rPr>
          <w:lang/>
        </w:rPr>
        <w:tab/>
      </w:r>
      <w:r>
        <w:rPr>
          <w:lang/>
        </w:rPr>
        <w:fldChar w:fldCharType="begin"/>
      </w:r>
      <w:r>
        <w:rPr>
          <w:lang/>
        </w:rPr>
        <w:instrText xml:space="preserve"> PAGEREF _Toc500926002 \h </w:instrText>
      </w:r>
      <w:r>
        <w:rPr>
          <w:lang/>
        </w:rPr>
        <w:fldChar w:fldCharType="separate"/>
      </w:r>
      <w:r>
        <w:rPr>
          <w:lang/>
        </w:rPr>
        <w:t>4</w:t>
      </w:r>
      <w:r>
        <w:rPr>
          <w:lang/>
        </w:rPr>
        <w:fldChar w:fldCharType="end"/>
      </w:r>
      <w:r>
        <w:rPr>
          <w:rStyle w:val="47"/>
          <w:lang/>
        </w:rPr>
        <w:fldChar w:fldCharType="end"/>
      </w:r>
    </w:p>
    <w:p>
      <w:pPr>
        <w:pStyle w:val="18"/>
        <w:rPr>
          <w:rFonts w:ascii="Times New Roman" w:hAnsi="Times New Roman" w:eastAsia="宋体" w:cs="Times New Roman"/>
          <w:smallCaps w:val="0"/>
          <w:sz w:val="21"/>
          <w:szCs w:val="24"/>
          <w:lang/>
        </w:rPr>
      </w:pPr>
      <w:r>
        <w:rPr>
          <w:rStyle w:val="47"/>
          <w:lang/>
        </w:rPr>
        <w:fldChar w:fldCharType="begin"/>
      </w:r>
      <w:r>
        <w:rPr>
          <w:rStyle w:val="47"/>
          <w:lang/>
        </w:rPr>
        <w:instrText xml:space="preserve"> </w:instrText>
      </w:r>
      <w:r>
        <w:rPr>
          <w:lang/>
        </w:rPr>
        <w:instrText xml:space="preserve">HYPERLINK \l "_Toc500926003"</w:instrText>
      </w:r>
      <w:r>
        <w:rPr>
          <w:rStyle w:val="47"/>
          <w:lang/>
        </w:rPr>
        <w:instrText xml:space="preserve"> </w:instrText>
      </w:r>
      <w:r>
        <w:rPr>
          <w:rStyle w:val="47"/>
          <w:lang/>
        </w:rPr>
        <w:fldChar w:fldCharType="separate"/>
      </w:r>
      <w:r>
        <w:rPr>
          <w:rStyle w:val="47"/>
          <w:rFonts w:ascii="仿宋_GB2312" w:eastAsia="仿宋_GB2312"/>
          <w:lang/>
        </w:rPr>
        <w:t>1.4</w:t>
      </w:r>
      <w:r>
        <w:rPr>
          <w:rStyle w:val="47"/>
          <w:rFonts w:hint="eastAsia" w:ascii="仿宋_GB2312" w:eastAsia="仿宋_GB2312"/>
          <w:lang/>
        </w:rPr>
        <w:t>（预期）用户规模</w:t>
      </w:r>
      <w:r>
        <w:rPr>
          <w:lang/>
        </w:rPr>
        <w:tab/>
      </w:r>
      <w:r>
        <w:rPr>
          <w:lang/>
        </w:rPr>
        <w:fldChar w:fldCharType="begin"/>
      </w:r>
      <w:r>
        <w:rPr>
          <w:lang/>
        </w:rPr>
        <w:instrText xml:space="preserve"> PAGEREF _Toc500926003 \h </w:instrText>
      </w:r>
      <w:r>
        <w:rPr>
          <w:lang/>
        </w:rPr>
        <w:fldChar w:fldCharType="separate"/>
      </w:r>
      <w:r>
        <w:rPr>
          <w:lang/>
        </w:rPr>
        <w:t>4</w:t>
      </w:r>
      <w:r>
        <w:rPr>
          <w:lang/>
        </w:rPr>
        <w:fldChar w:fldCharType="end"/>
      </w:r>
      <w:r>
        <w:rPr>
          <w:rStyle w:val="47"/>
          <w:lang/>
        </w:rPr>
        <w:fldChar w:fldCharType="end"/>
      </w:r>
    </w:p>
    <w:p>
      <w:pPr>
        <w:pStyle w:val="18"/>
        <w:rPr>
          <w:rFonts w:ascii="Times New Roman" w:hAnsi="Times New Roman" w:eastAsia="宋体" w:cs="Times New Roman"/>
          <w:smallCaps w:val="0"/>
          <w:sz w:val="21"/>
          <w:szCs w:val="24"/>
          <w:lang/>
        </w:rPr>
      </w:pPr>
      <w:r>
        <w:rPr>
          <w:rStyle w:val="47"/>
          <w:lang/>
        </w:rPr>
        <w:fldChar w:fldCharType="begin"/>
      </w:r>
      <w:r>
        <w:rPr>
          <w:rStyle w:val="47"/>
          <w:lang/>
        </w:rPr>
        <w:instrText xml:space="preserve"> </w:instrText>
      </w:r>
      <w:r>
        <w:rPr>
          <w:lang/>
        </w:rPr>
        <w:instrText xml:space="preserve">HYPERLINK \l "_Toc500926004"</w:instrText>
      </w:r>
      <w:r>
        <w:rPr>
          <w:rStyle w:val="47"/>
          <w:lang/>
        </w:rPr>
        <w:instrText xml:space="preserve"> </w:instrText>
      </w:r>
      <w:r>
        <w:rPr>
          <w:rStyle w:val="47"/>
          <w:lang/>
        </w:rPr>
        <w:fldChar w:fldCharType="separate"/>
      </w:r>
      <w:r>
        <w:rPr>
          <w:rStyle w:val="47"/>
          <w:rFonts w:ascii="仿宋_GB2312" w:eastAsia="仿宋_GB2312"/>
          <w:lang/>
        </w:rPr>
        <w:t xml:space="preserve">1.5 </w:t>
      </w:r>
      <w:r>
        <w:rPr>
          <w:rStyle w:val="47"/>
          <w:rFonts w:hint="eastAsia" w:ascii="仿宋_GB2312" w:eastAsia="仿宋_GB2312"/>
          <w:lang/>
        </w:rPr>
        <w:t>市场发展情况</w:t>
      </w:r>
      <w:r>
        <w:rPr>
          <w:lang/>
        </w:rPr>
        <w:tab/>
      </w:r>
      <w:r>
        <w:rPr>
          <w:lang/>
        </w:rPr>
        <w:fldChar w:fldCharType="begin"/>
      </w:r>
      <w:r>
        <w:rPr>
          <w:lang/>
        </w:rPr>
        <w:instrText xml:space="preserve"> PAGEREF _Toc500926004 \h </w:instrText>
      </w:r>
      <w:r>
        <w:rPr>
          <w:lang/>
        </w:rPr>
        <w:fldChar w:fldCharType="separate"/>
      </w:r>
      <w:r>
        <w:rPr>
          <w:lang/>
        </w:rPr>
        <w:t>5</w:t>
      </w:r>
      <w:r>
        <w:rPr>
          <w:lang/>
        </w:rPr>
        <w:fldChar w:fldCharType="end"/>
      </w:r>
      <w:r>
        <w:rPr>
          <w:rStyle w:val="47"/>
          <w:lang/>
        </w:rPr>
        <w:fldChar w:fldCharType="end"/>
      </w:r>
    </w:p>
    <w:p>
      <w:pPr>
        <w:pStyle w:val="19"/>
        <w:rPr>
          <w:rFonts w:ascii="Times New Roman" w:hAnsi="Times New Roman" w:eastAsia="宋体" w:cs="Times New Roman"/>
          <w:b w:val="0"/>
          <w:bCs w:val="0"/>
          <w:caps w:val="0"/>
          <w:sz w:val="21"/>
          <w:szCs w:val="24"/>
          <w:lang/>
        </w:rPr>
      </w:pPr>
      <w:r>
        <w:rPr>
          <w:rStyle w:val="47"/>
          <w:lang/>
        </w:rPr>
        <w:fldChar w:fldCharType="begin"/>
      </w:r>
      <w:r>
        <w:rPr>
          <w:rStyle w:val="47"/>
          <w:lang/>
        </w:rPr>
        <w:instrText xml:space="preserve"> </w:instrText>
      </w:r>
      <w:r>
        <w:rPr>
          <w:lang/>
        </w:rPr>
        <w:instrText xml:space="preserve">HYPERLINK \l "_Toc500926005"</w:instrText>
      </w:r>
      <w:r>
        <w:rPr>
          <w:rStyle w:val="47"/>
          <w:lang/>
        </w:rPr>
        <w:instrText xml:space="preserve"> </w:instrText>
      </w:r>
      <w:r>
        <w:rPr>
          <w:rStyle w:val="47"/>
          <w:lang/>
        </w:rPr>
        <w:fldChar w:fldCharType="separate"/>
      </w:r>
      <w:r>
        <w:rPr>
          <w:rStyle w:val="47"/>
          <w:rFonts w:ascii="仿宋_GB2312" w:eastAsia="仿宋_GB2312"/>
          <w:lang/>
        </w:rPr>
        <w:t xml:space="preserve">2 </w:t>
      </w:r>
      <w:r>
        <w:rPr>
          <w:rStyle w:val="47"/>
          <w:rFonts w:hint="eastAsia" w:ascii="仿宋_GB2312" w:eastAsia="仿宋_GB2312"/>
          <w:lang/>
        </w:rPr>
        <w:t>安全评估情况</w:t>
      </w:r>
      <w:r>
        <w:rPr>
          <w:lang/>
        </w:rPr>
        <w:tab/>
      </w:r>
      <w:r>
        <w:rPr>
          <w:lang/>
        </w:rPr>
        <w:fldChar w:fldCharType="begin"/>
      </w:r>
      <w:r>
        <w:rPr>
          <w:lang/>
        </w:rPr>
        <w:instrText xml:space="preserve"> PAGEREF _Toc500926005 \h </w:instrText>
      </w:r>
      <w:r>
        <w:rPr>
          <w:lang/>
        </w:rPr>
        <w:fldChar w:fldCharType="separate"/>
      </w:r>
      <w:r>
        <w:rPr>
          <w:lang/>
        </w:rPr>
        <w:t>6</w:t>
      </w:r>
      <w:r>
        <w:rPr>
          <w:lang/>
        </w:rPr>
        <w:fldChar w:fldCharType="end"/>
      </w:r>
      <w:r>
        <w:rPr>
          <w:rStyle w:val="47"/>
          <w:lang/>
        </w:rPr>
        <w:fldChar w:fldCharType="end"/>
      </w:r>
    </w:p>
    <w:p>
      <w:pPr>
        <w:pStyle w:val="18"/>
        <w:rPr>
          <w:rFonts w:ascii="Times New Roman" w:hAnsi="Times New Roman" w:eastAsia="宋体" w:cs="Times New Roman"/>
          <w:smallCaps w:val="0"/>
          <w:sz w:val="21"/>
          <w:szCs w:val="24"/>
          <w:lang/>
        </w:rPr>
      </w:pPr>
      <w:r>
        <w:rPr>
          <w:rStyle w:val="47"/>
          <w:lang/>
        </w:rPr>
        <w:fldChar w:fldCharType="begin"/>
      </w:r>
      <w:r>
        <w:rPr>
          <w:rStyle w:val="47"/>
          <w:lang/>
        </w:rPr>
        <w:instrText xml:space="preserve"> </w:instrText>
      </w:r>
      <w:r>
        <w:rPr>
          <w:lang/>
        </w:rPr>
        <w:instrText xml:space="preserve">HYPERLINK \l "_Toc500926006"</w:instrText>
      </w:r>
      <w:r>
        <w:rPr>
          <w:rStyle w:val="47"/>
          <w:lang/>
        </w:rPr>
        <w:instrText xml:space="preserve"> </w:instrText>
      </w:r>
      <w:r>
        <w:rPr>
          <w:rStyle w:val="47"/>
          <w:lang/>
        </w:rPr>
        <w:fldChar w:fldCharType="separate"/>
      </w:r>
      <w:r>
        <w:rPr>
          <w:rStyle w:val="47"/>
          <w:rFonts w:ascii="仿宋_GB2312" w:eastAsia="仿宋_GB2312"/>
          <w:lang/>
        </w:rPr>
        <w:t xml:space="preserve">2.1 </w:t>
      </w:r>
      <w:r>
        <w:rPr>
          <w:rStyle w:val="47"/>
          <w:rFonts w:hint="eastAsia" w:ascii="仿宋_GB2312" w:eastAsia="仿宋_GB2312"/>
          <w:lang/>
        </w:rPr>
        <w:t>安全评估情况概述</w:t>
      </w:r>
      <w:r>
        <w:rPr>
          <w:lang/>
        </w:rPr>
        <w:tab/>
      </w:r>
      <w:r>
        <w:rPr>
          <w:lang/>
        </w:rPr>
        <w:fldChar w:fldCharType="begin"/>
      </w:r>
      <w:r>
        <w:rPr>
          <w:lang/>
        </w:rPr>
        <w:instrText xml:space="preserve"> PAGEREF _Toc500926006 \h </w:instrText>
      </w:r>
      <w:r>
        <w:rPr>
          <w:lang/>
        </w:rPr>
        <w:fldChar w:fldCharType="separate"/>
      </w:r>
      <w:r>
        <w:rPr>
          <w:lang/>
        </w:rPr>
        <w:t>6</w:t>
      </w:r>
      <w:r>
        <w:rPr>
          <w:lang/>
        </w:rPr>
        <w:fldChar w:fldCharType="end"/>
      </w:r>
      <w:r>
        <w:rPr>
          <w:rStyle w:val="47"/>
          <w:lang/>
        </w:rPr>
        <w:fldChar w:fldCharType="end"/>
      </w:r>
    </w:p>
    <w:p>
      <w:pPr>
        <w:pStyle w:val="18"/>
        <w:rPr>
          <w:rFonts w:ascii="Times New Roman" w:hAnsi="Times New Roman" w:eastAsia="宋体" w:cs="Times New Roman"/>
          <w:smallCaps w:val="0"/>
          <w:sz w:val="21"/>
          <w:szCs w:val="24"/>
          <w:lang/>
        </w:rPr>
      </w:pPr>
      <w:r>
        <w:rPr>
          <w:rStyle w:val="47"/>
          <w:lang/>
        </w:rPr>
        <w:fldChar w:fldCharType="begin"/>
      </w:r>
      <w:r>
        <w:rPr>
          <w:rStyle w:val="47"/>
          <w:lang/>
        </w:rPr>
        <w:instrText xml:space="preserve"> </w:instrText>
      </w:r>
      <w:r>
        <w:rPr>
          <w:lang/>
        </w:rPr>
        <w:instrText xml:space="preserve">HYPERLINK \l "_Toc500926007"</w:instrText>
      </w:r>
      <w:r>
        <w:rPr>
          <w:rStyle w:val="47"/>
          <w:lang/>
        </w:rPr>
        <w:instrText xml:space="preserve"> </w:instrText>
      </w:r>
      <w:r>
        <w:rPr>
          <w:rStyle w:val="47"/>
          <w:lang/>
        </w:rPr>
        <w:fldChar w:fldCharType="separate"/>
      </w:r>
      <w:r>
        <w:rPr>
          <w:rStyle w:val="47"/>
          <w:rFonts w:ascii="仿宋_GB2312" w:eastAsia="仿宋_GB2312"/>
          <w:lang/>
        </w:rPr>
        <w:t xml:space="preserve">2.2 </w:t>
      </w:r>
      <w:r>
        <w:rPr>
          <w:rStyle w:val="47"/>
          <w:rFonts w:hint="eastAsia" w:ascii="仿宋_GB2312" w:eastAsia="仿宋_GB2312"/>
          <w:lang/>
        </w:rPr>
        <w:t>评估人员组成</w:t>
      </w:r>
      <w:r>
        <w:rPr>
          <w:lang/>
        </w:rPr>
        <w:tab/>
      </w:r>
      <w:r>
        <w:rPr>
          <w:lang/>
        </w:rPr>
        <w:fldChar w:fldCharType="begin"/>
      </w:r>
      <w:r>
        <w:rPr>
          <w:lang/>
        </w:rPr>
        <w:instrText xml:space="preserve"> PAGEREF _Toc500926007 \h </w:instrText>
      </w:r>
      <w:r>
        <w:rPr>
          <w:lang/>
        </w:rPr>
        <w:fldChar w:fldCharType="separate"/>
      </w:r>
      <w:r>
        <w:rPr>
          <w:lang/>
        </w:rPr>
        <w:t>9</w:t>
      </w:r>
      <w:r>
        <w:rPr>
          <w:lang/>
        </w:rPr>
        <w:fldChar w:fldCharType="end"/>
      </w:r>
      <w:r>
        <w:rPr>
          <w:rStyle w:val="47"/>
          <w:lang/>
        </w:rPr>
        <w:fldChar w:fldCharType="end"/>
      </w:r>
    </w:p>
    <w:p>
      <w:pPr>
        <w:pStyle w:val="18"/>
        <w:rPr>
          <w:rFonts w:ascii="Times New Roman" w:hAnsi="Times New Roman" w:eastAsia="宋体" w:cs="Times New Roman"/>
          <w:smallCaps w:val="0"/>
          <w:sz w:val="21"/>
          <w:szCs w:val="24"/>
          <w:lang/>
        </w:rPr>
      </w:pPr>
      <w:r>
        <w:rPr>
          <w:rStyle w:val="47"/>
          <w:lang/>
        </w:rPr>
        <w:fldChar w:fldCharType="begin"/>
      </w:r>
      <w:r>
        <w:rPr>
          <w:rStyle w:val="47"/>
          <w:lang/>
        </w:rPr>
        <w:instrText xml:space="preserve"> </w:instrText>
      </w:r>
      <w:r>
        <w:rPr>
          <w:lang/>
        </w:rPr>
        <w:instrText xml:space="preserve">HYPERLINK \l "_Toc500926008"</w:instrText>
      </w:r>
      <w:r>
        <w:rPr>
          <w:rStyle w:val="47"/>
          <w:lang/>
        </w:rPr>
        <w:instrText xml:space="preserve"> </w:instrText>
      </w:r>
      <w:r>
        <w:rPr>
          <w:rStyle w:val="47"/>
          <w:lang/>
        </w:rPr>
        <w:fldChar w:fldCharType="separate"/>
      </w:r>
      <w:r>
        <w:rPr>
          <w:rStyle w:val="47"/>
          <w:rFonts w:ascii="仿宋_GB2312" w:eastAsia="仿宋_GB2312"/>
          <w:lang/>
        </w:rPr>
        <w:t xml:space="preserve">2.3 </w:t>
      </w:r>
      <w:r>
        <w:rPr>
          <w:rStyle w:val="47"/>
          <w:rFonts w:hint="eastAsia" w:ascii="仿宋_GB2312" w:eastAsia="仿宋_GB2312"/>
          <w:lang/>
        </w:rPr>
        <w:t>评估实施流程</w:t>
      </w:r>
      <w:r>
        <w:rPr>
          <w:lang/>
        </w:rPr>
        <w:tab/>
      </w:r>
      <w:r>
        <w:rPr>
          <w:lang/>
        </w:rPr>
        <w:fldChar w:fldCharType="begin"/>
      </w:r>
      <w:r>
        <w:rPr>
          <w:lang/>
        </w:rPr>
        <w:instrText xml:space="preserve"> PAGEREF _Toc500926008 \h </w:instrText>
      </w:r>
      <w:r>
        <w:rPr>
          <w:lang/>
        </w:rPr>
        <w:fldChar w:fldCharType="separate"/>
      </w:r>
      <w:r>
        <w:rPr>
          <w:lang/>
        </w:rPr>
        <w:t>9</w:t>
      </w:r>
      <w:r>
        <w:rPr>
          <w:lang/>
        </w:rPr>
        <w:fldChar w:fldCharType="end"/>
      </w:r>
      <w:r>
        <w:rPr>
          <w:rStyle w:val="47"/>
          <w:lang/>
        </w:rPr>
        <w:fldChar w:fldCharType="end"/>
      </w:r>
    </w:p>
    <w:p>
      <w:pPr>
        <w:pStyle w:val="19"/>
        <w:rPr>
          <w:rFonts w:ascii="Times New Roman" w:hAnsi="Times New Roman" w:eastAsia="宋体" w:cs="Times New Roman"/>
          <w:b w:val="0"/>
          <w:bCs w:val="0"/>
          <w:caps w:val="0"/>
          <w:sz w:val="21"/>
          <w:szCs w:val="24"/>
          <w:lang/>
        </w:rPr>
      </w:pPr>
      <w:r>
        <w:rPr>
          <w:rStyle w:val="47"/>
          <w:lang/>
        </w:rPr>
        <w:fldChar w:fldCharType="begin"/>
      </w:r>
      <w:r>
        <w:rPr>
          <w:rStyle w:val="47"/>
          <w:lang/>
        </w:rPr>
        <w:instrText xml:space="preserve"> </w:instrText>
      </w:r>
      <w:r>
        <w:rPr>
          <w:lang/>
        </w:rPr>
        <w:instrText xml:space="preserve">HYPERLINK \l "_Toc500926009"</w:instrText>
      </w:r>
      <w:r>
        <w:rPr>
          <w:rStyle w:val="47"/>
          <w:lang/>
        </w:rPr>
        <w:instrText xml:space="preserve"> </w:instrText>
      </w:r>
      <w:r>
        <w:rPr>
          <w:rStyle w:val="47"/>
          <w:lang/>
        </w:rPr>
        <w:fldChar w:fldCharType="separate"/>
      </w:r>
      <w:r>
        <w:rPr>
          <w:rStyle w:val="47"/>
          <w:rFonts w:eastAsia="仿宋_GB2312"/>
          <w:lang/>
        </w:rPr>
        <w:t xml:space="preserve">3 </w:t>
      </w:r>
      <w:r>
        <w:rPr>
          <w:rStyle w:val="47"/>
          <w:rFonts w:hint="eastAsia" w:eastAsia="仿宋_GB2312"/>
          <w:lang/>
        </w:rPr>
        <w:t>业务安全风险分析</w:t>
      </w:r>
      <w:r>
        <w:rPr>
          <w:lang/>
        </w:rPr>
        <w:tab/>
      </w:r>
      <w:r>
        <w:rPr>
          <w:lang/>
        </w:rPr>
        <w:fldChar w:fldCharType="begin"/>
      </w:r>
      <w:r>
        <w:rPr>
          <w:lang/>
        </w:rPr>
        <w:instrText xml:space="preserve"> PAGEREF _Toc500926009 \h </w:instrText>
      </w:r>
      <w:r>
        <w:rPr>
          <w:lang/>
        </w:rPr>
        <w:fldChar w:fldCharType="separate"/>
      </w:r>
      <w:r>
        <w:rPr>
          <w:lang/>
        </w:rPr>
        <w:t>11</w:t>
      </w:r>
      <w:r>
        <w:rPr>
          <w:lang/>
        </w:rPr>
        <w:fldChar w:fldCharType="end"/>
      </w:r>
      <w:r>
        <w:rPr>
          <w:rStyle w:val="47"/>
          <w:lang/>
        </w:rPr>
        <w:fldChar w:fldCharType="end"/>
      </w:r>
    </w:p>
    <w:p>
      <w:pPr>
        <w:pStyle w:val="18"/>
        <w:rPr>
          <w:rFonts w:ascii="Times New Roman" w:hAnsi="Times New Roman" w:eastAsia="宋体" w:cs="Times New Roman"/>
          <w:smallCaps w:val="0"/>
          <w:sz w:val="21"/>
          <w:szCs w:val="24"/>
          <w:lang/>
        </w:rPr>
      </w:pPr>
      <w:r>
        <w:rPr>
          <w:rStyle w:val="47"/>
          <w:lang/>
        </w:rPr>
        <w:fldChar w:fldCharType="begin"/>
      </w:r>
      <w:r>
        <w:rPr>
          <w:rStyle w:val="47"/>
          <w:lang/>
        </w:rPr>
        <w:instrText xml:space="preserve"> </w:instrText>
      </w:r>
      <w:r>
        <w:rPr>
          <w:lang/>
        </w:rPr>
        <w:instrText xml:space="preserve">HYPERLINK \l "_Toc500926010"</w:instrText>
      </w:r>
      <w:r>
        <w:rPr>
          <w:rStyle w:val="47"/>
          <w:lang/>
        </w:rPr>
        <w:instrText xml:space="preserve"> </w:instrText>
      </w:r>
      <w:r>
        <w:rPr>
          <w:rStyle w:val="47"/>
          <w:lang/>
        </w:rPr>
        <w:fldChar w:fldCharType="separate"/>
      </w:r>
      <w:r>
        <w:rPr>
          <w:rStyle w:val="47"/>
          <w:rFonts w:eastAsia="仿宋_GB2312"/>
          <w:lang/>
        </w:rPr>
        <w:t xml:space="preserve">3.1 </w:t>
      </w:r>
      <w:r>
        <w:rPr>
          <w:rStyle w:val="47"/>
          <w:rFonts w:hint="eastAsia" w:eastAsia="仿宋_GB2312"/>
          <w:lang/>
        </w:rPr>
        <w:t>安全风险分析表</w:t>
      </w:r>
      <w:r>
        <w:rPr>
          <w:lang/>
        </w:rPr>
        <w:tab/>
      </w:r>
      <w:r>
        <w:rPr>
          <w:lang/>
        </w:rPr>
        <w:fldChar w:fldCharType="begin"/>
      </w:r>
      <w:r>
        <w:rPr>
          <w:lang/>
        </w:rPr>
        <w:instrText xml:space="preserve"> PAGEREF _Toc500926010 \h </w:instrText>
      </w:r>
      <w:r>
        <w:rPr>
          <w:lang/>
        </w:rPr>
        <w:fldChar w:fldCharType="separate"/>
      </w:r>
      <w:r>
        <w:rPr>
          <w:lang/>
        </w:rPr>
        <w:t>11</w:t>
      </w:r>
      <w:r>
        <w:rPr>
          <w:lang/>
        </w:rPr>
        <w:fldChar w:fldCharType="end"/>
      </w:r>
      <w:r>
        <w:rPr>
          <w:rStyle w:val="47"/>
          <w:lang/>
        </w:rPr>
        <w:fldChar w:fldCharType="end"/>
      </w:r>
    </w:p>
    <w:p>
      <w:pPr>
        <w:pStyle w:val="18"/>
        <w:rPr>
          <w:rFonts w:ascii="Times New Roman" w:hAnsi="Times New Roman" w:eastAsia="宋体" w:cs="Times New Roman"/>
          <w:smallCaps w:val="0"/>
          <w:sz w:val="21"/>
          <w:szCs w:val="24"/>
          <w:lang/>
        </w:rPr>
      </w:pPr>
      <w:r>
        <w:rPr>
          <w:rStyle w:val="47"/>
          <w:lang/>
        </w:rPr>
        <w:fldChar w:fldCharType="begin"/>
      </w:r>
      <w:r>
        <w:rPr>
          <w:rStyle w:val="47"/>
          <w:lang/>
        </w:rPr>
        <w:instrText xml:space="preserve"> </w:instrText>
      </w:r>
      <w:r>
        <w:rPr>
          <w:lang/>
        </w:rPr>
        <w:instrText xml:space="preserve">HYPERLINK \l "_Toc500926011"</w:instrText>
      </w:r>
      <w:r>
        <w:rPr>
          <w:rStyle w:val="47"/>
          <w:lang/>
        </w:rPr>
        <w:instrText xml:space="preserve"> </w:instrText>
      </w:r>
      <w:r>
        <w:rPr>
          <w:rStyle w:val="47"/>
          <w:lang/>
        </w:rPr>
        <w:fldChar w:fldCharType="separate"/>
      </w:r>
      <w:r>
        <w:rPr>
          <w:rStyle w:val="47"/>
          <w:rFonts w:eastAsia="仿宋_GB2312"/>
          <w:lang/>
        </w:rPr>
        <w:t xml:space="preserve">3.2 </w:t>
      </w:r>
      <w:r>
        <w:rPr>
          <w:rStyle w:val="47"/>
          <w:rFonts w:hint="eastAsia" w:eastAsia="仿宋_GB2312"/>
          <w:lang/>
        </w:rPr>
        <w:t>风险说明</w:t>
      </w:r>
      <w:r>
        <w:rPr>
          <w:lang/>
        </w:rPr>
        <w:tab/>
      </w:r>
      <w:r>
        <w:rPr>
          <w:lang/>
        </w:rPr>
        <w:fldChar w:fldCharType="begin"/>
      </w:r>
      <w:r>
        <w:rPr>
          <w:lang/>
        </w:rPr>
        <w:instrText xml:space="preserve"> PAGEREF _Toc500926011 \h </w:instrText>
      </w:r>
      <w:r>
        <w:rPr>
          <w:lang/>
        </w:rPr>
        <w:fldChar w:fldCharType="separate"/>
      </w:r>
      <w:r>
        <w:rPr>
          <w:lang/>
        </w:rPr>
        <w:t>14</w:t>
      </w:r>
      <w:r>
        <w:rPr>
          <w:lang/>
        </w:rPr>
        <w:fldChar w:fldCharType="end"/>
      </w:r>
      <w:r>
        <w:rPr>
          <w:rStyle w:val="47"/>
          <w:lang/>
        </w:rPr>
        <w:fldChar w:fldCharType="end"/>
      </w:r>
    </w:p>
    <w:p>
      <w:pPr>
        <w:pStyle w:val="19"/>
        <w:rPr>
          <w:rFonts w:ascii="Times New Roman" w:hAnsi="Times New Roman" w:eastAsia="宋体" w:cs="Times New Roman"/>
          <w:b w:val="0"/>
          <w:bCs w:val="0"/>
          <w:caps w:val="0"/>
          <w:sz w:val="21"/>
          <w:szCs w:val="24"/>
          <w:lang/>
        </w:rPr>
      </w:pPr>
      <w:r>
        <w:rPr>
          <w:rStyle w:val="47"/>
          <w:lang/>
        </w:rPr>
        <w:fldChar w:fldCharType="begin"/>
      </w:r>
      <w:r>
        <w:rPr>
          <w:rStyle w:val="47"/>
          <w:lang/>
        </w:rPr>
        <w:instrText xml:space="preserve"> </w:instrText>
      </w:r>
      <w:r>
        <w:rPr>
          <w:lang/>
        </w:rPr>
        <w:instrText xml:space="preserve">HYPERLINK \l "_Toc500926012"</w:instrText>
      </w:r>
      <w:r>
        <w:rPr>
          <w:rStyle w:val="47"/>
          <w:lang/>
        </w:rPr>
        <w:instrText xml:space="preserve"> </w:instrText>
      </w:r>
      <w:r>
        <w:rPr>
          <w:rStyle w:val="47"/>
          <w:lang/>
        </w:rPr>
        <w:fldChar w:fldCharType="separate"/>
      </w:r>
      <w:r>
        <w:rPr>
          <w:rStyle w:val="47"/>
          <w:rFonts w:eastAsia="仿宋_GB2312"/>
          <w:lang/>
        </w:rPr>
        <w:t xml:space="preserve">4 </w:t>
      </w:r>
      <w:r>
        <w:rPr>
          <w:rStyle w:val="47"/>
          <w:rFonts w:hint="eastAsia" w:eastAsia="仿宋_GB2312"/>
          <w:lang/>
        </w:rPr>
        <w:t>配套安全管理措施</w:t>
      </w:r>
      <w:r>
        <w:rPr>
          <w:lang/>
        </w:rPr>
        <w:tab/>
      </w:r>
      <w:r>
        <w:rPr>
          <w:lang/>
        </w:rPr>
        <w:fldChar w:fldCharType="begin"/>
      </w:r>
      <w:r>
        <w:rPr>
          <w:lang/>
        </w:rPr>
        <w:instrText xml:space="preserve"> PAGEREF _Toc500926012 \h </w:instrText>
      </w:r>
      <w:r>
        <w:rPr>
          <w:lang/>
        </w:rPr>
        <w:fldChar w:fldCharType="separate"/>
      </w:r>
      <w:r>
        <w:rPr>
          <w:lang/>
        </w:rPr>
        <w:t>15</w:t>
      </w:r>
      <w:r>
        <w:rPr>
          <w:lang/>
        </w:rPr>
        <w:fldChar w:fldCharType="end"/>
      </w:r>
      <w:r>
        <w:rPr>
          <w:rStyle w:val="47"/>
          <w:lang/>
        </w:rPr>
        <w:fldChar w:fldCharType="end"/>
      </w:r>
    </w:p>
    <w:p>
      <w:pPr>
        <w:pStyle w:val="18"/>
        <w:rPr>
          <w:rFonts w:ascii="Times New Roman" w:hAnsi="Times New Roman" w:eastAsia="宋体" w:cs="Times New Roman"/>
          <w:smallCaps w:val="0"/>
          <w:sz w:val="21"/>
          <w:szCs w:val="24"/>
          <w:lang/>
        </w:rPr>
      </w:pPr>
      <w:r>
        <w:rPr>
          <w:rStyle w:val="47"/>
          <w:lang/>
        </w:rPr>
        <w:fldChar w:fldCharType="begin"/>
      </w:r>
      <w:r>
        <w:rPr>
          <w:rStyle w:val="47"/>
          <w:lang/>
        </w:rPr>
        <w:instrText xml:space="preserve"> </w:instrText>
      </w:r>
      <w:r>
        <w:rPr>
          <w:lang/>
        </w:rPr>
        <w:instrText xml:space="preserve">HYPERLINK \l "_Toc500926013"</w:instrText>
      </w:r>
      <w:r>
        <w:rPr>
          <w:rStyle w:val="47"/>
          <w:lang/>
        </w:rPr>
        <w:instrText xml:space="preserve"> </w:instrText>
      </w:r>
      <w:r>
        <w:rPr>
          <w:rStyle w:val="47"/>
          <w:lang/>
        </w:rPr>
        <w:fldChar w:fldCharType="separate"/>
      </w:r>
      <w:r>
        <w:rPr>
          <w:rStyle w:val="47"/>
          <w:rFonts w:eastAsia="仿宋_GB2312"/>
          <w:lang/>
        </w:rPr>
        <w:t xml:space="preserve">4.1 </w:t>
      </w:r>
      <w:r>
        <w:rPr>
          <w:rStyle w:val="47"/>
          <w:rFonts w:hint="eastAsia" w:eastAsia="仿宋_GB2312"/>
          <w:lang/>
        </w:rPr>
        <w:t>日常安全管理介绍</w:t>
      </w:r>
      <w:r>
        <w:rPr>
          <w:lang/>
        </w:rPr>
        <w:tab/>
      </w:r>
      <w:r>
        <w:rPr>
          <w:lang/>
        </w:rPr>
        <w:fldChar w:fldCharType="begin"/>
      </w:r>
      <w:r>
        <w:rPr>
          <w:lang/>
        </w:rPr>
        <w:instrText xml:space="preserve"> PAGEREF _Toc500926013 \h </w:instrText>
      </w:r>
      <w:r>
        <w:rPr>
          <w:lang/>
        </w:rPr>
        <w:fldChar w:fldCharType="separate"/>
      </w:r>
      <w:r>
        <w:rPr>
          <w:lang/>
        </w:rPr>
        <w:t>15</w:t>
      </w:r>
      <w:r>
        <w:rPr>
          <w:lang/>
        </w:rPr>
        <w:fldChar w:fldCharType="end"/>
      </w:r>
      <w:r>
        <w:rPr>
          <w:rStyle w:val="47"/>
          <w:lang/>
        </w:rPr>
        <w:fldChar w:fldCharType="end"/>
      </w:r>
    </w:p>
    <w:p>
      <w:pPr>
        <w:pStyle w:val="18"/>
        <w:rPr>
          <w:rFonts w:ascii="Times New Roman" w:hAnsi="Times New Roman" w:eastAsia="宋体" w:cs="Times New Roman"/>
          <w:smallCaps w:val="0"/>
          <w:sz w:val="21"/>
          <w:szCs w:val="24"/>
          <w:lang/>
        </w:rPr>
      </w:pPr>
      <w:r>
        <w:rPr>
          <w:rStyle w:val="47"/>
          <w:lang/>
        </w:rPr>
        <w:fldChar w:fldCharType="begin"/>
      </w:r>
      <w:r>
        <w:rPr>
          <w:rStyle w:val="47"/>
          <w:lang/>
        </w:rPr>
        <w:instrText xml:space="preserve"> </w:instrText>
      </w:r>
      <w:r>
        <w:rPr>
          <w:lang/>
        </w:rPr>
        <w:instrText xml:space="preserve">HYPERLINK \l "_Toc500926014"</w:instrText>
      </w:r>
      <w:r>
        <w:rPr>
          <w:rStyle w:val="47"/>
          <w:lang/>
        </w:rPr>
        <w:instrText xml:space="preserve"> </w:instrText>
      </w:r>
      <w:r>
        <w:rPr>
          <w:rStyle w:val="47"/>
          <w:lang/>
        </w:rPr>
        <w:fldChar w:fldCharType="separate"/>
      </w:r>
      <w:r>
        <w:rPr>
          <w:rStyle w:val="47"/>
          <w:rFonts w:eastAsia="仿宋_GB2312"/>
          <w:lang/>
        </w:rPr>
        <w:t xml:space="preserve">4.2 </w:t>
      </w:r>
      <w:r>
        <w:rPr>
          <w:rStyle w:val="47"/>
          <w:rFonts w:hint="eastAsia" w:eastAsia="仿宋_GB2312"/>
          <w:lang/>
        </w:rPr>
        <w:t>应急管理措施介绍</w:t>
      </w:r>
      <w:r>
        <w:rPr>
          <w:lang/>
        </w:rPr>
        <w:tab/>
      </w:r>
      <w:r>
        <w:rPr>
          <w:lang/>
        </w:rPr>
        <w:fldChar w:fldCharType="begin"/>
      </w:r>
      <w:r>
        <w:rPr>
          <w:lang/>
        </w:rPr>
        <w:instrText xml:space="preserve"> PAGEREF _Toc500926014 \h </w:instrText>
      </w:r>
      <w:r>
        <w:rPr>
          <w:lang/>
        </w:rPr>
        <w:fldChar w:fldCharType="separate"/>
      </w:r>
      <w:r>
        <w:rPr>
          <w:lang/>
        </w:rPr>
        <w:t>16</w:t>
      </w:r>
      <w:r>
        <w:rPr>
          <w:lang/>
        </w:rPr>
        <w:fldChar w:fldCharType="end"/>
      </w:r>
      <w:r>
        <w:rPr>
          <w:rStyle w:val="47"/>
          <w:lang/>
        </w:rPr>
        <w:fldChar w:fldCharType="end"/>
      </w:r>
    </w:p>
    <w:p>
      <w:pPr>
        <w:pStyle w:val="18"/>
        <w:rPr>
          <w:rFonts w:ascii="Times New Roman" w:hAnsi="Times New Roman" w:eastAsia="宋体" w:cs="Times New Roman"/>
          <w:smallCaps w:val="0"/>
          <w:sz w:val="21"/>
          <w:szCs w:val="24"/>
          <w:lang/>
        </w:rPr>
      </w:pPr>
      <w:r>
        <w:rPr>
          <w:rStyle w:val="47"/>
          <w:lang/>
        </w:rPr>
        <w:fldChar w:fldCharType="begin"/>
      </w:r>
      <w:r>
        <w:rPr>
          <w:rStyle w:val="47"/>
          <w:lang/>
        </w:rPr>
        <w:instrText xml:space="preserve"> </w:instrText>
      </w:r>
      <w:r>
        <w:rPr>
          <w:lang/>
        </w:rPr>
        <w:instrText xml:space="preserve">HYPERLINK \l "_Toc500926015"</w:instrText>
      </w:r>
      <w:r>
        <w:rPr>
          <w:rStyle w:val="47"/>
          <w:lang/>
        </w:rPr>
        <w:instrText xml:space="preserve"> </w:instrText>
      </w:r>
      <w:r>
        <w:rPr>
          <w:rStyle w:val="47"/>
          <w:lang/>
        </w:rPr>
        <w:fldChar w:fldCharType="separate"/>
      </w:r>
      <w:r>
        <w:rPr>
          <w:rStyle w:val="47"/>
          <w:rFonts w:eastAsia="仿宋_GB2312"/>
          <w:lang/>
        </w:rPr>
        <w:t xml:space="preserve">4.3 </w:t>
      </w:r>
      <w:r>
        <w:rPr>
          <w:rStyle w:val="47"/>
          <w:rFonts w:hint="eastAsia" w:eastAsia="仿宋_GB2312"/>
          <w:lang/>
        </w:rPr>
        <w:t>安全保障能力分析表</w:t>
      </w:r>
      <w:r>
        <w:rPr>
          <w:lang/>
        </w:rPr>
        <w:tab/>
      </w:r>
      <w:r>
        <w:rPr>
          <w:lang/>
        </w:rPr>
        <w:fldChar w:fldCharType="begin"/>
      </w:r>
      <w:r>
        <w:rPr>
          <w:lang/>
        </w:rPr>
        <w:instrText xml:space="preserve"> PAGEREF _Toc500926015 \h </w:instrText>
      </w:r>
      <w:r>
        <w:rPr>
          <w:lang/>
        </w:rPr>
        <w:fldChar w:fldCharType="separate"/>
      </w:r>
      <w:r>
        <w:rPr>
          <w:lang/>
        </w:rPr>
        <w:t>18</w:t>
      </w:r>
      <w:r>
        <w:rPr>
          <w:lang/>
        </w:rPr>
        <w:fldChar w:fldCharType="end"/>
      </w:r>
      <w:r>
        <w:rPr>
          <w:rStyle w:val="47"/>
          <w:lang/>
        </w:rPr>
        <w:fldChar w:fldCharType="end"/>
      </w:r>
    </w:p>
    <w:p>
      <w:pPr>
        <w:pStyle w:val="18"/>
        <w:rPr>
          <w:rFonts w:ascii="Times New Roman" w:hAnsi="Times New Roman" w:eastAsia="宋体" w:cs="Times New Roman"/>
          <w:smallCaps w:val="0"/>
          <w:sz w:val="21"/>
          <w:szCs w:val="24"/>
          <w:lang/>
        </w:rPr>
      </w:pPr>
      <w:r>
        <w:rPr>
          <w:rStyle w:val="47"/>
          <w:lang/>
        </w:rPr>
        <w:fldChar w:fldCharType="begin"/>
      </w:r>
      <w:r>
        <w:rPr>
          <w:rStyle w:val="47"/>
          <w:lang/>
        </w:rPr>
        <w:instrText xml:space="preserve"> </w:instrText>
      </w:r>
      <w:r>
        <w:rPr>
          <w:lang/>
        </w:rPr>
        <w:instrText xml:space="preserve">HYPERLINK \l "_Toc500926016"</w:instrText>
      </w:r>
      <w:r>
        <w:rPr>
          <w:rStyle w:val="47"/>
          <w:lang/>
        </w:rPr>
        <w:instrText xml:space="preserve"> </w:instrText>
      </w:r>
      <w:r>
        <w:rPr>
          <w:rStyle w:val="47"/>
          <w:lang/>
        </w:rPr>
        <w:fldChar w:fldCharType="separate"/>
      </w:r>
      <w:r>
        <w:rPr>
          <w:rStyle w:val="47"/>
          <w:rFonts w:eastAsia="仿宋_GB2312"/>
          <w:lang/>
        </w:rPr>
        <w:t>4.4</w:t>
      </w:r>
      <w:r>
        <w:rPr>
          <w:rStyle w:val="47"/>
          <w:rFonts w:hint="eastAsia" w:eastAsia="仿宋_GB2312"/>
          <w:lang/>
        </w:rPr>
        <w:t>安全保障能力说明</w:t>
      </w:r>
      <w:r>
        <w:rPr>
          <w:lang/>
        </w:rPr>
        <w:tab/>
      </w:r>
      <w:r>
        <w:rPr>
          <w:lang/>
        </w:rPr>
        <w:fldChar w:fldCharType="begin"/>
      </w:r>
      <w:r>
        <w:rPr>
          <w:lang/>
        </w:rPr>
        <w:instrText xml:space="preserve"> PAGEREF _Toc500926016 \h </w:instrText>
      </w:r>
      <w:r>
        <w:rPr>
          <w:lang/>
        </w:rPr>
        <w:fldChar w:fldCharType="separate"/>
      </w:r>
      <w:r>
        <w:rPr>
          <w:lang/>
        </w:rPr>
        <w:t>24</w:t>
      </w:r>
      <w:r>
        <w:rPr>
          <w:lang/>
        </w:rPr>
        <w:fldChar w:fldCharType="end"/>
      </w:r>
      <w:r>
        <w:rPr>
          <w:rStyle w:val="47"/>
          <w:lang/>
        </w:rPr>
        <w:fldChar w:fldCharType="end"/>
      </w:r>
    </w:p>
    <w:p>
      <w:pPr>
        <w:pStyle w:val="19"/>
        <w:rPr>
          <w:rFonts w:ascii="Times New Roman" w:hAnsi="Times New Roman" w:eastAsia="宋体" w:cs="Times New Roman"/>
          <w:b w:val="0"/>
          <w:bCs w:val="0"/>
          <w:caps w:val="0"/>
          <w:sz w:val="21"/>
          <w:szCs w:val="24"/>
          <w:lang/>
        </w:rPr>
      </w:pPr>
      <w:r>
        <w:rPr>
          <w:rStyle w:val="47"/>
          <w:lang/>
        </w:rPr>
        <w:fldChar w:fldCharType="begin"/>
      </w:r>
      <w:r>
        <w:rPr>
          <w:rStyle w:val="47"/>
          <w:lang/>
        </w:rPr>
        <w:instrText xml:space="preserve"> </w:instrText>
      </w:r>
      <w:r>
        <w:rPr>
          <w:lang/>
        </w:rPr>
        <w:instrText xml:space="preserve">HYPERLINK \l "_Toc500926017"</w:instrText>
      </w:r>
      <w:r>
        <w:rPr>
          <w:rStyle w:val="47"/>
          <w:lang/>
        </w:rPr>
        <w:instrText xml:space="preserve"> </w:instrText>
      </w:r>
      <w:r>
        <w:rPr>
          <w:rStyle w:val="47"/>
          <w:lang/>
        </w:rPr>
        <w:fldChar w:fldCharType="separate"/>
      </w:r>
      <w:r>
        <w:rPr>
          <w:rStyle w:val="47"/>
          <w:rFonts w:eastAsia="仿宋_GB2312"/>
          <w:lang/>
        </w:rPr>
        <w:t xml:space="preserve">5 </w:t>
      </w:r>
      <w:r>
        <w:rPr>
          <w:rStyle w:val="47"/>
          <w:rFonts w:hint="eastAsia" w:eastAsia="仿宋_GB2312"/>
          <w:lang/>
        </w:rPr>
        <w:t>评估结果</w:t>
      </w:r>
      <w:r>
        <w:rPr>
          <w:lang/>
        </w:rPr>
        <w:tab/>
      </w:r>
      <w:r>
        <w:rPr>
          <w:lang/>
        </w:rPr>
        <w:fldChar w:fldCharType="begin"/>
      </w:r>
      <w:r>
        <w:rPr>
          <w:lang/>
        </w:rPr>
        <w:instrText xml:space="preserve"> PAGEREF _Toc500926017 \h </w:instrText>
      </w:r>
      <w:r>
        <w:rPr>
          <w:lang/>
        </w:rPr>
        <w:fldChar w:fldCharType="separate"/>
      </w:r>
      <w:r>
        <w:rPr>
          <w:lang/>
        </w:rPr>
        <w:t>26</w:t>
      </w:r>
      <w:r>
        <w:rPr>
          <w:lang/>
        </w:rPr>
        <w:fldChar w:fldCharType="end"/>
      </w:r>
      <w:r>
        <w:rPr>
          <w:rStyle w:val="47"/>
          <w:lang/>
        </w:rPr>
        <w:fldChar w:fldCharType="end"/>
      </w:r>
    </w:p>
    <w:p>
      <w:pPr>
        <w:pStyle w:val="18"/>
        <w:rPr>
          <w:rFonts w:ascii="Times New Roman" w:hAnsi="Times New Roman" w:eastAsia="宋体" w:cs="Times New Roman"/>
          <w:smallCaps w:val="0"/>
          <w:sz w:val="21"/>
          <w:szCs w:val="24"/>
          <w:lang/>
        </w:rPr>
      </w:pPr>
      <w:r>
        <w:rPr>
          <w:rStyle w:val="47"/>
          <w:lang/>
        </w:rPr>
        <w:fldChar w:fldCharType="begin"/>
      </w:r>
      <w:r>
        <w:rPr>
          <w:rStyle w:val="47"/>
          <w:lang/>
        </w:rPr>
        <w:instrText xml:space="preserve"> </w:instrText>
      </w:r>
      <w:r>
        <w:rPr>
          <w:lang/>
        </w:rPr>
        <w:instrText xml:space="preserve">HYPERLINK \l "_Toc500926018"</w:instrText>
      </w:r>
      <w:r>
        <w:rPr>
          <w:rStyle w:val="47"/>
          <w:lang/>
        </w:rPr>
        <w:instrText xml:space="preserve"> </w:instrText>
      </w:r>
      <w:r>
        <w:rPr>
          <w:rStyle w:val="47"/>
          <w:lang/>
        </w:rPr>
        <w:fldChar w:fldCharType="separate"/>
      </w:r>
      <w:r>
        <w:rPr>
          <w:rStyle w:val="47"/>
          <w:rFonts w:eastAsia="仿宋_GB2312"/>
          <w:lang/>
        </w:rPr>
        <w:t xml:space="preserve">5.1 </w:t>
      </w:r>
      <w:r>
        <w:rPr>
          <w:rStyle w:val="47"/>
          <w:rFonts w:hint="eastAsia" w:eastAsia="仿宋_GB2312"/>
          <w:lang/>
        </w:rPr>
        <w:t>信息安全管理风险评估结果</w:t>
      </w:r>
      <w:r>
        <w:rPr>
          <w:lang/>
        </w:rPr>
        <w:tab/>
      </w:r>
      <w:r>
        <w:rPr>
          <w:lang/>
        </w:rPr>
        <w:fldChar w:fldCharType="begin"/>
      </w:r>
      <w:r>
        <w:rPr>
          <w:lang/>
        </w:rPr>
        <w:instrText xml:space="preserve"> PAGEREF _Toc500926018 \h </w:instrText>
      </w:r>
      <w:r>
        <w:rPr>
          <w:lang/>
        </w:rPr>
        <w:fldChar w:fldCharType="separate"/>
      </w:r>
      <w:r>
        <w:rPr>
          <w:lang/>
        </w:rPr>
        <w:t>26</w:t>
      </w:r>
      <w:r>
        <w:rPr>
          <w:lang/>
        </w:rPr>
        <w:fldChar w:fldCharType="end"/>
      </w:r>
      <w:r>
        <w:rPr>
          <w:rStyle w:val="47"/>
          <w:lang/>
        </w:rPr>
        <w:fldChar w:fldCharType="end"/>
      </w:r>
    </w:p>
    <w:p>
      <w:pPr>
        <w:pStyle w:val="18"/>
        <w:rPr>
          <w:rFonts w:ascii="Times New Roman" w:hAnsi="Times New Roman" w:eastAsia="宋体" w:cs="Times New Roman"/>
          <w:smallCaps w:val="0"/>
          <w:sz w:val="21"/>
          <w:szCs w:val="24"/>
          <w:lang/>
        </w:rPr>
      </w:pPr>
      <w:r>
        <w:rPr>
          <w:rStyle w:val="47"/>
          <w:lang/>
        </w:rPr>
        <w:fldChar w:fldCharType="begin"/>
      </w:r>
      <w:r>
        <w:rPr>
          <w:rStyle w:val="47"/>
          <w:lang/>
        </w:rPr>
        <w:instrText xml:space="preserve"> </w:instrText>
      </w:r>
      <w:r>
        <w:rPr>
          <w:lang/>
        </w:rPr>
        <w:instrText xml:space="preserve">HYPERLINK \l "_Toc500926019"</w:instrText>
      </w:r>
      <w:r>
        <w:rPr>
          <w:rStyle w:val="47"/>
          <w:lang/>
        </w:rPr>
        <w:instrText xml:space="preserve"> </w:instrText>
      </w:r>
      <w:r>
        <w:rPr>
          <w:rStyle w:val="47"/>
          <w:lang/>
        </w:rPr>
        <w:fldChar w:fldCharType="separate"/>
      </w:r>
      <w:r>
        <w:rPr>
          <w:rStyle w:val="47"/>
          <w:rFonts w:eastAsia="仿宋_GB2312"/>
          <w:lang/>
        </w:rPr>
        <w:t xml:space="preserve">5.2 </w:t>
      </w:r>
      <w:r>
        <w:rPr>
          <w:rStyle w:val="47"/>
          <w:rFonts w:hint="eastAsia" w:eastAsia="仿宋_GB2312"/>
          <w:lang/>
        </w:rPr>
        <w:t>业务应用安全风险评估结果</w:t>
      </w:r>
      <w:r>
        <w:rPr>
          <w:lang/>
        </w:rPr>
        <w:tab/>
      </w:r>
      <w:r>
        <w:rPr>
          <w:lang/>
        </w:rPr>
        <w:fldChar w:fldCharType="begin"/>
      </w:r>
      <w:r>
        <w:rPr>
          <w:lang/>
        </w:rPr>
        <w:instrText xml:space="preserve"> PAGEREF _Toc500926019 \h </w:instrText>
      </w:r>
      <w:r>
        <w:rPr>
          <w:lang/>
        </w:rPr>
        <w:fldChar w:fldCharType="separate"/>
      </w:r>
      <w:r>
        <w:rPr>
          <w:lang/>
        </w:rPr>
        <w:t>26</w:t>
      </w:r>
      <w:r>
        <w:rPr>
          <w:lang/>
        </w:rPr>
        <w:fldChar w:fldCharType="end"/>
      </w:r>
      <w:r>
        <w:rPr>
          <w:rStyle w:val="47"/>
          <w:lang/>
        </w:rPr>
        <w:fldChar w:fldCharType="end"/>
      </w:r>
    </w:p>
    <w:p>
      <w:pPr>
        <w:pStyle w:val="18"/>
        <w:rPr>
          <w:rFonts w:ascii="Times New Roman" w:hAnsi="Times New Roman" w:eastAsia="宋体" w:cs="Times New Roman"/>
          <w:smallCaps w:val="0"/>
          <w:sz w:val="21"/>
          <w:szCs w:val="24"/>
          <w:lang/>
        </w:rPr>
      </w:pPr>
      <w:r>
        <w:rPr>
          <w:rStyle w:val="47"/>
          <w:lang/>
        </w:rPr>
        <w:fldChar w:fldCharType="begin"/>
      </w:r>
      <w:r>
        <w:rPr>
          <w:rStyle w:val="47"/>
          <w:lang/>
        </w:rPr>
        <w:instrText xml:space="preserve"> </w:instrText>
      </w:r>
      <w:r>
        <w:rPr>
          <w:lang/>
        </w:rPr>
        <w:instrText xml:space="preserve">HYPERLINK \l "_Toc500926020"</w:instrText>
      </w:r>
      <w:r>
        <w:rPr>
          <w:rStyle w:val="47"/>
          <w:lang/>
        </w:rPr>
        <w:instrText xml:space="preserve"> </w:instrText>
      </w:r>
      <w:r>
        <w:rPr>
          <w:rStyle w:val="47"/>
          <w:lang/>
        </w:rPr>
        <w:fldChar w:fldCharType="separate"/>
      </w:r>
      <w:r>
        <w:rPr>
          <w:rStyle w:val="47"/>
          <w:rFonts w:eastAsia="仿宋_GB2312"/>
          <w:lang/>
        </w:rPr>
        <w:t xml:space="preserve">5.3 </w:t>
      </w:r>
      <w:r>
        <w:rPr>
          <w:rStyle w:val="47"/>
          <w:rFonts w:hint="eastAsia" w:eastAsia="仿宋_GB2312"/>
          <w:lang/>
        </w:rPr>
        <w:t>业务平台安全风险评估结果</w:t>
      </w:r>
      <w:r>
        <w:rPr>
          <w:lang/>
        </w:rPr>
        <w:tab/>
      </w:r>
      <w:r>
        <w:rPr>
          <w:lang/>
        </w:rPr>
        <w:fldChar w:fldCharType="begin"/>
      </w:r>
      <w:r>
        <w:rPr>
          <w:lang/>
        </w:rPr>
        <w:instrText xml:space="preserve"> PAGEREF _Toc500926020 \h </w:instrText>
      </w:r>
      <w:r>
        <w:rPr>
          <w:lang/>
        </w:rPr>
        <w:fldChar w:fldCharType="separate"/>
      </w:r>
      <w:r>
        <w:rPr>
          <w:lang/>
        </w:rPr>
        <w:t>26</w:t>
      </w:r>
      <w:r>
        <w:rPr>
          <w:lang/>
        </w:rPr>
        <w:fldChar w:fldCharType="end"/>
      </w:r>
      <w:r>
        <w:rPr>
          <w:rStyle w:val="47"/>
          <w:lang/>
        </w:rPr>
        <w:fldChar w:fldCharType="end"/>
      </w:r>
    </w:p>
    <w:p>
      <w:pPr>
        <w:pStyle w:val="19"/>
        <w:rPr>
          <w:rFonts w:ascii="Times New Roman" w:hAnsi="Times New Roman" w:eastAsia="宋体" w:cs="Times New Roman"/>
          <w:b w:val="0"/>
          <w:bCs w:val="0"/>
          <w:caps w:val="0"/>
          <w:sz w:val="21"/>
          <w:szCs w:val="24"/>
          <w:lang/>
        </w:rPr>
      </w:pPr>
      <w:r>
        <w:rPr>
          <w:rStyle w:val="47"/>
          <w:lang/>
        </w:rPr>
        <w:fldChar w:fldCharType="begin"/>
      </w:r>
      <w:r>
        <w:rPr>
          <w:rStyle w:val="47"/>
          <w:lang/>
        </w:rPr>
        <w:instrText xml:space="preserve"> </w:instrText>
      </w:r>
      <w:r>
        <w:rPr>
          <w:lang/>
        </w:rPr>
        <w:instrText xml:space="preserve">HYPERLINK \l "_Toc500926021"</w:instrText>
      </w:r>
      <w:r>
        <w:rPr>
          <w:rStyle w:val="47"/>
          <w:lang/>
        </w:rPr>
        <w:instrText xml:space="preserve"> </w:instrText>
      </w:r>
      <w:r>
        <w:rPr>
          <w:rStyle w:val="47"/>
          <w:lang/>
        </w:rPr>
        <w:fldChar w:fldCharType="separate"/>
      </w:r>
      <w:r>
        <w:rPr>
          <w:rStyle w:val="47"/>
          <w:rFonts w:eastAsia="仿宋_GB2312"/>
          <w:lang/>
        </w:rPr>
        <w:t xml:space="preserve">6 </w:t>
      </w:r>
      <w:r>
        <w:rPr>
          <w:rStyle w:val="47"/>
          <w:rFonts w:hint="eastAsia" w:eastAsia="仿宋_GB2312"/>
          <w:lang/>
        </w:rPr>
        <w:t>安全评估结论意见</w:t>
      </w:r>
      <w:r>
        <w:rPr>
          <w:lang/>
        </w:rPr>
        <w:tab/>
      </w:r>
      <w:r>
        <w:rPr>
          <w:lang/>
        </w:rPr>
        <w:fldChar w:fldCharType="begin"/>
      </w:r>
      <w:r>
        <w:rPr>
          <w:lang/>
        </w:rPr>
        <w:instrText xml:space="preserve"> PAGEREF _Toc500926021 \h </w:instrText>
      </w:r>
      <w:r>
        <w:rPr>
          <w:lang/>
        </w:rPr>
        <w:fldChar w:fldCharType="separate"/>
      </w:r>
      <w:r>
        <w:rPr>
          <w:lang/>
        </w:rPr>
        <w:t>27</w:t>
      </w:r>
      <w:r>
        <w:rPr>
          <w:lang/>
        </w:rPr>
        <w:fldChar w:fldCharType="end"/>
      </w:r>
      <w:r>
        <w:rPr>
          <w:rStyle w:val="47"/>
          <w:lang/>
        </w:rPr>
        <w:fldChar w:fldCharType="end"/>
      </w:r>
    </w:p>
    <w:p>
      <w:pPr>
        <w:pStyle w:val="19"/>
        <w:spacing w:line="540" w:lineRule="exact"/>
        <w:rPr>
          <w:rFonts w:hint="eastAsia"/>
        </w:rPr>
      </w:pPr>
      <w:r>
        <w:rPr>
          <w:rFonts w:ascii="Times New Roman" w:hAnsi="Times New Roman" w:cs="Times New Roman"/>
        </w:rPr>
        <w:fldChar w:fldCharType="end"/>
      </w:r>
      <w:bookmarkStart w:id="0" w:name="_Toc500925999"/>
      <w:r>
        <w:rPr>
          <w:rFonts w:hint="eastAsia"/>
        </w:rPr>
        <w:t>1 业务基本情况介绍</w:t>
      </w:r>
      <w:bookmarkEnd w:id="0"/>
    </w:p>
    <w:p>
      <w:pPr>
        <w:spacing w:line="600" w:lineRule="exact"/>
        <w:ind w:firstLine="640" w:firstLineChars="200"/>
        <w:rPr>
          <w:rFonts w:ascii="仿宋_GB2312" w:hAnsi="仿宋_GB2312" w:eastAsia="仿宋_GB2312" w:cs="仿宋_GB2312"/>
          <w:iCs/>
          <w:sz w:val="32"/>
          <w:szCs w:val="32"/>
        </w:rPr>
      </w:pPr>
      <w:r>
        <w:rPr>
          <w:rFonts w:hint="eastAsia" w:ascii="仿宋_GB2312" w:hAnsi="仿宋_GB2312" w:eastAsia="仿宋_GB2312" w:cs="仿宋_GB2312"/>
          <w:iCs/>
          <w:sz w:val="32"/>
          <w:szCs w:val="32"/>
        </w:rPr>
        <w:t>“集团号簿</w:t>
      </w:r>
      <w:r>
        <w:rPr>
          <w:rFonts w:ascii="仿宋_GB2312" w:hAnsi="仿宋_GB2312" w:eastAsia="仿宋_GB2312" w:cs="仿宋_GB2312"/>
          <w:iCs/>
          <w:sz w:val="32"/>
          <w:szCs w:val="32"/>
        </w:rPr>
        <w:t>”</w:t>
      </w:r>
      <w:r>
        <w:rPr>
          <w:rFonts w:hint="eastAsia" w:ascii="仿宋_GB2312" w:hAnsi="仿宋_GB2312" w:eastAsia="仿宋_GB2312" w:cs="仿宋_GB2312"/>
          <w:iCs/>
          <w:sz w:val="32"/>
          <w:szCs w:val="32"/>
        </w:rPr>
        <w:t>业务于2012年上线，是贵州移动打造的一款面向企事业单位集团用户的移动互联网门户产品。“集团号簿”针对集团用户特点和日常习惯，集成了集团通讯录、手机通讯录、集团微信、集团应用中心等一系列功能，构建了集团用户日常办公的全能手机通讯助手。</w:t>
      </w:r>
    </w:p>
    <w:p>
      <w:pPr>
        <w:pStyle w:val="3"/>
        <w:spacing w:before="0" w:after="0" w:line="240" w:lineRule="auto"/>
        <w:rPr>
          <w:rFonts w:hint="eastAsia" w:ascii="仿宋_GB2312" w:hAnsi="Times New Roman" w:eastAsia="仿宋_GB2312"/>
        </w:rPr>
      </w:pPr>
      <w:bookmarkStart w:id="1" w:name="_Toc500926000"/>
      <w:r>
        <w:rPr>
          <w:rFonts w:hint="eastAsia" w:ascii="仿宋_GB2312" w:hAnsi="Times New Roman" w:eastAsia="仿宋_GB2312"/>
        </w:rPr>
        <w:t>1.1 业务名称</w:t>
      </w:r>
      <w:bookmarkEnd w:id="1"/>
    </w:p>
    <w:p>
      <w:pPr>
        <w:pStyle w:val="26"/>
        <w:spacing w:after="0" w:line="600" w:lineRule="exact"/>
        <w:ind w:left="0"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集团号簿</w:t>
      </w:r>
    </w:p>
    <w:p>
      <w:pPr>
        <w:pStyle w:val="3"/>
        <w:spacing w:before="0" w:after="0" w:line="240" w:lineRule="auto"/>
        <w:rPr>
          <w:rFonts w:hint="eastAsia" w:ascii="仿宋_GB2312" w:hAnsi="Times New Roman" w:eastAsia="仿宋_GB2312"/>
        </w:rPr>
      </w:pPr>
      <w:bookmarkStart w:id="2" w:name="_Toc500926001"/>
      <w:r>
        <w:rPr>
          <w:rFonts w:hint="eastAsia" w:ascii="仿宋_GB2312" w:hAnsi="Times New Roman" w:eastAsia="仿宋_GB2312"/>
        </w:rPr>
        <w:t>1.2 业务功能介绍</w:t>
      </w:r>
      <w:bookmarkEnd w:id="2"/>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业务具备超级搜索、跨集团访问、集团微信、集团门户、能力平台等功能，其中即时通讯功能可以发送文本、图片、语音信息及地理位置信息，同时还可以自行建立群组进行群聊。集团门户功能可以向用户发布通知公告等信息。</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超级搜索：搜索关键字支持拼音任意字母组合、多音字匹配、联系人任意字段、任意号码任意组合。</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跨集团访问：当某些特殊用户在多个集团中存在时，微集团系统支持多集团联系信息同时访问。</w:t>
      </w:r>
    </w:p>
    <w:p>
      <w:pPr>
        <w:spacing w:line="600" w:lineRule="exact"/>
        <w:ind w:firstLine="640" w:firstLineChars="200"/>
        <w:rPr>
          <w:rFonts w:ascii="仿宋_GB2312" w:hAnsi="仿宋_GB2312" w:eastAsia="仿宋_GB2312" w:cs="仿宋_GB2312"/>
          <w:iCs/>
          <w:sz w:val="32"/>
          <w:szCs w:val="32"/>
        </w:rPr>
      </w:pPr>
      <w:r>
        <w:rPr>
          <w:rFonts w:hint="eastAsia" w:ascii="仿宋_GB2312" w:hAnsi="仿宋_GB2312" w:eastAsia="仿宋_GB2312" w:cs="仿宋_GB2312"/>
          <w:iCs/>
          <w:sz w:val="32"/>
          <w:szCs w:val="32"/>
        </w:rPr>
        <w:t>集团微信：主要功能由文本问候、</w:t>
      </w:r>
      <w:r>
        <w:rPr>
          <w:rFonts w:hint="eastAsia" w:ascii="仿宋_GB2312" w:hAnsi="仿宋_GB2312" w:eastAsia="仿宋_GB2312" w:cs="仿宋_GB2312"/>
          <w:iCs/>
          <w:sz w:val="32"/>
          <w:szCs w:val="32"/>
        </w:rPr>
        <w:tab/>
      </w:r>
      <w:r>
        <w:rPr>
          <w:rFonts w:hint="eastAsia" w:ascii="仿宋_GB2312" w:hAnsi="仿宋_GB2312" w:eastAsia="仿宋_GB2312" w:cs="仿宋_GB2312"/>
          <w:iCs/>
          <w:sz w:val="32"/>
          <w:szCs w:val="32"/>
        </w:rPr>
        <w:t>图片分享、语音互动、地理位置、圈子群聊。</w:t>
      </w:r>
    </w:p>
    <w:p>
      <w:pPr>
        <w:spacing w:line="600" w:lineRule="exact"/>
        <w:ind w:firstLine="640" w:firstLineChars="200"/>
        <w:rPr>
          <w:rFonts w:ascii="仿宋_GB2312" w:hAnsi="仿宋_GB2312" w:eastAsia="仿宋_GB2312" w:cs="仿宋_GB2312"/>
          <w:iCs/>
          <w:sz w:val="32"/>
          <w:szCs w:val="32"/>
        </w:rPr>
      </w:pPr>
      <w:r>
        <w:rPr>
          <w:rFonts w:hint="eastAsia" w:ascii="仿宋_GB2312" w:hAnsi="仿宋_GB2312" w:eastAsia="仿宋_GB2312" w:cs="仿宋_GB2312"/>
          <w:iCs/>
          <w:sz w:val="32"/>
          <w:szCs w:val="32"/>
        </w:rPr>
        <w:t>集团门户：微集团通过集团联系人信息进行集团用户认证，对于认证后的用户，即可方便快捷的访问集团内各种应用系统，如经认证后即可下载安装使用集团行业应用，并可统一从微集团界面进入；支持集团网站类行业应用直接统一访问，认证用户可以直接在微集团系统内直接访问发布的网站；通过微集团推送功能发送集团通知公告到各客户端，并支持离线用户短信通知功能；集成图文多媒体新闻系统，方便集团单位发布内部新闻信息、电子杂志。</w:t>
      </w:r>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能力平台：通过进一步的完善功能，使微集团系统扩展成为集团用户的认证通道，为其他集团产品提供统一的用户数据认证平台，并基于此平台进行各种集团应用统一认证和应用集成。</w:t>
      </w:r>
    </w:p>
    <w:p>
      <w:pPr>
        <w:pStyle w:val="3"/>
        <w:spacing w:before="0" w:after="0" w:line="240" w:lineRule="auto"/>
        <w:rPr>
          <w:rFonts w:hint="eastAsia" w:ascii="仿宋_GB2312" w:hAnsi="Times New Roman" w:eastAsia="仿宋_GB2312"/>
        </w:rPr>
      </w:pPr>
      <w:bookmarkStart w:id="3" w:name="_Toc500926002"/>
      <w:r>
        <w:rPr>
          <w:rFonts w:hint="eastAsia" w:ascii="仿宋_GB2312" w:hAnsi="Times New Roman" w:eastAsia="仿宋_GB2312"/>
        </w:rPr>
        <w:t>1.3技术实现方式介绍</w:t>
      </w:r>
      <w:bookmarkEnd w:id="3"/>
    </w:p>
    <w:p>
      <w:pPr>
        <w:jc w:val="center"/>
        <w:rPr>
          <w:rFonts w:hint="eastAsia"/>
        </w:rPr>
      </w:pPr>
      <w:r>
        <w:rPr>
          <w:rFonts w:hint="eastAsia"/>
          <w:kern w:val="0"/>
          <w:lang/>
        </w:rPr>
        <w:drawing>
          <wp:inline distT="0" distB="0" distL="114300" distR="114300">
            <wp:extent cx="5153025" cy="4010025"/>
            <wp:effectExtent l="0" t="0" r="3175" b="3175"/>
            <wp:docPr id="1" name="图片 3" descr="C:\Users\lj\Documents\Tencent Files\460465730\Image\C2C\J_3~]OW`CMUP8]ADJUC@H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C:\Users\lj\Documents\Tencent Files\460465730\Image\C2C\J_3~]OW`CMUP8]ADJUC@HG8.png"/>
                    <pic:cNvPicPr>
                      <a:picLocks noChangeAspect="1"/>
                    </pic:cNvPicPr>
                  </pic:nvPicPr>
                  <pic:blipFill>
                    <a:blip r:embed="rId12"/>
                    <a:stretch>
                      <a:fillRect/>
                    </a:stretch>
                  </pic:blipFill>
                  <pic:spPr>
                    <a:xfrm>
                      <a:off x="0" y="0"/>
                      <a:ext cx="5153025" cy="4010025"/>
                    </a:xfrm>
                    <a:prstGeom prst="rect">
                      <a:avLst/>
                    </a:prstGeom>
                    <a:noFill/>
                    <a:ln w="9525">
                      <a:noFill/>
                    </a:ln>
                  </pic:spPr>
                </pic:pic>
              </a:graphicData>
            </a:graphic>
          </wp:inline>
        </w:drawing>
      </w:r>
    </w:p>
    <w:p>
      <w:pPr>
        <w:pStyle w:val="3"/>
        <w:spacing w:before="0" w:after="0" w:line="240" w:lineRule="auto"/>
        <w:rPr>
          <w:rFonts w:hint="eastAsia" w:ascii="仿宋_GB2312" w:hAnsi="Times New Roman" w:eastAsia="仿宋_GB2312"/>
        </w:rPr>
      </w:pPr>
      <w:bookmarkStart w:id="4" w:name="_Toc500926003"/>
      <w:r>
        <w:rPr>
          <w:rFonts w:hint="eastAsia" w:ascii="仿宋_GB2312" w:hAnsi="Times New Roman" w:eastAsia="仿宋_GB2312"/>
        </w:rPr>
        <w:t>1.4（预期）用户规模</w:t>
      </w:r>
      <w:bookmarkEnd w:id="4"/>
    </w:p>
    <w:p>
      <w:pPr>
        <w:spacing w:line="600" w:lineRule="exact"/>
        <w:ind w:firstLine="640" w:firstLineChars="200"/>
        <w:rPr>
          <w:rFonts w:hint="eastAsia" w:ascii="仿宋_GB2312" w:eastAsia="仿宋_GB2312"/>
          <w:sz w:val="32"/>
          <w:szCs w:val="32"/>
        </w:rPr>
      </w:pPr>
      <w:r>
        <w:rPr>
          <w:rFonts w:hint="eastAsia" w:ascii="仿宋_GB2312" w:hAnsi="仿宋_GB2312" w:eastAsia="仿宋_GB2312" w:cs="仿宋_GB2312"/>
          <w:iCs/>
          <w:sz w:val="32"/>
          <w:szCs w:val="32"/>
        </w:rPr>
        <w:t>目前订购用户数据为80万用户数，通讯录成员数160万。用户对象主要为省内事业单位、政府部门、企业的员工等。</w:t>
      </w:r>
    </w:p>
    <w:p>
      <w:pPr>
        <w:pStyle w:val="3"/>
        <w:spacing w:before="0" w:after="0" w:line="240" w:lineRule="auto"/>
        <w:rPr>
          <w:rFonts w:hint="eastAsia" w:ascii="仿宋_GB2312" w:hAnsi="Times New Roman" w:eastAsia="仿宋_GB2312"/>
        </w:rPr>
      </w:pPr>
      <w:bookmarkStart w:id="5" w:name="_Toc500926004"/>
      <w:r>
        <w:rPr>
          <w:rFonts w:hint="eastAsia" w:ascii="仿宋_GB2312" w:hAnsi="Times New Roman" w:eastAsia="仿宋_GB2312"/>
        </w:rPr>
        <w:t>1.5 市场发展情况</w:t>
      </w:r>
      <w:bookmarkEnd w:id="5"/>
    </w:p>
    <w:p>
      <w:pPr>
        <w:spacing w:line="600" w:lineRule="exact"/>
        <w:ind w:firstLine="640" w:firstLineChars="200"/>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集团号簿”作为运营商服务于集团客户的粘性产品，依托运营商强大的营销和服务网络，提供区别与单纯互联网产品的无服务模式，能更好的为政企集团客户提供优质服务。区别于纯互联网产品用户的不确定性，使用“移动微集团”的用户都是优质中高端用户，可以有针对性的提供高附加值服务与增值业务，产生更高收益。</w:t>
      </w:r>
    </w:p>
    <w:p>
      <w:pPr>
        <w:pStyle w:val="2"/>
        <w:spacing w:before="0" w:after="0" w:line="240" w:lineRule="auto"/>
        <w:rPr>
          <w:rFonts w:eastAsia="仿宋_GB2312"/>
          <w:sz w:val="32"/>
          <w:szCs w:val="32"/>
        </w:rPr>
        <w:sectPr>
          <w:headerReference r:id="rId9" w:type="first"/>
          <w:headerReference r:id="rId7" w:type="default"/>
          <w:footerReference r:id="rId10" w:type="default"/>
          <w:headerReference r:id="rId8" w:type="even"/>
          <w:type w:val="continuous"/>
          <w:pgSz w:w="11906" w:h="16838"/>
          <w:pgMar w:top="1440" w:right="1797" w:bottom="1440" w:left="1287" w:header="851" w:footer="992" w:gutter="0"/>
          <w:cols w:space="425" w:num="1"/>
          <w:docGrid w:type="lines" w:linePitch="312" w:charSpace="0"/>
        </w:sectPr>
      </w:pPr>
    </w:p>
    <w:p>
      <w:pPr>
        <w:pStyle w:val="2"/>
        <w:spacing w:before="0" w:after="0" w:line="240" w:lineRule="auto"/>
        <w:rPr>
          <w:rFonts w:hint="eastAsia" w:ascii="仿宋_GB2312" w:eastAsia="仿宋_GB2312"/>
          <w:sz w:val="32"/>
          <w:szCs w:val="32"/>
        </w:rPr>
      </w:pPr>
      <w:bookmarkStart w:id="6" w:name="_Toc500926005"/>
      <w:r>
        <w:rPr>
          <w:rFonts w:hint="eastAsia" w:ascii="仿宋_GB2312" w:eastAsia="仿宋_GB2312"/>
          <w:sz w:val="32"/>
          <w:szCs w:val="32"/>
        </w:rPr>
        <w:t>2 安全评估情况</w:t>
      </w:r>
      <w:bookmarkEnd w:id="6"/>
    </w:p>
    <w:p>
      <w:pPr>
        <w:pStyle w:val="3"/>
        <w:spacing w:before="0" w:after="0" w:line="240" w:lineRule="auto"/>
        <w:rPr>
          <w:rFonts w:hint="eastAsia" w:ascii="仿宋_GB2312" w:hAnsi="Times New Roman" w:eastAsia="仿宋_GB2312"/>
        </w:rPr>
      </w:pPr>
      <w:bookmarkStart w:id="7" w:name="_Toc500926006"/>
      <w:r>
        <w:rPr>
          <w:rFonts w:hint="eastAsia" w:ascii="仿宋_GB2312" w:hAnsi="Times New Roman" w:eastAsia="仿宋_GB2312"/>
        </w:rPr>
        <w:t>2.1 安全评估情况概述</w:t>
      </w:r>
      <w:bookmarkEnd w:id="7"/>
    </w:p>
    <w:p>
      <w:pPr>
        <w:spacing w:line="600" w:lineRule="exact"/>
        <w:ind w:firstLine="641" w:firstLineChars="200"/>
        <w:rPr>
          <w:rFonts w:hint="eastAsia" w:ascii="仿宋_GB2312" w:eastAsia="仿宋_GB2312"/>
          <w:b/>
          <w:sz w:val="32"/>
          <w:szCs w:val="32"/>
        </w:rPr>
      </w:pPr>
      <w:r>
        <w:rPr>
          <w:rFonts w:hint="eastAsia" w:ascii="仿宋_GB2312" w:eastAsia="仿宋_GB2312"/>
          <w:b/>
          <w:sz w:val="32"/>
          <w:szCs w:val="32"/>
        </w:rPr>
        <w:t>1.总体情况</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2017年11月21日至11月23日，国家计算机网络与信息安全管理中心对中国移动通信集团贵州有限公司（以下简称贵州移动）集团号簿、党建云等业务开展了新技术新业务信息安全现场评估工作。</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评估主要内容包括管理体系评估、业务风险评估和信息安全保障能力评估三个部分。评估方法包括人员访谈、制度文档核实、业务功能验证、内容安全测试、数据安全检测、漏洞扫描、渗透测试等。</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本报告主要给出集团号簿业务的信息安全评估情况。</w:t>
      </w:r>
    </w:p>
    <w:p>
      <w:pPr>
        <w:spacing w:line="600" w:lineRule="exact"/>
        <w:ind w:firstLine="641" w:firstLineChars="200"/>
        <w:rPr>
          <w:rFonts w:hint="eastAsia" w:ascii="仿宋_GB2312" w:eastAsia="仿宋_GB2312"/>
          <w:b/>
          <w:sz w:val="32"/>
          <w:szCs w:val="32"/>
        </w:rPr>
      </w:pPr>
      <w:r>
        <w:rPr>
          <w:rFonts w:hint="eastAsia" w:ascii="仿宋_GB2312" w:eastAsia="仿宋_GB2312"/>
          <w:b/>
          <w:sz w:val="32"/>
          <w:szCs w:val="32"/>
        </w:rPr>
        <w:t>2.评估目的</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为进一步提升贵州移动公司新技术新业务的信息安全防护和处置能力，依据新技术新业务信息安全评估相关政策文件，结合通信安全分级保护、风险评估的基本方法和标准，发现并找出新技术新业务相关的管理制度、业务流程、网络系统、服务器以及应用系统等方面存在的安全漏洞和隐患。目的是为企业健全互联网新技术新业务管理制度、完善业务流程、提早启动保障措施、加固系统和网络漏洞提供参考和依据，进而提高业务系统的安全防护水平，为业务的发展创造安全可靠的环境。</w:t>
      </w:r>
    </w:p>
    <w:p>
      <w:pPr>
        <w:spacing w:line="600" w:lineRule="exact"/>
        <w:ind w:firstLine="641" w:firstLineChars="200"/>
        <w:rPr>
          <w:rFonts w:hint="eastAsia" w:ascii="仿宋_GB2312" w:eastAsia="仿宋_GB2312"/>
          <w:b/>
          <w:sz w:val="32"/>
          <w:szCs w:val="32"/>
        </w:rPr>
      </w:pPr>
      <w:bookmarkStart w:id="8" w:name="_Toc435526650"/>
      <w:r>
        <w:rPr>
          <w:rFonts w:hint="eastAsia" w:ascii="仿宋_GB2312" w:eastAsia="仿宋_GB2312"/>
          <w:b/>
          <w:sz w:val="32"/>
          <w:szCs w:val="32"/>
        </w:rPr>
        <w:t>3.评估内容</w:t>
      </w:r>
      <w:bookmarkEnd w:id="8"/>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新技术新业务安全评估工作主要涉及管理、业务和信息安全保障等方面的安全因素。管理方面，主要采用访谈调研、相关文件查阅的方式，查找管理方面存在的漏洞；业务方面，主要采用人员访谈、功能演示、业务试用、流程梳理等方式，查找业务方面存在的漏洞或隐患；信息安全保障能力方面，主要通过内容测试、漏洞扫描、渗透测试等手段，查验现有信息安全技术保障措施是否满足基本要求。各方面的评估重点如下：</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（1）管理体系方面：重点评估新技术新业务的信息安全管理体系和业务安全管理措施是否满足电信管理机构的安全管理要求，具体包括机构设置、管理制度、信息安全相关要求和技术标准以及具体执行情况。</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（2）业务风险方面：评估新技术新业务的完整业务流程，结合业务功能属性及技术实现，包括内容发布审核、业务边界安全、权限管理、用户信息保护等，评估系统潜在的信息安全风险。</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3）信息安全保障能力方面：评估现有的安全管理措施、技术手段等信息安全保障能力是否能够有效控制业务信息安全风险。开展内容过滤机制测试；对业务系统、操作系统、网络设备进行安全检测；通过渗透测试查看系统安全防护情况等；</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（4）其他：评估新技术新业务相关系统的安全性。</w:t>
      </w:r>
    </w:p>
    <w:p>
      <w:pPr>
        <w:spacing w:line="600" w:lineRule="exact"/>
        <w:ind w:firstLine="641" w:firstLineChars="200"/>
        <w:rPr>
          <w:rFonts w:hint="eastAsia" w:ascii="仿宋_GB2312" w:eastAsia="仿宋_GB2312"/>
          <w:b/>
          <w:sz w:val="32"/>
          <w:szCs w:val="32"/>
        </w:rPr>
      </w:pPr>
      <w:r>
        <w:rPr>
          <w:rFonts w:hint="eastAsia" w:ascii="仿宋_GB2312" w:eastAsia="仿宋_GB2312"/>
          <w:b/>
          <w:sz w:val="32"/>
          <w:szCs w:val="32"/>
        </w:rPr>
        <w:t>4.评估依据</w:t>
      </w:r>
    </w:p>
    <w:p>
      <w:pPr>
        <w:spacing w:line="600" w:lineRule="exact"/>
        <w:ind w:firstLine="641" w:firstLineChars="200"/>
        <w:rPr>
          <w:rFonts w:hint="eastAsia" w:ascii="仿宋_GB2312" w:eastAsia="仿宋_GB2312"/>
          <w:b/>
          <w:sz w:val="32"/>
          <w:szCs w:val="32"/>
        </w:rPr>
      </w:pPr>
      <w:r>
        <w:rPr>
          <w:rFonts w:hint="eastAsia" w:ascii="仿宋_GB2312" w:eastAsia="仿宋_GB2312"/>
          <w:b/>
          <w:sz w:val="32"/>
          <w:szCs w:val="32"/>
        </w:rPr>
        <w:t>（1）政策法规依据</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《网络安全法》</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《基础电信企业信息安全责任管理办法（试行）》</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《互联网新技术新业务信息安全评估管理办法（试行）》</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《关于开展基础电信企业网络与信息安全责任考核有关工作指导》</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《互联网用户账号名称管理规定》</w:t>
      </w:r>
    </w:p>
    <w:p>
      <w:pPr>
        <w:spacing w:line="600" w:lineRule="exact"/>
        <w:ind w:firstLine="641" w:firstLineChars="200"/>
        <w:rPr>
          <w:rFonts w:hint="eastAsia" w:ascii="仿宋_GB2312" w:eastAsia="仿宋_GB2312"/>
          <w:b/>
          <w:sz w:val="32"/>
          <w:szCs w:val="32"/>
        </w:rPr>
      </w:pPr>
      <w:bookmarkStart w:id="9" w:name="_Toc435526653"/>
      <w:r>
        <w:rPr>
          <w:rFonts w:hint="eastAsia" w:ascii="仿宋_GB2312" w:eastAsia="仿宋_GB2312"/>
          <w:b/>
          <w:sz w:val="32"/>
          <w:szCs w:val="32"/>
        </w:rPr>
        <w:t>（2）安全标准</w:t>
      </w:r>
      <w:bookmarkEnd w:id="9"/>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《互联网新技术新业务安全评估指南》</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《电信网和互联网安全防护管理指南》</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《电信网和互联网安全风险评估实施指南》</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《电信网和互联网灾难备份及恢复实施指南》</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《电信网和互联网物理环境安全等级保护要求》</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《电信网和互联网物理环境安全等级保护检测要求》</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《电信网和互联网管理安全等级保护要求》</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《电信网和互联网管理安全等级保护检测要求》</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《2017年省级基础电信企业网络与信息安全工作考核要点与评分标准》</w:t>
      </w:r>
    </w:p>
    <w:p>
      <w:pPr>
        <w:spacing w:line="600" w:lineRule="exact"/>
        <w:ind w:firstLine="641" w:firstLineChars="200"/>
        <w:rPr>
          <w:rFonts w:hint="eastAsia" w:ascii="仿宋_GB2312" w:eastAsia="仿宋_GB2312"/>
          <w:b/>
          <w:sz w:val="32"/>
          <w:szCs w:val="32"/>
        </w:rPr>
      </w:pPr>
      <w:r>
        <w:rPr>
          <w:rFonts w:hint="eastAsia" w:ascii="仿宋_GB2312" w:eastAsia="仿宋_GB2312"/>
          <w:b/>
          <w:sz w:val="32"/>
          <w:szCs w:val="32"/>
        </w:rPr>
        <w:t>5.评估方式</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本次信息安全评估的主要方式包括人员访谈、文档材料核查、业务功能验证、内容安全测试和安全测评等。</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人员访谈主要是通过对网络与信息安全管理人员、特定业务管理人员、技术维护人员进行访谈获取企业信息安全管理、业务应用及平台安全、安全保障措施等方面的现状。</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文档材料核查主要是指对企业信息安全、业务安全等相关制度的制定情况进行核实。</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业务功能验证通过检查业务功能和流程，对业务应用和系统平台潜在的安全风险做出研判。</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内容安全测试主要用于评估企业内容安全相关的保障能力，包括违法及不良信息样本的识别检测、传播扩散控制等方面。</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安全测评主要针对业务平台安全和数据安全，涉及漏洞分析、渗透测试等技术手段。</w:t>
      </w:r>
    </w:p>
    <w:p>
      <w:pPr>
        <w:pStyle w:val="3"/>
        <w:spacing w:before="0" w:after="0" w:line="240" w:lineRule="auto"/>
        <w:rPr>
          <w:rFonts w:hint="eastAsia" w:ascii="仿宋_GB2312" w:hAnsi="Times New Roman" w:eastAsia="仿宋_GB2312"/>
        </w:rPr>
      </w:pPr>
      <w:bookmarkStart w:id="10" w:name="_Toc500926007"/>
      <w:r>
        <w:rPr>
          <w:rFonts w:hint="eastAsia" w:ascii="仿宋_GB2312" w:hAnsi="Times New Roman" w:eastAsia="仿宋_GB2312"/>
        </w:rPr>
        <w:t>2.2 评估人员组成</w:t>
      </w:r>
      <w:bookmarkEnd w:id="10"/>
    </w:p>
    <w:tbl>
      <w:tblPr>
        <w:tblStyle w:val="54"/>
        <w:tblW w:w="8707" w:type="dxa"/>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93"/>
        <w:gridCol w:w="4070"/>
        <w:gridCol w:w="2744"/>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311" w:hRule="atLeast"/>
          <w:jc w:val="center"/>
        </w:trPr>
        <w:tc>
          <w:tcPr>
            <w:tcW w:w="1893" w:type="dxa"/>
            <w:tcBorders>
              <w:top w:val="single" w:color="000000" w:sz="12" w:space="0"/>
              <w:bottom w:val="single" w:color="000000" w:sz="6" w:space="0"/>
              <w:right w:val="single" w:color="000000" w:sz="6" w:space="0"/>
            </w:tcBorders>
            <w:noWrap w:val="0"/>
            <w:vAlign w:val="top"/>
          </w:tcPr>
          <w:p>
            <w:pPr>
              <w:spacing w:line="600" w:lineRule="exact"/>
              <w:jc w:val="center"/>
              <w:rPr>
                <w:rFonts w:hint="eastAsia" w:ascii="仿宋_GB2312" w:eastAsia="仿宋_GB2312"/>
                <w:b/>
                <w:sz w:val="32"/>
                <w:szCs w:val="32"/>
              </w:rPr>
            </w:pPr>
            <w:r>
              <w:rPr>
                <w:rFonts w:hint="eastAsia" w:ascii="仿宋_GB2312" w:eastAsia="仿宋_GB2312"/>
                <w:b/>
                <w:sz w:val="32"/>
                <w:szCs w:val="32"/>
              </w:rPr>
              <w:t>姓名</w:t>
            </w:r>
          </w:p>
        </w:tc>
        <w:tc>
          <w:tcPr>
            <w:tcW w:w="4070" w:type="dxa"/>
            <w:tcBorders>
              <w:top w:val="single" w:color="000000" w:sz="12" w:space="0"/>
              <w:bottom w:val="single" w:color="000000" w:sz="6" w:space="0"/>
            </w:tcBorders>
            <w:noWrap w:val="0"/>
            <w:vAlign w:val="top"/>
          </w:tcPr>
          <w:p>
            <w:pPr>
              <w:spacing w:line="600" w:lineRule="exact"/>
              <w:jc w:val="center"/>
              <w:rPr>
                <w:rFonts w:hint="eastAsia" w:ascii="仿宋_GB2312" w:eastAsia="仿宋_GB2312"/>
                <w:b/>
                <w:sz w:val="32"/>
                <w:szCs w:val="32"/>
              </w:rPr>
            </w:pPr>
            <w:r>
              <w:rPr>
                <w:rFonts w:hint="eastAsia" w:ascii="仿宋_GB2312" w:eastAsia="仿宋_GB2312"/>
                <w:b/>
                <w:sz w:val="32"/>
                <w:szCs w:val="32"/>
              </w:rPr>
              <w:t>职称/职务</w:t>
            </w:r>
          </w:p>
        </w:tc>
        <w:tc>
          <w:tcPr>
            <w:tcW w:w="2744" w:type="dxa"/>
            <w:tcBorders>
              <w:top w:val="single" w:color="000000" w:sz="12" w:space="0"/>
              <w:bottom w:val="single" w:color="000000" w:sz="6" w:space="0"/>
            </w:tcBorders>
            <w:noWrap w:val="0"/>
            <w:vAlign w:val="top"/>
          </w:tcPr>
          <w:p>
            <w:pPr>
              <w:tabs>
                <w:tab w:val="left" w:pos="855"/>
                <w:tab w:val="center" w:pos="1869"/>
              </w:tabs>
              <w:spacing w:line="600" w:lineRule="exact"/>
              <w:jc w:val="center"/>
              <w:rPr>
                <w:rFonts w:hint="eastAsia" w:ascii="仿宋_GB2312" w:eastAsia="仿宋_GB2312"/>
                <w:b/>
                <w:sz w:val="32"/>
                <w:szCs w:val="32"/>
              </w:rPr>
            </w:pPr>
            <w:r>
              <w:rPr>
                <w:rFonts w:hint="eastAsia" w:ascii="仿宋_GB2312" w:eastAsia="仿宋_GB2312"/>
                <w:b/>
                <w:sz w:val="32"/>
                <w:szCs w:val="32"/>
              </w:rPr>
              <w:t>职责</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刘晓辉</w:t>
            </w:r>
          </w:p>
        </w:tc>
        <w:tc>
          <w:tcPr>
            <w:tcW w:w="4070" w:type="dxa"/>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高级工程师</w:t>
            </w:r>
          </w:p>
        </w:tc>
        <w:tc>
          <w:tcPr>
            <w:tcW w:w="2744" w:type="dxa"/>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评估组长</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贾芳姝</w:t>
            </w:r>
          </w:p>
        </w:tc>
        <w:tc>
          <w:tcPr>
            <w:tcW w:w="4070" w:type="dxa"/>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工程师</w:t>
            </w:r>
          </w:p>
        </w:tc>
        <w:tc>
          <w:tcPr>
            <w:tcW w:w="2744" w:type="dxa"/>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罗汉中</w:t>
            </w:r>
          </w:p>
        </w:tc>
        <w:tc>
          <w:tcPr>
            <w:tcW w:w="4070" w:type="dxa"/>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工程师</w:t>
            </w:r>
          </w:p>
        </w:tc>
        <w:tc>
          <w:tcPr>
            <w:tcW w:w="2744" w:type="dxa"/>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裴卓雄</w:t>
            </w:r>
          </w:p>
        </w:tc>
        <w:tc>
          <w:tcPr>
            <w:tcW w:w="4070" w:type="dxa"/>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工程师</w:t>
            </w:r>
          </w:p>
        </w:tc>
        <w:tc>
          <w:tcPr>
            <w:tcW w:w="2744" w:type="dxa"/>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张  勇</w:t>
            </w:r>
          </w:p>
        </w:tc>
        <w:tc>
          <w:tcPr>
            <w:tcW w:w="4070" w:type="dxa"/>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工程师</w:t>
            </w:r>
          </w:p>
        </w:tc>
        <w:tc>
          <w:tcPr>
            <w:tcW w:w="2744" w:type="dxa"/>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胡隆基</w:t>
            </w:r>
          </w:p>
        </w:tc>
        <w:tc>
          <w:tcPr>
            <w:tcW w:w="4070" w:type="dxa"/>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工程师</w:t>
            </w:r>
          </w:p>
        </w:tc>
        <w:tc>
          <w:tcPr>
            <w:tcW w:w="2744" w:type="dxa"/>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893" w:type="dxa"/>
            <w:tcBorders>
              <w:right w:val="single" w:color="000000" w:sz="6" w:space="0"/>
            </w:tcBorders>
            <w:noWrap w:val="0"/>
            <w:vAlign w:val="top"/>
          </w:tcPr>
          <w:p>
            <w:pPr>
              <w:spacing w:line="600" w:lineRule="exact"/>
              <w:jc w:val="center"/>
              <w:rPr>
                <w:rFonts w:hint="eastAsia" w:ascii="仿宋_GB2312" w:eastAsia="仿宋_GB2312"/>
                <w:color w:val="FF0000"/>
                <w:sz w:val="32"/>
                <w:szCs w:val="32"/>
              </w:rPr>
            </w:pPr>
          </w:p>
        </w:tc>
        <w:tc>
          <w:tcPr>
            <w:tcW w:w="4070" w:type="dxa"/>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工程师</w:t>
            </w:r>
          </w:p>
        </w:tc>
        <w:tc>
          <w:tcPr>
            <w:tcW w:w="2744" w:type="dxa"/>
            <w:noWrap w:val="0"/>
            <w:vAlign w:val="top"/>
          </w:tcPr>
          <w:p>
            <w:pPr>
              <w:spacing w:line="600" w:lineRule="exact"/>
              <w:jc w:val="center"/>
              <w:rPr>
                <w:rFonts w:hint="eastAsia" w:ascii="仿宋_GB2312" w:eastAsia="仿宋_GB2312"/>
                <w:color w:val="FF0000"/>
                <w:sz w:val="32"/>
                <w:szCs w:val="32"/>
              </w:rPr>
            </w:pPr>
            <w:r>
              <w:rPr>
                <w:rFonts w:hint="eastAsia" w:ascii="仿宋_GB2312" w:eastAsia="仿宋_GB2312"/>
                <w:color w:val="FF0000"/>
                <w:sz w:val="32"/>
                <w:szCs w:val="32"/>
              </w:rPr>
              <w:t>渗透测试</w:t>
            </w:r>
          </w:p>
        </w:tc>
      </w:tr>
    </w:tbl>
    <w:p>
      <w:pPr>
        <w:pStyle w:val="3"/>
        <w:spacing w:before="0" w:after="0" w:line="240" w:lineRule="auto"/>
        <w:rPr>
          <w:rFonts w:hint="eastAsia" w:ascii="仿宋_GB2312" w:hAnsi="Times New Roman" w:eastAsia="仿宋_GB2312"/>
        </w:rPr>
      </w:pPr>
      <w:bookmarkStart w:id="11" w:name="_Toc500926008"/>
      <w:r>
        <w:rPr>
          <w:rFonts w:hint="eastAsia" w:ascii="仿宋_GB2312" w:hAnsi="Times New Roman" w:eastAsia="仿宋_GB2312"/>
        </w:rPr>
        <w:t>2.3 评估实施流程</w:t>
      </w:r>
      <w:bookmarkEnd w:id="11"/>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评估实施流程包括评估准备、现场评估、评估总结三个阶段：</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（1）评估准备</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成立评估小组，确定小组成员，收集业务相关的管理文档、技术文档、业务市场发展情况、业务自身情况、企业现有的安全管理和保障措施等信息，充分了解业务的使用流程。并根据业务网络访问情况开展前期初步测试和预评估。根据业务情况与被评估方进行深入交流，明确评估重点。</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（2）现场评估</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现场评估包括管理制度核查、业务安全测试、内容安全测试、系统漏洞检测、设备安全检测五个方面内容。采用人员访谈、内容安全测试、网络安全扫描和渗透测试等方式对企业信息安全管理、业务和技术风险、保障能力进行综合评估。</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（3）评估总结</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评估总结阶段对评估结果进行综合分析，形成评估结论，撰写评估报告，并提出合理化的整改建议。</w:t>
      </w:r>
    </w:p>
    <w:p>
      <w:pPr>
        <w:pStyle w:val="2"/>
        <w:spacing w:before="0" w:after="0" w:line="240" w:lineRule="auto"/>
        <w:rPr>
          <w:rFonts w:eastAsia="仿宋_GB2312"/>
          <w:sz w:val="32"/>
          <w:szCs w:val="32"/>
        </w:rPr>
        <w:sectPr>
          <w:pgSz w:w="11906" w:h="16838"/>
          <w:pgMar w:top="1440" w:right="1797" w:bottom="1440" w:left="1287" w:header="851" w:footer="992" w:gutter="0"/>
          <w:cols w:space="425" w:num="1"/>
          <w:docGrid w:type="lines" w:linePitch="312" w:charSpace="0"/>
        </w:sectPr>
      </w:pPr>
    </w:p>
    <w:p>
      <w:pPr>
        <w:pStyle w:val="2"/>
        <w:spacing w:before="0" w:after="0" w:line="240" w:lineRule="auto"/>
        <w:rPr>
          <w:rFonts w:eastAsia="仿宋_GB2312"/>
          <w:sz w:val="32"/>
          <w:szCs w:val="32"/>
        </w:rPr>
      </w:pPr>
      <w:bookmarkStart w:id="12" w:name="_Toc500926009"/>
      <w:r>
        <w:rPr>
          <w:rFonts w:eastAsia="仿宋_GB2312"/>
          <w:sz w:val="32"/>
          <w:szCs w:val="32"/>
        </w:rPr>
        <w:t xml:space="preserve">3 </w:t>
      </w:r>
      <w:r>
        <w:rPr>
          <w:rFonts w:hint="eastAsia" w:eastAsia="仿宋_GB2312"/>
          <w:sz w:val="32"/>
          <w:szCs w:val="32"/>
        </w:rPr>
        <w:t>业务安全风险分析</w:t>
      </w:r>
      <w:bookmarkEnd w:id="12"/>
    </w:p>
    <w:p>
      <w:pPr>
        <w:pStyle w:val="3"/>
        <w:spacing w:before="0" w:after="0" w:line="240" w:lineRule="auto"/>
        <w:rPr>
          <w:rFonts w:ascii="Times New Roman" w:hAnsi="Times New Roman" w:eastAsia="仿宋_GB2312"/>
        </w:rPr>
      </w:pPr>
      <w:bookmarkStart w:id="13" w:name="_Toc500926010"/>
      <w:r>
        <w:rPr>
          <w:rFonts w:ascii="Times New Roman" w:hAnsi="Times New Roman" w:eastAsia="仿宋_GB2312"/>
        </w:rPr>
        <w:t xml:space="preserve">3.1 </w:t>
      </w:r>
      <w:r>
        <w:rPr>
          <w:rFonts w:hint="eastAsia" w:ascii="Times New Roman" w:hAnsi="Times New Roman" w:eastAsia="仿宋_GB2312"/>
        </w:rPr>
        <w:t>安全风险分析表</w:t>
      </w:r>
      <w:bookmarkEnd w:id="13"/>
    </w:p>
    <w:tbl>
      <w:tblPr>
        <w:tblStyle w:val="54"/>
        <w:tblW w:w="90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367"/>
        <w:gridCol w:w="5052"/>
        <w:gridCol w:w="1253"/>
      </w:tblGrid>
      <w:tr>
        <w:trPr>
          <w:wBefore w:w="0" w:type="dxa"/>
          <w:wAfter w:w="0" w:type="dxa"/>
          <w:trHeight w:val="495" w:hRule="atLeast"/>
          <w:jc w:val="center"/>
        </w:trPr>
        <w:tc>
          <w:tcPr>
            <w:tcW w:w="1366" w:type="dxa"/>
            <w:shd w:val="clear" w:color="000000" w:fill="C0C0C0"/>
            <w:noWrap w:val="0"/>
            <w:vAlign w:val="center"/>
          </w:tcPr>
          <w:p>
            <w:pPr>
              <w:widowControl/>
              <w:jc w:val="center"/>
              <w:rPr>
                <w:rFonts w:ascii="宋体" w:hAnsi="宋体"/>
                <w:b/>
                <w:bCs/>
                <w:kern w:val="0"/>
                <w:sz w:val="18"/>
                <w:szCs w:val="18"/>
              </w:rPr>
            </w:pPr>
            <w:r>
              <w:rPr>
                <w:rFonts w:hint="eastAsia" w:ascii="宋体" w:hAnsi="宋体"/>
                <w:b/>
                <w:bCs/>
                <w:kern w:val="0"/>
                <w:sz w:val="18"/>
                <w:szCs w:val="18"/>
              </w:rPr>
              <w:t>风险类型</w:t>
            </w:r>
          </w:p>
        </w:tc>
        <w:tc>
          <w:tcPr>
            <w:tcW w:w="1367" w:type="dxa"/>
            <w:shd w:val="clear" w:color="000000" w:fill="C0C0C0"/>
            <w:noWrap w:val="0"/>
            <w:vAlign w:val="center"/>
          </w:tcPr>
          <w:p>
            <w:pPr>
              <w:widowControl/>
              <w:jc w:val="center"/>
              <w:rPr>
                <w:rFonts w:ascii="宋体" w:hAnsi="宋体"/>
                <w:b/>
                <w:bCs/>
                <w:kern w:val="0"/>
                <w:sz w:val="18"/>
                <w:szCs w:val="18"/>
              </w:rPr>
            </w:pPr>
            <w:r>
              <w:rPr>
                <w:rFonts w:ascii="宋体" w:hAnsi="宋体"/>
                <w:b/>
                <w:bCs/>
                <w:kern w:val="0"/>
                <w:sz w:val="18"/>
                <w:szCs w:val="18"/>
              </w:rPr>
              <w:t>FX</w:t>
            </w:r>
            <w:r>
              <w:rPr>
                <w:rFonts w:hint="eastAsia" w:ascii="宋体" w:hAnsi="宋体"/>
                <w:b/>
                <w:bCs/>
                <w:kern w:val="0"/>
                <w:sz w:val="18"/>
                <w:szCs w:val="18"/>
              </w:rPr>
              <w:t>编号</w:t>
            </w:r>
          </w:p>
        </w:tc>
        <w:tc>
          <w:tcPr>
            <w:tcW w:w="5052" w:type="dxa"/>
            <w:shd w:val="clear" w:color="000000" w:fill="C0C0C0"/>
            <w:noWrap w:val="0"/>
            <w:vAlign w:val="center"/>
          </w:tcPr>
          <w:p>
            <w:pPr>
              <w:widowControl/>
              <w:jc w:val="center"/>
              <w:rPr>
                <w:rFonts w:ascii="宋体" w:hAnsi="宋体"/>
                <w:b/>
                <w:bCs/>
                <w:kern w:val="0"/>
                <w:sz w:val="18"/>
                <w:szCs w:val="18"/>
              </w:rPr>
            </w:pPr>
            <w:r>
              <w:rPr>
                <w:rFonts w:hint="eastAsia" w:ascii="宋体" w:hAnsi="宋体"/>
                <w:b/>
                <w:bCs/>
                <w:kern w:val="0"/>
                <w:sz w:val="18"/>
                <w:szCs w:val="18"/>
              </w:rPr>
              <w:t>业务安全业务安全风险评估要点</w:t>
            </w:r>
          </w:p>
        </w:tc>
        <w:tc>
          <w:tcPr>
            <w:tcW w:w="1253" w:type="dxa"/>
            <w:shd w:val="clear" w:color="000000" w:fill="C0C0C0"/>
            <w:noWrap w:val="0"/>
            <w:vAlign w:val="center"/>
          </w:tcPr>
          <w:p>
            <w:pPr>
              <w:widowControl/>
              <w:jc w:val="center"/>
            </w:pPr>
            <w:r>
              <w:rPr>
                <w:rFonts w:hint="eastAsia" w:ascii="宋体" w:hAnsi="宋体"/>
                <w:b/>
                <w:bCs/>
                <w:kern w:val="0"/>
                <w:sz w:val="18"/>
                <w:szCs w:val="18"/>
              </w:rPr>
              <w:t>评估意见</w:t>
            </w:r>
          </w:p>
        </w:tc>
      </w:tr>
      <w:tr>
        <w:trPr>
          <w:wBefore w:w="0" w:type="dxa"/>
          <w:wAfter w:w="0" w:type="dxa"/>
          <w:trHeight w:val="526"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业务应用安全风险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01-FX-01</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评估人员通过人员访谈的方式，了解被评估业务的用户规模。（被评估业务包括存量业务和未上线业务）</w:t>
            </w:r>
          </w:p>
        </w:tc>
        <w:tc>
          <w:tcPr>
            <w:tcW w:w="1253" w:type="dxa"/>
            <w:vMerge w:val="restart"/>
            <w:noWrap w:val="0"/>
            <w:vAlign w:val="center"/>
          </w:tcPr>
          <w:p>
            <w:pPr>
              <w:jc w:val="center"/>
            </w:pPr>
            <w:r>
              <w:rPr>
                <w:rFonts w:hint="eastAsia" w:ascii="宋体" w:hAnsi="宋体"/>
                <w:kern w:val="0"/>
                <w:sz w:val="18"/>
                <w:szCs w:val="18"/>
              </w:rPr>
              <w:t>无风险</w:t>
            </w:r>
          </w:p>
        </w:tc>
      </w:tr>
      <w:tr>
        <w:trPr>
          <w:wBefore w:w="0" w:type="dxa"/>
          <w:wAfter w:w="0" w:type="dxa"/>
          <w:trHeight w:val="450"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01-FX-02</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评估人员通过人员访谈的方式，了解被评估业务的用户类型（被评估业务包括存量业务和未上线业务）。</w:t>
            </w:r>
          </w:p>
        </w:tc>
        <w:tc>
          <w:tcPr>
            <w:tcW w:w="1253" w:type="dxa"/>
            <w:vMerge w:val="continue"/>
            <w:noWrap w:val="0"/>
            <w:vAlign w:val="center"/>
          </w:tcPr>
          <w:p>
            <w:pPr>
              <w:widowControl/>
              <w:jc w:val="center"/>
              <w:rPr>
                <w:rFonts w:ascii="宋体" w:hAnsi="宋体"/>
                <w:color w:val="808080"/>
                <w:kern w:val="0"/>
                <w:sz w:val="18"/>
                <w:szCs w:val="18"/>
              </w:rPr>
            </w:pPr>
          </w:p>
        </w:tc>
      </w:tr>
      <w:tr>
        <w:trPr>
          <w:wBefore w:w="0" w:type="dxa"/>
          <w:wAfter w:w="0" w:type="dxa"/>
          <w:trHeight w:val="57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01-FX-03</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评估人员通过人员访谈的方式，了解被评估业务用户之间的相关性（被评估业务包括存量业务和未上线业务）。</w:t>
            </w:r>
          </w:p>
        </w:tc>
        <w:tc>
          <w:tcPr>
            <w:tcW w:w="1253" w:type="dxa"/>
            <w:vMerge w:val="continue"/>
            <w:noWrap w:val="0"/>
            <w:vAlign w:val="center"/>
          </w:tcPr>
          <w:p>
            <w:pPr>
              <w:widowControl/>
              <w:jc w:val="center"/>
              <w:rPr>
                <w:rFonts w:ascii="宋体" w:hAnsi="宋体"/>
                <w:color w:val="808080"/>
                <w:kern w:val="0"/>
                <w:sz w:val="18"/>
                <w:szCs w:val="18"/>
              </w:rPr>
            </w:pPr>
          </w:p>
        </w:tc>
      </w:tr>
      <w:tr>
        <w:trPr>
          <w:wBefore w:w="0" w:type="dxa"/>
          <w:wAfter w:w="0" w:type="dxa"/>
          <w:trHeight w:val="653"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top"/>
          </w:tcPr>
          <w:p>
            <w:pPr>
              <w:widowControl/>
              <w:jc w:val="center"/>
              <w:rPr>
                <w:rFonts w:ascii="宋体" w:hAnsi="宋体"/>
                <w:kern w:val="0"/>
                <w:sz w:val="18"/>
                <w:szCs w:val="18"/>
              </w:rPr>
            </w:pPr>
            <w:r>
              <w:rPr>
                <w:rFonts w:ascii="宋体" w:hAnsi="宋体"/>
                <w:kern w:val="0"/>
                <w:sz w:val="18"/>
                <w:szCs w:val="18"/>
              </w:rPr>
              <w:t>01-FX-03</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评估人员通过人员访谈、演示查验等方式，了解被评估业务的用户真实身份信息管理制度是否能够确保用户身份信息真实性，如用户注册过程中是否要求提供真实身份信息等。</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55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top"/>
          </w:tcPr>
          <w:p>
            <w:pPr>
              <w:widowControl/>
              <w:jc w:val="center"/>
              <w:rPr>
                <w:rFonts w:ascii="宋体" w:hAnsi="宋体"/>
                <w:kern w:val="0"/>
                <w:sz w:val="18"/>
                <w:szCs w:val="18"/>
              </w:rPr>
            </w:pPr>
            <w:r>
              <w:rPr>
                <w:rFonts w:ascii="宋体" w:hAnsi="宋体"/>
                <w:kern w:val="0"/>
                <w:sz w:val="18"/>
                <w:szCs w:val="18"/>
              </w:rPr>
              <w:t>01-FX-04</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评估人员通过测试验证的方式，检查被评估业务是否具备用户真实身份鉴别功能是否存在身份仿冒或欺骗的可能。</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490"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top"/>
          </w:tcPr>
          <w:p>
            <w:pPr>
              <w:widowControl/>
              <w:jc w:val="center"/>
              <w:rPr>
                <w:rFonts w:ascii="宋体" w:hAnsi="宋体"/>
                <w:kern w:val="0"/>
                <w:sz w:val="18"/>
                <w:szCs w:val="18"/>
              </w:rPr>
            </w:pPr>
            <w:r>
              <w:rPr>
                <w:rFonts w:ascii="宋体" w:hAnsi="宋体"/>
                <w:kern w:val="0"/>
                <w:sz w:val="18"/>
                <w:szCs w:val="18"/>
              </w:rPr>
              <w:t>01-FX-05</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评估人员通过人员访谈的方式，检查是否制定了会话失效机制、身份认证失效机制。</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556"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top"/>
          </w:tcPr>
          <w:p>
            <w:pPr>
              <w:widowControl/>
              <w:jc w:val="center"/>
              <w:rPr>
                <w:rFonts w:ascii="宋体" w:hAnsi="宋体"/>
                <w:kern w:val="0"/>
                <w:sz w:val="18"/>
                <w:szCs w:val="18"/>
              </w:rPr>
            </w:pPr>
            <w:r>
              <w:rPr>
                <w:rFonts w:ascii="宋体" w:hAnsi="宋体"/>
                <w:kern w:val="0"/>
                <w:sz w:val="18"/>
                <w:szCs w:val="18"/>
              </w:rPr>
              <w:t>01-FX-06</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评估人员通过人员访谈、演示查验等方式，了解被评估的业务系统是否建立了用户身份信息保护管理制度和技术手段。</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920"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top"/>
          </w:tcPr>
          <w:p>
            <w:pPr>
              <w:widowControl/>
              <w:jc w:val="center"/>
              <w:rPr>
                <w:rFonts w:ascii="宋体" w:hAnsi="宋体"/>
                <w:kern w:val="0"/>
                <w:sz w:val="18"/>
                <w:szCs w:val="18"/>
              </w:rPr>
            </w:pPr>
            <w:r>
              <w:rPr>
                <w:rFonts w:ascii="宋体" w:hAnsi="宋体"/>
                <w:kern w:val="0"/>
                <w:sz w:val="18"/>
                <w:szCs w:val="18"/>
              </w:rPr>
              <w:t>01-FX-07</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评估人员通过人员访谈、演示查验等方式，了解被评估业务的中公共信息的可审核性，即是否包含大量审核难度较高的信息模块和信息格式（如图片和音视频等）。</w:t>
            </w:r>
          </w:p>
        </w:tc>
        <w:tc>
          <w:tcPr>
            <w:tcW w:w="1253" w:type="dxa"/>
            <w:noWrap w:val="0"/>
            <w:vAlign w:val="center"/>
          </w:tcPr>
          <w:p>
            <w:pPr>
              <w:jc w:val="center"/>
            </w:pPr>
            <w:r>
              <w:rPr>
                <w:rFonts w:hint="eastAsia" w:ascii="宋体" w:hAnsi="宋体"/>
                <w:kern w:val="0"/>
                <w:sz w:val="18"/>
                <w:szCs w:val="18"/>
              </w:rPr>
              <w:t>有风险</w:t>
            </w:r>
          </w:p>
        </w:tc>
      </w:tr>
      <w:tr>
        <w:trPr>
          <w:wBefore w:w="0" w:type="dxa"/>
          <w:wAfter w:w="0" w:type="dxa"/>
          <w:trHeight w:val="678"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top"/>
          </w:tcPr>
          <w:p>
            <w:pPr>
              <w:widowControl/>
              <w:jc w:val="center"/>
              <w:rPr>
                <w:rFonts w:ascii="宋体" w:hAnsi="宋体"/>
                <w:kern w:val="0"/>
                <w:sz w:val="18"/>
                <w:szCs w:val="18"/>
              </w:rPr>
            </w:pPr>
            <w:r>
              <w:rPr>
                <w:rFonts w:ascii="宋体" w:hAnsi="宋体"/>
                <w:kern w:val="0"/>
                <w:sz w:val="18"/>
                <w:szCs w:val="18"/>
              </w:rPr>
              <w:t>01-FX-08</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评估人员通过人员访谈、文件审查等方式，了解业务发布的公共信息是否具有多样性属性，即是否包含多元主题模块。</w:t>
            </w:r>
          </w:p>
        </w:tc>
        <w:tc>
          <w:tcPr>
            <w:tcW w:w="1253" w:type="dxa"/>
            <w:noWrap w:val="0"/>
            <w:vAlign w:val="center"/>
          </w:tcPr>
          <w:p>
            <w:pPr>
              <w:jc w:val="center"/>
              <w:rPr>
                <w:rFonts w:hint="eastAsia"/>
              </w:rPr>
            </w:pPr>
            <w:r>
              <w:rPr>
                <w:rFonts w:hint="eastAsia" w:ascii="宋体" w:hAnsi="宋体"/>
                <w:kern w:val="0"/>
                <w:sz w:val="18"/>
                <w:szCs w:val="18"/>
              </w:rPr>
              <w:t>无风险</w:t>
            </w:r>
          </w:p>
        </w:tc>
      </w:tr>
      <w:tr>
        <w:trPr>
          <w:wBefore w:w="0" w:type="dxa"/>
          <w:wAfter w:w="0" w:type="dxa"/>
          <w:trHeight w:val="560"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top"/>
          </w:tcPr>
          <w:p>
            <w:pPr>
              <w:widowControl/>
              <w:jc w:val="center"/>
              <w:rPr>
                <w:rFonts w:ascii="宋体" w:hAnsi="宋体"/>
                <w:kern w:val="0"/>
                <w:sz w:val="18"/>
                <w:szCs w:val="18"/>
              </w:rPr>
            </w:pPr>
            <w:r>
              <w:rPr>
                <w:rFonts w:ascii="宋体" w:hAnsi="宋体"/>
                <w:kern w:val="0"/>
                <w:sz w:val="18"/>
                <w:szCs w:val="18"/>
              </w:rPr>
              <w:t>01-FX-09</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评估人员通过人员访谈、文件审查、测试验证等方式，了解业务公共信息内容的相关性，即信息内容是否围绕大致相近的主题。</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499"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top"/>
          </w:tcPr>
          <w:p>
            <w:pPr>
              <w:widowControl/>
              <w:jc w:val="center"/>
              <w:rPr>
                <w:rFonts w:ascii="宋体" w:hAnsi="宋体"/>
                <w:kern w:val="0"/>
                <w:sz w:val="18"/>
                <w:szCs w:val="18"/>
              </w:rPr>
            </w:pPr>
            <w:r>
              <w:rPr>
                <w:rFonts w:ascii="宋体" w:hAnsi="宋体"/>
                <w:kern w:val="0"/>
                <w:sz w:val="18"/>
                <w:szCs w:val="18"/>
              </w:rPr>
              <w:t>01-FX-10</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评估人员通过人员访谈、演示查验等方式，了解业务信息呈现方式，即业务可承载的信息格式是否包括简单文本，文本、图片、语音、视频等文件。</w:t>
            </w:r>
          </w:p>
        </w:tc>
        <w:tc>
          <w:tcPr>
            <w:tcW w:w="1253" w:type="dxa"/>
            <w:noWrap w:val="0"/>
            <w:vAlign w:val="center"/>
          </w:tcPr>
          <w:p>
            <w:pPr>
              <w:jc w:val="center"/>
            </w:pPr>
            <w:r>
              <w:rPr>
                <w:rFonts w:hint="eastAsia" w:ascii="宋体" w:hAnsi="宋体"/>
                <w:kern w:val="0"/>
                <w:sz w:val="18"/>
                <w:szCs w:val="18"/>
              </w:rPr>
              <w:t>有风险</w:t>
            </w:r>
          </w:p>
        </w:tc>
      </w:tr>
      <w:tr>
        <w:trPr>
          <w:wBefore w:w="0" w:type="dxa"/>
          <w:wAfter w:w="0" w:type="dxa"/>
          <w:trHeight w:val="423"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top"/>
          </w:tcPr>
          <w:p>
            <w:pPr>
              <w:widowControl/>
              <w:jc w:val="center"/>
              <w:rPr>
                <w:rFonts w:ascii="宋体" w:hAnsi="宋体"/>
                <w:kern w:val="0"/>
                <w:sz w:val="18"/>
                <w:szCs w:val="18"/>
              </w:rPr>
            </w:pPr>
            <w:r>
              <w:rPr>
                <w:rFonts w:ascii="宋体" w:hAnsi="宋体"/>
                <w:kern w:val="0"/>
                <w:sz w:val="18"/>
                <w:szCs w:val="18"/>
              </w:rPr>
              <w:t>01-FX-11</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评估人员通过人员访谈、演示查验等方式，了解业务语言类型是否包含小语种信息。</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503"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top"/>
          </w:tcPr>
          <w:p>
            <w:pPr>
              <w:widowControl/>
              <w:jc w:val="center"/>
              <w:rPr>
                <w:rFonts w:ascii="宋体" w:hAnsi="宋体"/>
                <w:kern w:val="0"/>
                <w:sz w:val="18"/>
                <w:szCs w:val="18"/>
              </w:rPr>
            </w:pPr>
            <w:r>
              <w:rPr>
                <w:rFonts w:ascii="宋体" w:hAnsi="宋体"/>
                <w:kern w:val="0"/>
                <w:sz w:val="18"/>
                <w:szCs w:val="18"/>
              </w:rPr>
              <w:t>01-FX-12</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评估人员通过人员访谈、演示查验等方式，查看业务系统公众信息发布的信息源进行鉴别时，即是否确认信息是由真实身份可确认的可信用户发布的。</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686"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top"/>
          </w:tcPr>
          <w:p>
            <w:pPr>
              <w:widowControl/>
              <w:jc w:val="center"/>
              <w:rPr>
                <w:rFonts w:ascii="宋体" w:hAnsi="宋体"/>
                <w:kern w:val="0"/>
                <w:sz w:val="18"/>
                <w:szCs w:val="18"/>
              </w:rPr>
            </w:pPr>
            <w:r>
              <w:rPr>
                <w:rFonts w:ascii="宋体" w:hAnsi="宋体"/>
                <w:kern w:val="0"/>
                <w:sz w:val="18"/>
                <w:szCs w:val="18"/>
              </w:rPr>
              <w:t>01-FX-13</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评估人员通过人员访谈、演示查验等方式，了解业务中公共信息产生方式，即确认是否包含第三方或用户发布的信息。</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416"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top"/>
          </w:tcPr>
          <w:p>
            <w:pPr>
              <w:widowControl/>
              <w:jc w:val="center"/>
              <w:rPr>
                <w:rFonts w:ascii="宋体" w:hAnsi="宋体"/>
                <w:kern w:val="0"/>
                <w:sz w:val="18"/>
                <w:szCs w:val="18"/>
              </w:rPr>
            </w:pPr>
            <w:r>
              <w:rPr>
                <w:rFonts w:ascii="宋体" w:hAnsi="宋体"/>
                <w:kern w:val="0"/>
                <w:sz w:val="18"/>
                <w:szCs w:val="18"/>
              </w:rPr>
              <w:t>01-FX-14</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评估人员通过人员访谈、演示查验等方式，了解业务平台支持的信息传播方式，是否支持点对点、点对多点、多点对多点及裂变式传播。</w:t>
            </w:r>
          </w:p>
        </w:tc>
        <w:tc>
          <w:tcPr>
            <w:tcW w:w="1253" w:type="dxa"/>
            <w:noWrap w:val="0"/>
            <w:vAlign w:val="center"/>
          </w:tcPr>
          <w:p>
            <w:pPr>
              <w:jc w:val="center"/>
            </w:pPr>
            <w:r>
              <w:rPr>
                <w:rFonts w:hint="eastAsia" w:ascii="宋体" w:hAnsi="宋体"/>
                <w:kern w:val="0"/>
                <w:sz w:val="18"/>
                <w:szCs w:val="18"/>
              </w:rPr>
              <w:t>有风险</w:t>
            </w:r>
          </w:p>
        </w:tc>
      </w:tr>
      <w:tr>
        <w:trPr>
          <w:wBefore w:w="0" w:type="dxa"/>
          <w:wAfter w:w="0" w:type="dxa"/>
          <w:trHeight w:val="351"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top"/>
          </w:tcPr>
          <w:p>
            <w:pPr>
              <w:widowControl/>
              <w:jc w:val="center"/>
              <w:rPr>
                <w:rFonts w:ascii="宋体" w:hAnsi="宋体"/>
                <w:kern w:val="0"/>
                <w:sz w:val="18"/>
                <w:szCs w:val="18"/>
              </w:rPr>
            </w:pPr>
            <w:r>
              <w:rPr>
                <w:rFonts w:ascii="宋体" w:hAnsi="宋体"/>
                <w:kern w:val="0"/>
                <w:sz w:val="18"/>
                <w:szCs w:val="18"/>
              </w:rPr>
              <w:t>01-FX-15</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评估人员通过人员访谈、演示查验等方式，了解业务支持的通信媒介，即业务平台的信息是否可以分享至其他平台，或可跨越网络类型传播。如果是，还应进一步了解可分享的平台类型、数量及规模情况。</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416"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top"/>
          </w:tcPr>
          <w:p>
            <w:pPr>
              <w:widowControl/>
              <w:jc w:val="center"/>
              <w:rPr>
                <w:rFonts w:ascii="宋体" w:hAnsi="宋体"/>
                <w:kern w:val="0"/>
                <w:sz w:val="18"/>
                <w:szCs w:val="18"/>
              </w:rPr>
            </w:pPr>
            <w:r>
              <w:rPr>
                <w:rFonts w:ascii="宋体" w:hAnsi="宋体"/>
                <w:kern w:val="0"/>
                <w:sz w:val="18"/>
                <w:szCs w:val="18"/>
              </w:rPr>
              <w:t>01-FX-16</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评估人员通过人员访谈、演示查验等方式，了解业务平台信息传递实时性属性，即在向用户推送新消息时是否是直接明示信息内容，是否允许用户修改系统设置实现信息的隐藏。</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829"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top"/>
          </w:tcPr>
          <w:p>
            <w:pPr>
              <w:widowControl/>
              <w:jc w:val="center"/>
              <w:rPr>
                <w:rFonts w:ascii="宋体" w:hAnsi="宋体"/>
                <w:kern w:val="0"/>
                <w:sz w:val="18"/>
                <w:szCs w:val="18"/>
              </w:rPr>
            </w:pPr>
            <w:r>
              <w:rPr>
                <w:rFonts w:ascii="宋体" w:hAnsi="宋体"/>
                <w:kern w:val="0"/>
                <w:sz w:val="18"/>
                <w:szCs w:val="18"/>
              </w:rPr>
              <w:t>01-FX-17</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评估人员通过人员访谈、演示查验等方式，了解业务中信息收取方式，即用户获取信息包含的类型有如下几种：用户主动订阅或申请，系统主动推送等。</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523"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top"/>
          </w:tcPr>
          <w:p>
            <w:pPr>
              <w:widowControl/>
              <w:jc w:val="center"/>
              <w:rPr>
                <w:rFonts w:ascii="宋体" w:hAnsi="宋体"/>
                <w:kern w:val="0"/>
                <w:sz w:val="18"/>
                <w:szCs w:val="18"/>
              </w:rPr>
            </w:pPr>
            <w:r>
              <w:rPr>
                <w:rFonts w:ascii="宋体" w:hAnsi="宋体"/>
                <w:kern w:val="0"/>
                <w:sz w:val="18"/>
                <w:szCs w:val="18"/>
              </w:rPr>
              <w:t>01-FX-18</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评估人员通过人员访谈、演示查验等方式，了解业务系统后台是否支持信息留存功能，即系统后台是否留存了法律法规要求的日志记录。</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525"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业务平台安全风险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02-FX-01</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评估人员通过人员访谈、文件审查等方式，了解业务系统网络拓扑结构中设备位置分布情况。</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604"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02-FX-02</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评估人员通过人员访谈、文件审查等方式，了解业务平台系统资源调度方式，是否采用云计算技术或采购第三方云服务方式。</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543"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02-FX-03</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评估人员通过人员访谈、文件审查等方式，了解业务平台系统资源调度方式，是否采取了内容分发网络技术情况；</w:t>
            </w:r>
          </w:p>
        </w:tc>
        <w:tc>
          <w:tcPr>
            <w:tcW w:w="1253" w:type="dxa"/>
            <w:noWrap w:val="0"/>
            <w:vAlign w:val="center"/>
          </w:tcPr>
          <w:p>
            <w:pPr>
              <w:jc w:val="center"/>
            </w:pPr>
            <w:r>
              <w:rPr>
                <w:rFonts w:hint="eastAsia" w:ascii="宋体" w:hAnsi="宋体"/>
                <w:kern w:val="0"/>
                <w:sz w:val="18"/>
                <w:szCs w:val="18"/>
              </w:rPr>
              <w:t>无风险</w:t>
            </w:r>
          </w:p>
        </w:tc>
      </w:tr>
      <w:tr>
        <w:trPr>
          <w:wBefore w:w="0" w:type="dxa"/>
          <w:wAfter w:w="0" w:type="dxa"/>
          <w:trHeight w:val="608"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02-FX-04</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评估人员通过人员访谈、文件审查等方式，了解业务合作模式</w:t>
            </w:r>
            <w:r>
              <w:rPr>
                <w:rFonts w:ascii="宋体" w:hAnsi="宋体"/>
                <w:kern w:val="0"/>
                <w:sz w:val="18"/>
                <w:szCs w:val="18"/>
              </w:rPr>
              <w:t>/</w:t>
            </w:r>
            <w:r>
              <w:rPr>
                <w:rFonts w:hint="eastAsia" w:ascii="宋体" w:hAnsi="宋体"/>
                <w:kern w:val="0"/>
                <w:sz w:val="18"/>
                <w:szCs w:val="18"/>
              </w:rPr>
              <w:t>服务模式是否满足合规性要求，即核实业务合作模式</w:t>
            </w:r>
            <w:r>
              <w:rPr>
                <w:rFonts w:ascii="宋体" w:hAnsi="宋体"/>
                <w:kern w:val="0"/>
                <w:sz w:val="18"/>
                <w:szCs w:val="18"/>
              </w:rPr>
              <w:t>/</w:t>
            </w:r>
            <w:r>
              <w:rPr>
                <w:rFonts w:hint="eastAsia" w:ascii="宋体" w:hAnsi="宋体"/>
                <w:kern w:val="0"/>
                <w:sz w:val="18"/>
                <w:szCs w:val="18"/>
              </w:rPr>
              <w:t>服务模式是否满足相关行业管理规定，或合作</w:t>
            </w:r>
            <w:r>
              <w:rPr>
                <w:rFonts w:ascii="宋体" w:hAnsi="宋体"/>
                <w:kern w:val="0"/>
                <w:sz w:val="18"/>
                <w:szCs w:val="18"/>
              </w:rPr>
              <w:t>/</w:t>
            </w:r>
            <w:r>
              <w:rPr>
                <w:rFonts w:hint="eastAsia" w:ascii="宋体" w:hAnsi="宋体"/>
                <w:kern w:val="0"/>
                <w:sz w:val="18"/>
                <w:szCs w:val="18"/>
              </w:rPr>
              <w:t>用户是否具备开办业务的相关资质。</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23"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02-FX-05</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评估人员通过人员访谈、文件审查等方式，了解业务运营在合作（技术合作和服务合作）开展前是否对合作信息安全保障能力（管理制度和技术手段）进行了评估，并形成了相关文档。</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02-FX-06</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评估人员通过人员访谈、文件审查等方式，了解业务系统开放的</w:t>
            </w:r>
            <w:r>
              <w:rPr>
                <w:rFonts w:ascii="宋体" w:hAnsi="宋体"/>
                <w:kern w:val="0"/>
                <w:sz w:val="18"/>
                <w:szCs w:val="18"/>
              </w:rPr>
              <w:t>API</w:t>
            </w:r>
            <w:r>
              <w:rPr>
                <w:rFonts w:hint="eastAsia" w:ascii="宋体" w:hAnsi="宋体"/>
                <w:kern w:val="0"/>
                <w:sz w:val="18"/>
                <w:szCs w:val="18"/>
              </w:rPr>
              <w:t>接口类型、接口功能及相应权限情况。</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jc w:val="center"/>
              <w:rPr>
                <w:rFonts w:ascii="宋体" w:hAnsi="宋体"/>
                <w:kern w:val="0"/>
                <w:sz w:val="18"/>
                <w:szCs w:val="18"/>
              </w:rPr>
            </w:pPr>
            <w:r>
              <w:rPr>
                <w:rFonts w:ascii="宋体" w:hAnsi="宋体"/>
                <w:kern w:val="0"/>
                <w:sz w:val="18"/>
                <w:szCs w:val="18"/>
              </w:rPr>
              <w:t>Web</w:t>
            </w:r>
            <w:r>
              <w:rPr>
                <w:rFonts w:hint="eastAsia" w:ascii="宋体" w:hAnsi="宋体"/>
                <w:kern w:val="0"/>
                <w:sz w:val="18"/>
                <w:szCs w:val="18"/>
              </w:rPr>
              <w:t>应用安全风险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03-FX-01</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评估人员通过人员访谈的方式，检查该业务应用是否存在多级账号，导致越权的风险及特权账号滥用等问题。</w:t>
            </w:r>
          </w:p>
        </w:tc>
        <w:tc>
          <w:tcPr>
            <w:tcW w:w="1253"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03-FX-02</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评估人员通过人员访谈的方式，查看是否制定有日志记录规范且承诺能够在运营过程中按系统威胁日志留存管理规范进行日志记录与管理工作。</w:t>
            </w:r>
          </w:p>
        </w:tc>
        <w:tc>
          <w:tcPr>
            <w:tcW w:w="1253"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03-FX-03</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评估人员通过文件审查和人员访谈的方式，检查是否制定有应用系统与安全设备配置安全规范或软件安全开发规范并且承诺能够对相关系统的</w:t>
            </w:r>
            <w:r>
              <w:rPr>
                <w:rFonts w:ascii="宋体" w:hAnsi="宋体"/>
                <w:kern w:val="0"/>
                <w:sz w:val="18"/>
                <w:szCs w:val="18"/>
              </w:rPr>
              <w:t>Web</w:t>
            </w:r>
            <w:r>
              <w:rPr>
                <w:rFonts w:hint="eastAsia" w:ascii="宋体" w:hAnsi="宋体"/>
                <w:kern w:val="0"/>
                <w:sz w:val="18"/>
                <w:szCs w:val="18"/>
              </w:rPr>
              <w:t>应用服务及相关协议及时修复已公布的漏洞。</w:t>
            </w:r>
          </w:p>
        </w:tc>
        <w:tc>
          <w:tcPr>
            <w:tcW w:w="1253"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客户端安全风险</w:t>
            </w:r>
          </w:p>
        </w:tc>
        <w:tc>
          <w:tcPr>
            <w:tcW w:w="1367" w:type="dxa"/>
            <w:noWrap w:val="0"/>
            <w:vAlign w:val="center"/>
          </w:tcPr>
          <w:p>
            <w:pPr>
              <w:jc w:val="center"/>
              <w:rPr>
                <w:rFonts w:ascii="宋体" w:hAnsi="宋体"/>
              </w:rPr>
            </w:pPr>
            <w:r>
              <w:rPr>
                <w:rFonts w:ascii="宋体" w:hAnsi="宋体"/>
                <w:kern w:val="0"/>
                <w:sz w:val="18"/>
                <w:szCs w:val="18"/>
              </w:rPr>
              <w:t>04-FX-01</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评估人员通过人员访谈的方式，查询是否有客户端软件版本管理、版本更新发布机制。</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04-FX-02</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评估人员通过人员访谈的方式，查询是否有相关的软件安装、更新、运行、卸载相关的开发规范与用户告知说明。</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04-FX-03</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评估人员通过人员访谈的方式，了解客户端软件是否具备联网功能。</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04-FX-03</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评估人员通过人员、演示查验的方式，了解客户端软件是否存在恶意行为，如系统提权、监听用户操作、窃取用户隐私等。</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04-FX-03</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评估人员通过人员访谈的方式，了解是否定期对客户端业务系统进行安全检测并定期修复漏洞。</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业务逻辑安全风险</w:t>
            </w:r>
          </w:p>
        </w:tc>
        <w:tc>
          <w:tcPr>
            <w:tcW w:w="1367" w:type="dxa"/>
            <w:noWrap w:val="0"/>
            <w:vAlign w:val="center"/>
          </w:tcPr>
          <w:p>
            <w:pPr>
              <w:jc w:val="center"/>
              <w:rPr>
                <w:rFonts w:ascii="宋体" w:hAnsi="宋体"/>
              </w:rPr>
            </w:pPr>
            <w:r>
              <w:rPr>
                <w:rFonts w:ascii="宋体" w:hAnsi="宋体"/>
                <w:kern w:val="0"/>
                <w:sz w:val="18"/>
                <w:szCs w:val="18"/>
              </w:rPr>
              <w:t>05-FX-01</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评估人员通过人员访谈的方式，查询业务是否具有业务订购功能。</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05-FX-02</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评估人员通过人员访谈的方式，查看是否制定了业务认证机制，并且设置了相关的基线要求。</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05-FX-03</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评估人员通过人员访谈的方式，检查是否制定有业务安全使用的开发相关规范并且承诺在应用开发阶段严格遵守该规范。</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非授权采集风险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06-FX-01</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评估人员通过文件审查的方式，检查与用户签订的用户协议中是否包含收集用户信息的范围、类型及使用目的等内容。</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06-FX-02</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评估人员通过人员访谈的方式，检查业务系统采集的数据结果是否包含超出明确告知给用户的信息收集范围、类型及使用目的等内容。</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数据存储风险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07-FX-01</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评估人员通过人员访谈的方式，了解业务系统是否提供面向外部用户的服务。</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07-FX-02</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评估人员通过人员访谈的方式，了解业务系统是否存在与公网的访问接口。</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07-FX-03</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评估人员通过文件审查的方式，检查针对业务系统是否制定了网络设备与安全设备配置安全规范。</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07-FX-04</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评估人员通过人员访谈的方式，检查在保持系统运行稳定的前提下，针对业务系统是否承诺能够对相关设备的操作系统和关键服务协议及时安装更新或补丁。</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jc w:val="center"/>
              <w:rPr>
                <w:rFonts w:ascii="宋体" w:hAnsi="宋体"/>
                <w:kern w:val="0"/>
                <w:sz w:val="18"/>
                <w:szCs w:val="18"/>
              </w:rPr>
            </w:pPr>
            <w:r>
              <w:rPr>
                <w:rFonts w:hint="eastAsia" w:ascii="宋体" w:hAnsi="宋体"/>
                <w:kern w:val="0"/>
                <w:sz w:val="18"/>
                <w:szCs w:val="18"/>
              </w:rPr>
              <w:t>数据管理风险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08-FX-01</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评估人员通过文件审查的方式，检查针对</w:t>
            </w:r>
            <w:r>
              <w:rPr>
                <w:rFonts w:ascii="宋体" w:hAnsi="宋体"/>
                <w:kern w:val="0"/>
                <w:sz w:val="18"/>
                <w:szCs w:val="18"/>
              </w:rPr>
              <w:t>“</w:t>
            </w:r>
            <w:r>
              <w:rPr>
                <w:rFonts w:hint="eastAsia" w:ascii="宋体" w:hAnsi="宋体"/>
                <w:kern w:val="0"/>
                <w:sz w:val="18"/>
                <w:szCs w:val="18"/>
              </w:rPr>
              <w:t>商密</w:t>
            </w:r>
            <w:r>
              <w:rPr>
                <w:rFonts w:ascii="宋体" w:hAnsi="宋体"/>
                <w:kern w:val="0"/>
                <w:sz w:val="18"/>
                <w:szCs w:val="18"/>
              </w:rPr>
              <w:t>”</w:t>
            </w:r>
            <w:r>
              <w:rPr>
                <w:rFonts w:hint="eastAsia" w:ascii="宋体" w:hAnsi="宋体"/>
                <w:kern w:val="0"/>
                <w:sz w:val="18"/>
                <w:szCs w:val="18"/>
              </w:rPr>
              <w:t>及以上保密等级的数据信息的使用，存储，备份和管理（包括涉密数据，相关移动存储介质和移动办公设备等）是否制定了相应的安全使用和管理规则。</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08-FX-02</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评估人员通过人员访谈的方式，检查是否对数据信息的访问进行权限管理。</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08-FX-03</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评估人员通过文件审查的方式，检查是否制定了相应的应急处置计划和配套的处置措施。</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08-FX-04</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评估人员通过文件审查、人员访谈的方式，检查是否制定了数据安全监督的相关管理办法。</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noWrap w:val="0"/>
            <w:vAlign w:val="center"/>
          </w:tcPr>
          <w:p>
            <w:pPr>
              <w:widowControl/>
              <w:jc w:val="center"/>
              <w:rPr>
                <w:rFonts w:ascii="宋体" w:hAnsi="宋体"/>
                <w:kern w:val="0"/>
                <w:sz w:val="18"/>
                <w:szCs w:val="18"/>
              </w:rPr>
            </w:pPr>
            <w:r>
              <w:rPr>
                <w:rFonts w:hint="eastAsia" w:ascii="宋体" w:hAnsi="宋体"/>
                <w:kern w:val="0"/>
                <w:sz w:val="18"/>
                <w:szCs w:val="18"/>
              </w:rPr>
              <w:t>数据传输风险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09-FX-01</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评估人员通过人员访谈的方式，查看是否对内部数据传输链路采取了技术防护手段。</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数据加工风险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10-FX-01</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评估人员通过人员访谈的方式，询问采取的数据加工方式。</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10-FX-02</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评估人员通过人员访谈的方式，询问数据加工中使用的用户数据类型，并与明确告知给用户的数据挖掘范围进行对比</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10-FX-03</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评估人员通过人员访谈的方式，询问在进行数据分析和挖掘的过程中，是否进行了数据脱敏。</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10-FX-04</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评估人员需通过人员访谈的方式，询问数据挖掘分析后是否会形成国家关键数据，且是否具备相应的保障能力。。</w:t>
            </w:r>
          </w:p>
        </w:tc>
        <w:tc>
          <w:tcPr>
            <w:tcW w:w="1253" w:type="dxa"/>
            <w:noWrap w:val="0"/>
            <w:vAlign w:val="center"/>
          </w:tcPr>
          <w:p>
            <w:pPr>
              <w:jc w:val="center"/>
            </w:pPr>
            <w:r>
              <w:rPr>
                <w:rFonts w:hint="eastAsia" w:ascii="宋体" w:hAnsi="宋体"/>
                <w:kern w:val="0"/>
                <w:sz w:val="18"/>
                <w:szCs w:val="18"/>
              </w:rPr>
              <w:t>无风险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数据转移风险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11-FX-01</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评估人员通过人员访谈和文件审查的方式，询问接收数据的第三方的安全防护能力情况。</w:t>
            </w:r>
          </w:p>
        </w:tc>
        <w:tc>
          <w:tcPr>
            <w:tcW w:w="1253"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11-FX-02</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评估人员采用人员访谈和文件审查的方式，询问提供给第三方的数据类型。</w:t>
            </w:r>
          </w:p>
        </w:tc>
        <w:tc>
          <w:tcPr>
            <w:tcW w:w="1253"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11-FX-03</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评估人员采取人员访谈和文件审查的方式，查看与第三方签订的协议中是否包含数据使用权限的内容，以及第三方对数据使用情况调查。</w:t>
            </w:r>
          </w:p>
        </w:tc>
        <w:tc>
          <w:tcPr>
            <w:tcW w:w="1253"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vMerge w:val="continue"/>
            <w:noWrap w:val="0"/>
            <w:vAlign w:val="center"/>
          </w:tcPr>
          <w:p>
            <w:pPr>
              <w:widowControl/>
              <w:jc w:val="center"/>
              <w:rPr>
                <w:rFonts w:ascii="宋体" w:hAnsi="宋体"/>
                <w:kern w:val="0"/>
                <w:sz w:val="18"/>
                <w:szCs w:val="18"/>
              </w:rPr>
            </w:pPr>
          </w:p>
        </w:tc>
        <w:tc>
          <w:tcPr>
            <w:tcW w:w="1367" w:type="dxa"/>
            <w:noWrap w:val="0"/>
            <w:vAlign w:val="center"/>
          </w:tcPr>
          <w:p>
            <w:pPr>
              <w:jc w:val="center"/>
              <w:rPr>
                <w:rFonts w:ascii="宋体" w:hAnsi="宋体"/>
              </w:rPr>
            </w:pPr>
            <w:r>
              <w:rPr>
                <w:rFonts w:ascii="宋体" w:hAnsi="宋体"/>
                <w:kern w:val="0"/>
                <w:sz w:val="18"/>
                <w:szCs w:val="18"/>
              </w:rPr>
              <w:t>11-FX-04</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评估人员采取人员访谈和文件审查的方式，询问是否对第三方进行必要的安全监督管理，并查阅相关记录。</w:t>
            </w:r>
          </w:p>
        </w:tc>
        <w:tc>
          <w:tcPr>
            <w:tcW w:w="1253"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1366" w:type="dxa"/>
            <w:noWrap w:val="0"/>
            <w:vAlign w:val="center"/>
          </w:tcPr>
          <w:p>
            <w:pPr>
              <w:widowControl/>
              <w:jc w:val="center"/>
              <w:rPr>
                <w:rFonts w:ascii="宋体" w:hAnsi="宋体"/>
                <w:kern w:val="0"/>
                <w:sz w:val="18"/>
                <w:szCs w:val="18"/>
              </w:rPr>
            </w:pPr>
            <w:r>
              <w:rPr>
                <w:rFonts w:hint="eastAsia" w:ascii="宋体" w:hAnsi="宋体"/>
                <w:kern w:val="0"/>
                <w:sz w:val="18"/>
                <w:szCs w:val="18"/>
              </w:rPr>
              <w:t>数据删除风险</w:t>
            </w:r>
          </w:p>
        </w:tc>
        <w:tc>
          <w:tcPr>
            <w:tcW w:w="1367" w:type="dxa"/>
            <w:noWrap w:val="0"/>
            <w:vAlign w:val="center"/>
          </w:tcPr>
          <w:p>
            <w:pPr>
              <w:widowControl/>
              <w:jc w:val="center"/>
              <w:rPr>
                <w:rFonts w:ascii="宋体" w:hAnsi="宋体"/>
                <w:kern w:val="0"/>
                <w:sz w:val="18"/>
                <w:szCs w:val="18"/>
              </w:rPr>
            </w:pPr>
            <w:r>
              <w:rPr>
                <w:rFonts w:ascii="宋体" w:hAnsi="宋体"/>
                <w:kern w:val="0"/>
                <w:sz w:val="18"/>
                <w:szCs w:val="18"/>
              </w:rPr>
              <w:t>12-FX-01</w:t>
            </w:r>
          </w:p>
        </w:tc>
        <w:tc>
          <w:tcPr>
            <w:tcW w:w="5052" w:type="dxa"/>
            <w:noWrap w:val="0"/>
            <w:vAlign w:val="center"/>
          </w:tcPr>
          <w:p>
            <w:pPr>
              <w:widowControl/>
              <w:jc w:val="center"/>
              <w:rPr>
                <w:rFonts w:ascii="宋体" w:hAnsi="宋体"/>
                <w:kern w:val="0"/>
                <w:sz w:val="18"/>
                <w:szCs w:val="18"/>
              </w:rPr>
            </w:pPr>
            <w:r>
              <w:rPr>
                <w:rFonts w:hint="eastAsia" w:ascii="宋体" w:hAnsi="宋体"/>
                <w:kern w:val="0"/>
                <w:sz w:val="18"/>
                <w:szCs w:val="18"/>
              </w:rPr>
              <w:t>评估人员采取人员访谈和文件审查的方式，询问是否为用户提供删除个人信息的服务。</w:t>
            </w:r>
          </w:p>
        </w:tc>
        <w:tc>
          <w:tcPr>
            <w:tcW w:w="1253" w:type="dxa"/>
            <w:noWrap w:val="0"/>
            <w:vAlign w:val="center"/>
          </w:tcPr>
          <w:p>
            <w:pPr>
              <w:jc w:val="center"/>
            </w:pPr>
            <w:r>
              <w:rPr>
                <w:rFonts w:hint="eastAsia" w:ascii="宋体" w:hAnsi="宋体"/>
                <w:kern w:val="0"/>
                <w:sz w:val="18"/>
                <w:szCs w:val="18"/>
              </w:rPr>
              <w:t>无风险</w:t>
            </w:r>
          </w:p>
        </w:tc>
      </w:tr>
    </w:tbl>
    <w:p>
      <w:pPr>
        <w:pStyle w:val="3"/>
        <w:spacing w:before="0" w:after="0" w:line="240" w:lineRule="auto"/>
        <w:rPr>
          <w:rFonts w:ascii="Times New Roman" w:hAnsi="Times New Roman" w:eastAsia="仿宋_GB2312"/>
        </w:rPr>
      </w:pPr>
      <w:bookmarkStart w:id="14" w:name="_Toc500926011"/>
      <w:r>
        <w:rPr>
          <w:rFonts w:ascii="Times New Roman" w:hAnsi="Times New Roman" w:eastAsia="仿宋_GB2312"/>
        </w:rPr>
        <w:t xml:space="preserve">3.2 </w:t>
      </w:r>
      <w:r>
        <w:rPr>
          <w:rFonts w:hint="eastAsia" w:ascii="Times New Roman" w:hAnsi="Times New Roman" w:eastAsia="仿宋_GB2312"/>
        </w:rPr>
        <w:t>风险说明</w:t>
      </w:r>
      <w:bookmarkEnd w:id="14"/>
    </w:p>
    <w:p>
      <w:pPr>
        <w:spacing w:line="600" w:lineRule="exact"/>
        <w:ind w:firstLine="640"/>
        <w:rPr>
          <w:rFonts w:hint="eastAsia" w:eastAsia="仿宋_GB2312"/>
          <w:sz w:val="32"/>
          <w:szCs w:val="32"/>
        </w:rPr>
      </w:pPr>
      <w:r>
        <w:rPr>
          <w:rFonts w:hint="eastAsia" w:eastAsia="仿宋_GB2312"/>
          <w:sz w:val="32"/>
          <w:szCs w:val="32"/>
        </w:rPr>
        <w:t>“集团号簿”业务具备即时通讯和信息发布功能，可以发送、发布文本、图片、音视频等多种形式信息，同时用户可以自行建立群组进行群聊，信息可以以点对点、点对多及多对多的方式传播。业务用户多为政府、企事业集团员工，集群性明显。因此“集团号簿”业务在业务应用安全方面存在一定风险，需在信息发布和传播环节的信息安全管理方面做好严格把关，防止发生信息安全事件。</w:t>
      </w:r>
    </w:p>
    <w:p>
      <w:pPr>
        <w:pStyle w:val="2"/>
        <w:spacing w:before="0" w:after="0" w:line="240" w:lineRule="auto"/>
        <w:rPr>
          <w:rFonts w:eastAsia="仿宋_GB2312"/>
          <w:sz w:val="32"/>
          <w:szCs w:val="32"/>
        </w:rPr>
        <w:sectPr>
          <w:pgSz w:w="11906" w:h="16838"/>
          <w:pgMar w:top="1440" w:right="1797" w:bottom="1440" w:left="1287" w:header="851" w:footer="992" w:gutter="0"/>
          <w:cols w:space="425" w:num="1"/>
          <w:docGrid w:type="lines" w:linePitch="312" w:charSpace="0"/>
        </w:sectPr>
      </w:pPr>
    </w:p>
    <w:p>
      <w:pPr>
        <w:pStyle w:val="2"/>
        <w:spacing w:before="0" w:after="0" w:line="240" w:lineRule="auto"/>
        <w:rPr>
          <w:rFonts w:eastAsia="仿宋_GB2312"/>
          <w:sz w:val="32"/>
          <w:szCs w:val="32"/>
        </w:rPr>
      </w:pPr>
      <w:bookmarkStart w:id="15" w:name="_Toc500926012"/>
      <w:r>
        <w:rPr>
          <w:rFonts w:eastAsia="仿宋_GB2312"/>
          <w:sz w:val="32"/>
          <w:szCs w:val="32"/>
        </w:rPr>
        <w:t xml:space="preserve">4 </w:t>
      </w:r>
      <w:r>
        <w:rPr>
          <w:rFonts w:hint="eastAsia" w:eastAsia="仿宋_GB2312"/>
          <w:sz w:val="32"/>
          <w:szCs w:val="32"/>
        </w:rPr>
        <w:t>配套安全管理措施</w:t>
      </w:r>
      <w:bookmarkEnd w:id="15"/>
    </w:p>
    <w:p>
      <w:pPr>
        <w:pStyle w:val="3"/>
        <w:spacing w:before="0" w:after="0" w:line="240" w:lineRule="auto"/>
        <w:rPr>
          <w:rFonts w:ascii="Times New Roman" w:hAnsi="Times New Roman" w:eastAsia="仿宋_GB2312"/>
        </w:rPr>
      </w:pPr>
      <w:bookmarkStart w:id="16" w:name="_Toc500926013"/>
      <w:r>
        <w:rPr>
          <w:rFonts w:ascii="Times New Roman" w:hAnsi="Times New Roman" w:eastAsia="仿宋_GB2312"/>
        </w:rPr>
        <w:t xml:space="preserve">4.1 </w:t>
      </w:r>
      <w:r>
        <w:rPr>
          <w:rFonts w:hint="eastAsia" w:ascii="Times New Roman" w:hAnsi="Times New Roman" w:eastAsia="仿宋_GB2312"/>
        </w:rPr>
        <w:t>日常安全管理介绍</w:t>
      </w:r>
      <w:bookmarkEnd w:id="16"/>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贵州移动明确了网络与信息安全管理中心职责，制定了以下网络与信息安全方面的管理制度，针对合作方及人员同时制定了相应的管理办法，基本满足信息安全管理要求。</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《中国移动贵州公司管理信息系统网络与信息安全防护管理办法（试行）》</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《中国移动贵州公司互联网信息安全管理系统使用及运行维护管理办法（2017版）》</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《中国移动贵州公司网络与信息安全三同步管理规范（新）》</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《中国移动贵州公司网络与信息安全事件信息报备规范（V1.0）》</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《中国移动贵州公司信息安全工作配合监督管理办法》</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《中国移动通信集团贵州有限公司安全风险处置工作规范（试行）》</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《中国移动客户信息安全保护管理规定》</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《中国移动不良信息集中治理工作规范（2017年）》</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《中国移动贵州公司大数据安全管控实施细则》</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《中国移动客户信息安全保护管理规定-201708》</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《中国移动贵州公司客户信息安全保护管理实施细则》</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《中国移动贵州公司互联网新技术新业务信息安全评估管理办法V2.3》</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《中国移动贵州公司互联网新技术新业务信息安全评估管理实施细则V4.1》</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在机构设置方面，中国移动贵州分公司设立了专门的网络与信息安全管理部门，工作人员共5人，各业务部门配备了相应的网络与信息安全联系人，专职人员数量少于10人，建议加大信息安全人员力量投入。</w:t>
      </w:r>
    </w:p>
    <w:p>
      <w:pPr>
        <w:spacing w:line="600" w:lineRule="exact"/>
        <w:ind w:firstLine="640" w:firstLineChars="200"/>
        <w:rPr>
          <w:rFonts w:hint="eastAsia" w:eastAsia="仿宋_GB2312"/>
          <w:sz w:val="32"/>
          <w:szCs w:val="32"/>
        </w:rPr>
      </w:pPr>
      <w:r>
        <w:rPr>
          <w:rFonts w:hint="eastAsia" w:ascii="仿宋_GB2312" w:eastAsia="仿宋_GB2312"/>
          <w:sz w:val="32"/>
          <w:szCs w:val="32"/>
        </w:rPr>
        <w:t>在新技术新业务信息安全评估方面，贵州移动没有对新技术新业务评估联系人工作机制进行明确，建议贵州移动信息安全办公室在现有的新技术新业务信息安全评估管理办法中增加联系人工作机制相关内容，如要求各部门指定相关的联系人，并上报信息安全管理中心，变更时重新上报等。</w:t>
      </w:r>
    </w:p>
    <w:p>
      <w:pPr>
        <w:pStyle w:val="3"/>
        <w:spacing w:before="0" w:after="0" w:line="240" w:lineRule="auto"/>
        <w:rPr>
          <w:rFonts w:ascii="Times New Roman" w:hAnsi="Times New Roman" w:eastAsia="仿宋_GB2312"/>
        </w:rPr>
      </w:pPr>
      <w:bookmarkStart w:id="17" w:name="_Toc500926014"/>
      <w:r>
        <w:rPr>
          <w:rFonts w:ascii="Times New Roman" w:hAnsi="Times New Roman" w:eastAsia="仿宋_GB2312"/>
        </w:rPr>
        <w:t xml:space="preserve">4.2 </w:t>
      </w:r>
      <w:r>
        <w:rPr>
          <w:rFonts w:hint="eastAsia" w:ascii="Times New Roman" w:hAnsi="Times New Roman" w:eastAsia="仿宋_GB2312"/>
        </w:rPr>
        <w:t>应急管理措施介绍</w:t>
      </w:r>
      <w:bookmarkEnd w:id="17"/>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贵州移动的应急管理分为“自查整改”、“应急处置”、“总结”三个阶段。</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1.自查整改。针对网络安全防护开展自查工作、对网络基础设施安全监测预警、加强对.CN域名系统网络安全应急、加强公共互联网安全威胁专项治理、加强重要信息系统网络安全支撑、加强网上舆情和有害信息管控、加强内容安全风险防控、加强业务安全三同步落实、做好网络安全对外支撑应急工作、加大终端及应用安全管理力度、落实企业信息安全责任、强化大数据安全管理及客户信息保护、开展专项行动营造良好网络环境、强化第三方信息安全管理等。</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2.应急处置。</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对事件进行分类，包括（1）业务安全事件；（2）系统与网络安全事件；（3）信息泄露安全事件；（4）垃圾短信安全事件；（5）不良信息安全事件。</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对事件进行分级，根据安全事件对国家安全、社会稳定、公众利益、公司利益和声誉的影响程度，重大安全突发安全事件可分为特别重大（一级）、重大（二级）、较大（三级）和一般（四级）四个级别。</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应急处置的相关具体措施：对于网络安全事件包括封锁、缓解、消除、追踪、恢复；对于网页篡改事件包括恢复被篡改页面、服务器下线处理、分析web应用日志、分析操作系统日志、分析系统目录和异常文件、分析系统服务、分析系统进程、分析系统对外通讯、分析第三方设备记录的相关日志、部署WAF设备等；对于不良信息安全事件包括封闭发散不良信息的源头、严格监控对WEB系统及信息发布服务端的访问和登录情况、紧急情况下将web服务器及信息发布服务端设备下线、必要时将发生安全事件的WEB设备及信息发布服务端进行脱网、进行不良信息安全事件分析与处理、部署不良信息监控系统等。</w:t>
      </w:r>
    </w:p>
    <w:p>
      <w:pPr>
        <w:spacing w:line="600" w:lineRule="exact"/>
        <w:ind w:firstLine="640" w:firstLineChars="200"/>
        <w:rPr>
          <w:rFonts w:hint="eastAsia" w:ascii="仿宋_GB2312" w:eastAsia="仿宋_GB2312"/>
          <w:sz w:val="32"/>
          <w:szCs w:val="32"/>
        </w:rPr>
      </w:pPr>
      <w:r>
        <w:rPr>
          <w:rFonts w:hint="eastAsia" w:ascii="仿宋_GB2312" w:eastAsia="仿宋_GB2312"/>
          <w:sz w:val="32"/>
          <w:szCs w:val="32"/>
        </w:rPr>
        <w:t>3.总结。事发部门应组织事件调查组，对事件进行调查，全面评估突发安全事件损失，总结经验，吸取教训，提出防护措施或改进建议，并根据问责制对有关责任人员作出处理。同时各相关单位要提高全员防范意识和应急处置能力。要将信息安全事件的应急管理、工作流程等列为管理干部的培训内容，增强应急处置工作的组织能力。要加强对网络安全事件的技术培训，提高技术人员的防范意识及技能。</w:t>
      </w:r>
    </w:p>
    <w:p>
      <w:pPr>
        <w:pStyle w:val="3"/>
        <w:spacing w:before="0" w:after="0" w:line="240" w:lineRule="auto"/>
        <w:rPr>
          <w:rFonts w:ascii="Times New Roman" w:hAnsi="Times New Roman" w:eastAsia="仿宋_GB2312"/>
        </w:rPr>
      </w:pPr>
      <w:bookmarkStart w:id="18" w:name="_Toc500926015"/>
      <w:r>
        <w:rPr>
          <w:rFonts w:ascii="Times New Roman" w:hAnsi="Times New Roman" w:eastAsia="仿宋_GB2312"/>
        </w:rPr>
        <w:t xml:space="preserve">4.3 </w:t>
      </w:r>
      <w:r>
        <w:rPr>
          <w:rFonts w:hint="eastAsia" w:ascii="Times New Roman" w:hAnsi="Times New Roman" w:eastAsia="仿宋_GB2312"/>
        </w:rPr>
        <w:t>安全保障能力分析表</w:t>
      </w:r>
      <w:bookmarkEnd w:id="18"/>
    </w:p>
    <w:tbl>
      <w:tblPr>
        <w:tblStyle w:val="54"/>
        <w:tblW w:w="90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5046"/>
        <w:gridCol w:w="1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95" w:hRule="atLeast"/>
          <w:jc w:val="center"/>
        </w:trPr>
        <w:tc>
          <w:tcPr>
            <w:tcW w:w="959" w:type="dxa"/>
            <w:shd w:val="clear" w:color="000000" w:fill="C0C0C0"/>
            <w:noWrap w:val="0"/>
            <w:vAlign w:val="top"/>
          </w:tcPr>
          <w:p>
            <w:pPr>
              <w:widowControl/>
              <w:jc w:val="center"/>
              <w:rPr>
                <w:rFonts w:ascii="宋体" w:hAnsi="宋体"/>
                <w:b/>
                <w:bCs/>
                <w:kern w:val="0"/>
                <w:sz w:val="18"/>
                <w:szCs w:val="18"/>
              </w:rPr>
            </w:pPr>
            <w:r>
              <w:rPr>
                <w:rFonts w:hint="eastAsia" w:ascii="宋体" w:hAnsi="宋体"/>
                <w:b/>
                <w:bCs/>
                <w:kern w:val="0"/>
                <w:sz w:val="18"/>
                <w:szCs w:val="18"/>
              </w:rPr>
              <w:t>保障能力类型</w:t>
            </w:r>
          </w:p>
        </w:tc>
        <w:tc>
          <w:tcPr>
            <w:tcW w:w="1276" w:type="dxa"/>
            <w:shd w:val="clear" w:color="000000" w:fill="C0C0C0"/>
            <w:noWrap w:val="0"/>
            <w:vAlign w:val="center"/>
          </w:tcPr>
          <w:p>
            <w:pPr>
              <w:widowControl/>
              <w:jc w:val="center"/>
              <w:rPr>
                <w:rFonts w:ascii="宋体" w:hAnsi="宋体"/>
                <w:b/>
                <w:bCs/>
                <w:kern w:val="0"/>
                <w:sz w:val="18"/>
                <w:szCs w:val="18"/>
              </w:rPr>
            </w:pPr>
            <w:r>
              <w:rPr>
                <w:rFonts w:ascii="宋体" w:hAnsi="宋体"/>
                <w:b/>
                <w:bCs/>
                <w:kern w:val="0"/>
                <w:sz w:val="18"/>
                <w:szCs w:val="18"/>
              </w:rPr>
              <w:t>BZ</w:t>
            </w:r>
            <w:r>
              <w:rPr>
                <w:rFonts w:hint="eastAsia" w:ascii="宋体" w:hAnsi="宋体"/>
                <w:b/>
                <w:bCs/>
                <w:kern w:val="0"/>
                <w:sz w:val="18"/>
                <w:szCs w:val="18"/>
              </w:rPr>
              <w:t>编号</w:t>
            </w:r>
          </w:p>
        </w:tc>
        <w:tc>
          <w:tcPr>
            <w:tcW w:w="5046" w:type="dxa"/>
            <w:shd w:val="clear" w:color="000000" w:fill="C0C0C0"/>
            <w:noWrap w:val="0"/>
            <w:vAlign w:val="center"/>
          </w:tcPr>
          <w:p>
            <w:pPr>
              <w:widowControl/>
              <w:jc w:val="center"/>
              <w:rPr>
                <w:rFonts w:ascii="宋体" w:hAnsi="宋体"/>
                <w:b/>
                <w:bCs/>
                <w:kern w:val="0"/>
                <w:sz w:val="18"/>
                <w:szCs w:val="18"/>
              </w:rPr>
            </w:pPr>
            <w:r>
              <w:rPr>
                <w:rFonts w:hint="eastAsia" w:ascii="宋体" w:hAnsi="宋体"/>
                <w:b/>
                <w:bCs/>
                <w:kern w:val="0"/>
                <w:sz w:val="18"/>
                <w:szCs w:val="18"/>
              </w:rPr>
              <w:t>企业保障能力评估要点</w:t>
            </w:r>
          </w:p>
        </w:tc>
        <w:tc>
          <w:tcPr>
            <w:tcW w:w="1757" w:type="dxa"/>
            <w:shd w:val="clear" w:color="000000" w:fill="C0C0C0"/>
            <w:noWrap w:val="0"/>
            <w:vAlign w:val="center"/>
          </w:tcPr>
          <w:p>
            <w:pPr>
              <w:widowControl/>
              <w:jc w:val="center"/>
              <w:rPr>
                <w:rFonts w:ascii="宋体" w:hAnsi="宋体"/>
                <w:b/>
                <w:bCs/>
                <w:kern w:val="0"/>
                <w:sz w:val="18"/>
                <w:szCs w:val="18"/>
              </w:rPr>
            </w:pPr>
            <w:r>
              <w:rPr>
                <w:rFonts w:hint="eastAsia" w:ascii="宋体" w:hAnsi="宋体"/>
                <w:b/>
                <w:bCs/>
                <w:kern w:val="0"/>
                <w:sz w:val="18"/>
                <w:szCs w:val="18"/>
              </w:rPr>
              <w:t>评估意见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88"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业务应用安全风险</w:t>
            </w:r>
          </w:p>
        </w:tc>
        <w:tc>
          <w:tcPr>
            <w:tcW w:w="1276" w:type="dxa"/>
            <w:noWrap w:val="0"/>
            <w:vAlign w:val="center"/>
          </w:tcPr>
          <w:p>
            <w:pPr>
              <w:jc w:val="center"/>
              <w:rPr>
                <w:rFonts w:ascii="宋体" w:hAnsi="宋体"/>
                <w:sz w:val="18"/>
                <w:szCs w:val="18"/>
              </w:rPr>
            </w:pPr>
            <w:r>
              <w:rPr>
                <w:rFonts w:ascii="宋体" w:hAnsi="宋体"/>
                <w:sz w:val="18"/>
                <w:szCs w:val="18"/>
              </w:rPr>
              <w:t>01-BZ-01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评估人员通过人员访谈、文件审查等方式，了解是否建立了业务上线前、或用户规模发生较大变化时及时开展评估工作的管理制度，并查看历史评估报告。</w:t>
            </w:r>
          </w:p>
        </w:tc>
        <w:tc>
          <w:tcPr>
            <w:tcW w:w="1757" w:type="dxa"/>
            <w:vMerge w:val="restart"/>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87"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评估人员通过人员访谈、文件审查等方式，了解是否建立了业务上线前、或用户规模发生较大变化时及时开展评估工作的管理制度，并查看评估报告。</w:t>
            </w:r>
          </w:p>
        </w:tc>
        <w:tc>
          <w:tcPr>
            <w:tcW w:w="1757" w:type="dxa"/>
            <w:vMerge w:val="continue"/>
            <w:noWrap w:val="0"/>
            <w:vAlign w:val="center"/>
          </w:tcPr>
          <w:p>
            <w:pPr>
              <w:widowControl/>
              <w:jc w:val="center"/>
              <w:rPr>
                <w:rFonts w:ascii="宋体" w:hAnsi="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0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评估人员通过人员访谈、文件审查等方式，了解是否建立了业务上线前、用户规模发生较大变化、或业务功能发生较大变化时及时开展评估工作的管理制度，并查看评估报告。</w:t>
            </w:r>
          </w:p>
        </w:tc>
        <w:tc>
          <w:tcPr>
            <w:tcW w:w="1757" w:type="dxa"/>
            <w:vMerge w:val="continue"/>
            <w:noWrap w:val="0"/>
            <w:vAlign w:val="center"/>
          </w:tcPr>
          <w:p>
            <w:pPr>
              <w:widowControl/>
              <w:jc w:val="center"/>
              <w:rPr>
                <w:rFonts w:ascii="宋体" w:hAnsi="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72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评估人员通过使用验证，针对存在信息发布功能的业务，完成一次用户注册操作，确认是否在注册环节要求用户提供真实身份信息，并通过短信等方式进行验证。</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4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评估人员通过演示查验方式，模拟普通用户变更身份相关信息（如手机号码等），查看是否进行验证。</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评估人员需查看系统后台记录，是否留存用户身份信息变更日志记录及日志记录内容。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89"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01-BZ-07</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评估人员通过测试验证的方式，访问应用的登录界面，查看登录时是否采用人机交互验证策略和机制。</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69"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01-BZ-08</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评估人员通过测试验证的方式，使用网络抓包分析工具抓取登录数据包，查看是否在登录操作的通信过程中是否采用</w:t>
            </w:r>
            <w:r>
              <w:rPr>
                <w:rFonts w:ascii="宋体" w:hAnsi="宋体"/>
                <w:kern w:val="0"/>
                <w:sz w:val="18"/>
                <w:szCs w:val="18"/>
              </w:rPr>
              <w:t>SSL/TLS</w:t>
            </w:r>
            <w:r>
              <w:rPr>
                <w:rFonts w:hint="eastAsia" w:ascii="宋体" w:hAnsi="宋体"/>
                <w:kern w:val="0"/>
                <w:sz w:val="18"/>
                <w:szCs w:val="18"/>
              </w:rPr>
              <w:t>协议或者其他加密协议确保用户密码的传输安全。</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18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01-BZ-09</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评估人员通过测试验证的方式，使用网页分析工具查看是否在</w:t>
            </w:r>
            <w:r>
              <w:rPr>
                <w:rFonts w:ascii="宋体" w:hAnsi="宋体"/>
                <w:kern w:val="0"/>
                <w:sz w:val="18"/>
                <w:szCs w:val="18"/>
              </w:rPr>
              <w:t>COOKIE</w:t>
            </w:r>
            <w:r>
              <w:rPr>
                <w:rFonts w:hint="eastAsia" w:ascii="宋体" w:hAnsi="宋体"/>
                <w:kern w:val="0"/>
                <w:sz w:val="18"/>
                <w:szCs w:val="18"/>
              </w:rPr>
              <w:t>中保存用户密码。</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4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01-BZ-10</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评估人员通过测试验证的方式，检查是否存在用户弱口令。</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1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评估人员通过测试验证的方式，检查业务系统的身份认证失效机制是否能够按照制定的密码更换周期进行有效提示更新。</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3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评估人员通过测试验证的方式，检查业务系统的会话失效机制是否能够按照制定的失效时间进行有效执行。</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1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评估人员通过测试验证的方式，使用错误的或禁用的账号密码</w:t>
            </w:r>
            <w:r>
              <w:rPr>
                <w:rFonts w:ascii="宋体" w:hAnsi="宋体"/>
                <w:kern w:val="0"/>
                <w:sz w:val="18"/>
                <w:szCs w:val="18"/>
              </w:rPr>
              <w:t>/</w:t>
            </w:r>
            <w:r>
              <w:rPr>
                <w:rFonts w:hint="eastAsia" w:ascii="宋体" w:hAnsi="宋体"/>
                <w:kern w:val="0"/>
                <w:sz w:val="18"/>
                <w:szCs w:val="18"/>
              </w:rPr>
              <w:t>其他认证</w:t>
            </w:r>
            <w:r>
              <w:rPr>
                <w:rFonts w:ascii="宋体" w:hAnsi="宋体"/>
                <w:kern w:val="0"/>
                <w:sz w:val="18"/>
                <w:szCs w:val="18"/>
              </w:rPr>
              <w:t>/</w:t>
            </w:r>
            <w:r>
              <w:rPr>
                <w:rFonts w:hint="eastAsia" w:ascii="宋体" w:hAnsi="宋体"/>
                <w:kern w:val="0"/>
                <w:sz w:val="18"/>
                <w:szCs w:val="18"/>
              </w:rPr>
              <w:t>验证码等登录，尝试访问先前正常登陆账号能访问的页面，检查身份认证失效机制和会话失效机制能否仍能有效执行。</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58"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评估人员通过测试验证的方式，查看认证错误提示是否存在泄露信息，当认证失败时，向用户提供的错误信息不应该区分是账号错误还是密码错误，而是通用的提示信息。</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5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评估人员通过人员访谈、文件审查等方式，查看是否建立了用户身份信息保护相关管理制度。</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9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评估人员通过人员访谈、使用验证等方式，查看是否配套了必要的技术手段保障用户身份信息的保密性和完整性。</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103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01-BZ-17</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评估人员通过人员访谈等方式，了解是否建立覆盖业务所有内容及信息格式的违法信息监测处置的工作机制和技术手段；如是，询问技术手段实现途径与违法信息监测处置流程。</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84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01-BZ-18</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评估人员通过演示查验等方式，查看是否留存删除日志记录，查看是否能够调取相关记录。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2"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01-BZ-19</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评估人员查看是否建立违法信息样本库，查看违法信息样本库的更新记录。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1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01-BZ-20</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评估人员注册账号，以用户身份发送测试性的含有违法信息的文字、图像、音频、视频等，确认信息能否发送成功。</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58"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评估人员注册账号，以用户身份实际发送含有违法信息的文字、图像、音频、视频等，确认信息能否发送成功。</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9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评估人员通过人员访谈、演示查验等方式，检查是否对图片、语音、视频或小语种等公共信息建立了先审后发机制。</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9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评估人员通过人员访谈、演示查验等方式，检查公共信息的审核是否采用了技术加人工方式。</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38"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评估人员通过人员访谈、使用测试等方式，查看在业务使用过程中，是否配备了用户真实身份鉴别管理制度和技术手段。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7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评估人员通过测试验证方式，针对具备第三方</w:t>
            </w:r>
            <w:r>
              <w:rPr>
                <w:rFonts w:ascii="宋体" w:hAnsi="宋体"/>
                <w:kern w:val="0"/>
                <w:sz w:val="18"/>
                <w:szCs w:val="18"/>
              </w:rPr>
              <w:t>/</w:t>
            </w:r>
            <w:r>
              <w:rPr>
                <w:rFonts w:hint="eastAsia" w:ascii="宋体" w:hAnsi="宋体"/>
                <w:kern w:val="0"/>
                <w:sz w:val="18"/>
                <w:szCs w:val="18"/>
              </w:rPr>
              <w:t>用户发布信息功能的业务，实际完成一次注册操作，查看在注册环节，是否明确告知用户禁止发布、复制、传播违法信息。</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42"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评估人员查看用户注册协议，针对具备第三方</w:t>
            </w:r>
            <w:r>
              <w:rPr>
                <w:rFonts w:ascii="宋体" w:hAnsi="宋体"/>
                <w:kern w:val="0"/>
                <w:sz w:val="18"/>
                <w:szCs w:val="18"/>
              </w:rPr>
              <w:t>/</w:t>
            </w:r>
            <w:r>
              <w:rPr>
                <w:rFonts w:hint="eastAsia" w:ascii="宋体" w:hAnsi="宋体"/>
                <w:kern w:val="0"/>
                <w:sz w:val="18"/>
                <w:szCs w:val="18"/>
              </w:rPr>
              <w:t>用户发布信息功能的业务</w:t>
            </w:r>
            <w:r>
              <w:rPr>
                <w:rFonts w:ascii="宋体" w:hAnsi="宋体"/>
                <w:kern w:val="0"/>
                <w:sz w:val="18"/>
                <w:szCs w:val="18"/>
              </w:rPr>
              <w:t>,</w:t>
            </w:r>
            <w:r>
              <w:rPr>
                <w:rFonts w:hint="eastAsia" w:ascii="宋体" w:hAnsi="宋体"/>
                <w:kern w:val="0"/>
                <w:sz w:val="18"/>
                <w:szCs w:val="18"/>
              </w:rPr>
              <w:t>检查是否明确要求用户承诺遵守法律法规</w:t>
            </w:r>
            <w:r>
              <w:rPr>
                <w:rFonts w:ascii="宋体" w:hAnsi="宋体"/>
                <w:kern w:val="0"/>
                <w:sz w:val="18"/>
                <w:szCs w:val="18"/>
              </w:rPr>
              <w:t>(</w:t>
            </w:r>
            <w:r>
              <w:rPr>
                <w:rFonts w:hint="eastAsia" w:ascii="宋体" w:hAnsi="宋体"/>
                <w:kern w:val="0"/>
                <w:sz w:val="18"/>
                <w:szCs w:val="18"/>
              </w:rPr>
              <w:t>《互联网信息服务管理办法》第十五条</w:t>
            </w:r>
            <w:r>
              <w:rPr>
                <w:rFonts w:ascii="宋体" w:hAnsi="宋体"/>
                <w:kern w:val="0"/>
                <w:sz w:val="18"/>
                <w:szCs w:val="18"/>
              </w:rPr>
              <w:t>)</w:t>
            </w:r>
            <w:r>
              <w:rPr>
                <w:rFonts w:hint="eastAsia" w:ascii="宋体" w:hAnsi="宋体"/>
                <w:kern w:val="0"/>
                <w:sz w:val="18"/>
                <w:szCs w:val="18"/>
              </w:rPr>
              <w:t>、社会主义制度、国家利益、公民合法权益、公共秩序、社会道德风尚和信息真实性等七条底线。</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4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01-BZ-27</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评估人员对用户管理人员进行访谈，针对具备第三方</w:t>
            </w:r>
            <w:r>
              <w:rPr>
                <w:rFonts w:ascii="宋体" w:hAnsi="宋体"/>
                <w:kern w:val="0"/>
                <w:sz w:val="18"/>
                <w:szCs w:val="18"/>
              </w:rPr>
              <w:t>/</w:t>
            </w:r>
            <w:r>
              <w:rPr>
                <w:rFonts w:hint="eastAsia" w:ascii="宋体" w:hAnsi="宋体"/>
                <w:kern w:val="0"/>
                <w:sz w:val="18"/>
                <w:szCs w:val="18"/>
              </w:rPr>
              <w:t>用户发布信息功能的业务，询问是否根据累计发送违法信息次数等参数对个人账号、公众账号、聊天群组进行安全等级划分；如是，询问等级划分梯度、各等级违法信息处置机制及实现方式等。</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4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01-BZ-28</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评估人员查验系统配置情况，针对具备第三方</w:t>
            </w:r>
            <w:r>
              <w:rPr>
                <w:rFonts w:ascii="宋体" w:hAnsi="宋体"/>
                <w:kern w:val="0"/>
                <w:sz w:val="18"/>
                <w:szCs w:val="18"/>
              </w:rPr>
              <w:t>/</w:t>
            </w:r>
            <w:r>
              <w:rPr>
                <w:rFonts w:hint="eastAsia" w:ascii="宋体" w:hAnsi="宋体"/>
                <w:kern w:val="0"/>
                <w:sz w:val="18"/>
                <w:szCs w:val="18"/>
              </w:rPr>
              <w:t>用户发布信息功能的业务，针对个人账号、公众账号、聊天群组后台数据中是否有安全等级划分及配置相应的处置策略。</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18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01-BZ-29</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评估人员查看人员配备文件，针对具备第三方</w:t>
            </w:r>
            <w:r>
              <w:rPr>
                <w:rFonts w:ascii="宋体" w:hAnsi="宋体"/>
                <w:kern w:val="0"/>
                <w:sz w:val="18"/>
                <w:szCs w:val="18"/>
              </w:rPr>
              <w:t>/</w:t>
            </w:r>
            <w:r>
              <w:rPr>
                <w:rFonts w:hint="eastAsia" w:ascii="宋体" w:hAnsi="宋体"/>
                <w:kern w:val="0"/>
                <w:sz w:val="18"/>
                <w:szCs w:val="18"/>
              </w:rPr>
              <w:t>用户发布信息功能的业务，查看是否配备专门人员管理公众账号，文件中是否含有人员名单和工作联系方式。</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132"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01-BZ-30</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评估人员查看制度文件、工作手册等，针对具备第三方</w:t>
            </w:r>
            <w:r>
              <w:rPr>
                <w:rFonts w:ascii="宋体" w:hAnsi="宋体"/>
                <w:kern w:val="0"/>
                <w:sz w:val="18"/>
                <w:szCs w:val="18"/>
              </w:rPr>
              <w:t>/</w:t>
            </w:r>
            <w:r>
              <w:rPr>
                <w:rFonts w:hint="eastAsia" w:ascii="宋体" w:hAnsi="宋体"/>
                <w:kern w:val="0"/>
                <w:sz w:val="18"/>
                <w:szCs w:val="18"/>
              </w:rPr>
              <w:t>用户发布信息功能的业务，是否含有针对公众账号发布的公开信息内容作违法信息日常监测巡查的机制和管理要求。</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804"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评估人员对公众账号管理人员进行访谈，针对具备第三方</w:t>
            </w:r>
            <w:r>
              <w:rPr>
                <w:rFonts w:ascii="宋体" w:hAnsi="宋体"/>
                <w:kern w:val="0"/>
                <w:sz w:val="18"/>
                <w:szCs w:val="18"/>
              </w:rPr>
              <w:t>/</w:t>
            </w:r>
            <w:r>
              <w:rPr>
                <w:rFonts w:hint="eastAsia" w:ascii="宋体" w:hAnsi="宋体"/>
                <w:kern w:val="0"/>
                <w:sz w:val="18"/>
                <w:szCs w:val="18"/>
              </w:rPr>
              <w:t>用户发布信息功能的业务，询问违法信息处置方式和流程，是否有相关处置工作的记录。</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4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评估人员实际完成一次群组创建，检查是否明示群组人数上限，是否明确告知：</w:t>
            </w:r>
            <w:r>
              <w:rPr>
                <w:rFonts w:ascii="宋体" w:hAnsi="宋体"/>
                <w:kern w:val="0"/>
                <w:sz w:val="18"/>
                <w:szCs w:val="18"/>
              </w:rPr>
              <w:br w:type="textWrapping"/>
            </w:r>
            <w:r>
              <w:rPr>
                <w:rFonts w:ascii="宋体" w:hAnsi="宋体"/>
                <w:kern w:val="0"/>
                <w:sz w:val="18"/>
                <w:szCs w:val="18"/>
              </w:rPr>
              <w:t xml:space="preserve">a) </w:t>
            </w:r>
            <w:r>
              <w:rPr>
                <w:rFonts w:hint="eastAsia" w:ascii="宋体" w:hAnsi="宋体"/>
                <w:kern w:val="0"/>
                <w:sz w:val="18"/>
                <w:szCs w:val="18"/>
              </w:rPr>
              <w:t>不得复制、发布、传播违法信息；</w:t>
            </w:r>
            <w:r>
              <w:rPr>
                <w:rFonts w:ascii="宋体" w:hAnsi="宋体"/>
                <w:kern w:val="0"/>
                <w:sz w:val="18"/>
                <w:szCs w:val="18"/>
              </w:rPr>
              <w:br w:type="textWrapping"/>
            </w:r>
            <w:r>
              <w:rPr>
                <w:rFonts w:ascii="宋体" w:hAnsi="宋体"/>
                <w:kern w:val="0"/>
                <w:sz w:val="18"/>
                <w:szCs w:val="18"/>
              </w:rPr>
              <w:t xml:space="preserve">b) </w:t>
            </w:r>
            <w:r>
              <w:rPr>
                <w:rFonts w:hint="eastAsia" w:ascii="宋体" w:hAnsi="宋体"/>
                <w:kern w:val="0"/>
                <w:sz w:val="18"/>
                <w:szCs w:val="18"/>
              </w:rPr>
              <w:t>群创建者和群管理者对群组负有管理责任，需承诺本群组不发布、传播违法信息。</w:t>
            </w:r>
          </w:p>
        </w:tc>
        <w:tc>
          <w:tcPr>
            <w:tcW w:w="1757" w:type="dxa"/>
            <w:vMerge w:val="restart"/>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9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评估人员查验系统配置，是否对群组人数设置上限，是否对群组违法信息的发布、传播进行监测和处置。</w:t>
            </w:r>
          </w:p>
        </w:tc>
        <w:tc>
          <w:tcPr>
            <w:tcW w:w="1757" w:type="dxa"/>
            <w:vMerge w:val="continue"/>
            <w:noWrap w:val="0"/>
            <w:vAlign w:val="center"/>
          </w:tcPr>
          <w:p>
            <w:pPr>
              <w:widowControl/>
              <w:jc w:val="center"/>
              <w:rPr>
                <w:rFonts w:ascii="宋体" w:hAnsi="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评估人员通过人员访谈、文件审查等方式，针对具备第三方</w:t>
            </w:r>
            <w:r>
              <w:rPr>
                <w:rFonts w:ascii="宋体" w:hAnsi="宋体"/>
                <w:kern w:val="0"/>
                <w:sz w:val="18"/>
                <w:szCs w:val="18"/>
              </w:rPr>
              <w:t>/</w:t>
            </w:r>
            <w:r>
              <w:rPr>
                <w:rFonts w:hint="eastAsia" w:ascii="宋体" w:hAnsi="宋体"/>
                <w:kern w:val="0"/>
                <w:sz w:val="18"/>
                <w:szCs w:val="18"/>
              </w:rPr>
              <w:t>用户发布信息功能的业务，检查是否针对信息发布环节的链接转发、添加评论转发、跨平台分享等功能配套了违法信息监测和处置的管理机制和技术手段。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针对具备第三方</w:t>
            </w:r>
            <w:r>
              <w:rPr>
                <w:rFonts w:ascii="宋体" w:hAnsi="宋体"/>
                <w:kern w:val="0"/>
                <w:sz w:val="18"/>
                <w:szCs w:val="18"/>
              </w:rPr>
              <w:t>/</w:t>
            </w:r>
            <w:r>
              <w:rPr>
                <w:rFonts w:hint="eastAsia" w:ascii="宋体" w:hAnsi="宋体"/>
                <w:kern w:val="0"/>
                <w:sz w:val="18"/>
                <w:szCs w:val="18"/>
              </w:rPr>
              <w:t>用户发布信息功能的业务，评估人员分别实际使用一次链接转发、添加评论转发、跨平台分享功能，在有关位置输入违法信息关键字，验证信息是否发送成功。</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708"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针对具备第三方</w:t>
            </w:r>
            <w:r>
              <w:rPr>
                <w:rFonts w:ascii="宋体" w:hAnsi="宋体"/>
                <w:kern w:val="0"/>
                <w:sz w:val="18"/>
                <w:szCs w:val="18"/>
              </w:rPr>
              <w:t>/</w:t>
            </w:r>
            <w:r>
              <w:rPr>
                <w:rFonts w:hint="eastAsia" w:ascii="宋体" w:hAnsi="宋体"/>
                <w:kern w:val="0"/>
                <w:sz w:val="18"/>
                <w:szCs w:val="18"/>
              </w:rPr>
              <w:t>用户发布信息功能的业务，评估人员需使用业务，尝试在具有信息联动发布功能的业务平台上发布违法信息，或将违法有害信息分享至其他业务平台上，查看是否具备迅速切断同步或关联关系，并联动删除各关联平台上的违法信息的能力。</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42"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01-BZ-37</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评估人员需查看系统后台记录，查阅是否留存违法信息联动删除操作日志及日志记录内容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65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01-BZ-38</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评估人员需使用业务，查看在业务使用前，是否明确告知用户业务推送信息的种类，用户可自主选择是否接收信息，或在业务系统设置是否包含信息推送功能管理的选项，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01-BZ-39</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评估人员查看人员配备文件，查看是否配备专门人员管理公众账号，文件中是否含有人员名单和工作联系方式。</w:t>
            </w:r>
          </w:p>
        </w:tc>
        <w:tc>
          <w:tcPr>
            <w:tcW w:w="1757" w:type="dxa"/>
            <w:noWrap w:val="0"/>
            <w:vAlign w:val="center"/>
          </w:tcPr>
          <w:p>
            <w:pPr>
              <w:jc w:val="center"/>
              <w:rPr>
                <w:rFonts w:ascii="宋体" w:hAnsi="宋体"/>
                <w:kern w:val="0"/>
                <w:sz w:val="18"/>
                <w:szCs w:val="18"/>
              </w:rP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0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01-BZ-40</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评估人员查看制度文件、工作手册等，是否含有针对公众账号发布的公开信息内容作违法信息日常监测巡查的机制和管理要求</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8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01-BZ-41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评估人员对公众账号管理人员进行访谈，询问违法信息处置方式和流程，是否有相关处置工作的记录</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9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01-BZ-42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评估人员使用业务，在不同时间段针对业务平台进行若干次访问，或发布若干条公众信息，随后请导出相关的访问记录；或从日志留存系统页面展示相关记录。</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3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01-BZ-43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评估人员需提供一定查询条件，由相关人员在日志留存系统进行操作演示，验证日志留存系统的查询、检索和审计功能。</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5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01-BZ-44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对于已上线的业务，需请提供满足留存时间要求的日志记录；针对未上线的业务，需请提供日志留存系统设计文件，证明其能够满足留存时间要求。</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35"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业务平台安全风险</w:t>
            </w:r>
          </w:p>
        </w:tc>
        <w:tc>
          <w:tcPr>
            <w:tcW w:w="1276" w:type="dxa"/>
            <w:noWrap w:val="0"/>
            <w:vAlign w:val="center"/>
          </w:tcPr>
          <w:p>
            <w:pPr>
              <w:jc w:val="center"/>
              <w:rPr>
                <w:rFonts w:ascii="宋体" w:hAnsi="宋体"/>
                <w:sz w:val="18"/>
                <w:szCs w:val="18"/>
              </w:rPr>
            </w:pPr>
            <w:r>
              <w:rPr>
                <w:rFonts w:ascii="宋体" w:hAnsi="宋体"/>
                <w:sz w:val="18"/>
                <w:szCs w:val="18"/>
              </w:rPr>
              <w:t>02-BZ-01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评估人员需查看上报给主管部门的业务开办信息，包括业务机房</w:t>
            </w:r>
            <w:r>
              <w:rPr>
                <w:rFonts w:ascii="宋体" w:hAnsi="宋体"/>
                <w:kern w:val="0"/>
                <w:sz w:val="18"/>
                <w:szCs w:val="18"/>
              </w:rPr>
              <w:t>/</w:t>
            </w:r>
            <w:r>
              <w:rPr>
                <w:rFonts w:hint="eastAsia" w:ascii="宋体" w:hAnsi="宋体"/>
                <w:kern w:val="0"/>
                <w:sz w:val="18"/>
                <w:szCs w:val="18"/>
              </w:rPr>
              <w:t>节点列表、占用机房位置等，并与实际情况进行核对。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73"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评估人员需查看业务系统拓扑图，并访谈相关负责人员，询问针对境内外交互数据的管理制度，以及配套的技术监管手段。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169"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评估人员需查看业务后台系统实时运行数据和日志记录，核实是对资源分配使用情况进行实时监控和日志记录。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1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评估人员需查看关于违法信息监测处置制度文件和技术手段配备情况，核验侧是否可执行行业主管部门下发的违法信息监测和处置指令。</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1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评估人员需查看留存业务相关日志记录，核实日志的类型、内容和留存时间是否满足相关法律法规要求。</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9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评估人员需查看业务后台系统实时运行数据和日志记录，核实是对资源分配使用情况进行实时监控和日志记录。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20"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02-BZ-07</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评估人员需查看关于违法信息监测处置制度文件和技术手段配备情况，核验侧是否可执行行业主管部门下发的违法信息监测和处置指令；</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87"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02-BZ-08</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评估人员需向询问，是否对合作</w:t>
            </w:r>
            <w:r>
              <w:rPr>
                <w:rFonts w:ascii="宋体" w:hAnsi="宋体"/>
                <w:kern w:val="0"/>
                <w:sz w:val="18"/>
                <w:szCs w:val="18"/>
              </w:rPr>
              <w:t>/</w:t>
            </w:r>
            <w:r>
              <w:rPr>
                <w:rFonts w:hint="eastAsia" w:ascii="宋体" w:hAnsi="宋体"/>
                <w:kern w:val="0"/>
                <w:sz w:val="18"/>
                <w:szCs w:val="18"/>
              </w:rPr>
              <w:t>用户的业务经营许可资质进行核实，并留存相关资料；</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66"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02-BZ-09</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评估人员需查看与服务对象签订的协议中，是否包含用户需提供真实身份的内容；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415"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02-BZ-10</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评估人员需访谈相关负责人，询问是否建立了针对合作信息安全保障能力（管理制度和技术手段）评估机制；</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02-BZ-11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评估人员访谈相关负责人，询问是否通过开放接口进行交互的数据建立了安全审核机制和技术保障手段。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jc w:val="center"/>
              <w:rPr>
                <w:rFonts w:ascii="宋体" w:hAnsi="宋体"/>
                <w:kern w:val="0"/>
                <w:sz w:val="18"/>
                <w:szCs w:val="18"/>
              </w:rPr>
            </w:pPr>
            <w:r>
              <w:rPr>
                <w:rFonts w:ascii="宋体" w:hAnsi="宋体"/>
                <w:kern w:val="0"/>
                <w:sz w:val="18"/>
                <w:szCs w:val="18"/>
              </w:rPr>
              <w:t>Web</w:t>
            </w:r>
            <w:r>
              <w:rPr>
                <w:rFonts w:hint="eastAsia" w:ascii="宋体" w:hAnsi="宋体"/>
                <w:kern w:val="0"/>
                <w:sz w:val="18"/>
                <w:szCs w:val="18"/>
              </w:rPr>
              <w:t>应用安全风险</w:t>
            </w:r>
          </w:p>
        </w:tc>
        <w:tc>
          <w:tcPr>
            <w:tcW w:w="1276" w:type="dxa"/>
            <w:noWrap w:val="0"/>
            <w:vAlign w:val="center"/>
          </w:tcPr>
          <w:p>
            <w:pPr>
              <w:jc w:val="center"/>
              <w:rPr>
                <w:rFonts w:ascii="宋体" w:hAnsi="宋体"/>
                <w:sz w:val="18"/>
                <w:szCs w:val="18"/>
              </w:rPr>
            </w:pPr>
            <w:r>
              <w:rPr>
                <w:rFonts w:ascii="宋体" w:hAnsi="宋体"/>
                <w:sz w:val="18"/>
                <w:szCs w:val="18"/>
              </w:rPr>
              <w:t>03-BZ-01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评估人员通过测试验证的方式，分别登陆不同级账号，检查不同级账号在分级页面的权限区别，以确认是否存在不同级别账号的管控。</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评估人员通过测试验证的方式，登陆超级账户或高权限账户，查看应用是否使用额外的物理验证设备、限制登陆</w:t>
            </w:r>
            <w:r>
              <w:rPr>
                <w:rFonts w:ascii="宋体" w:hAnsi="宋体"/>
                <w:kern w:val="0"/>
                <w:sz w:val="18"/>
                <w:szCs w:val="18"/>
              </w:rPr>
              <w:t>IP</w:t>
            </w:r>
            <w:r>
              <w:rPr>
                <w:rFonts w:hint="eastAsia" w:ascii="宋体" w:hAnsi="宋体"/>
                <w:kern w:val="0"/>
                <w:sz w:val="18"/>
                <w:szCs w:val="18"/>
              </w:rPr>
              <w:t>或登陆设备手段等对超级账户或高权限账户的使用做出限制。</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评估人员通过人员访谈的方式，查看是否对业务应用运行状况进行日志记录。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评估人员通过演示查验的方式，查看是否对用户的关键操作、重要行为、业务资源使用情况等重要事件进行日志记录。</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评估人员通过演示查验的方式，查看日志的留存时间长度是否能追溯到最近的</w:t>
            </w:r>
            <w:r>
              <w:rPr>
                <w:rFonts w:ascii="宋体" w:hAnsi="宋体"/>
                <w:kern w:val="0"/>
                <w:sz w:val="18"/>
                <w:szCs w:val="18"/>
              </w:rPr>
              <w:t>6</w:t>
            </w:r>
            <w:r>
              <w:rPr>
                <w:rFonts w:hint="eastAsia" w:ascii="宋体" w:hAnsi="宋体"/>
                <w:kern w:val="0"/>
                <w:sz w:val="18"/>
                <w:szCs w:val="18"/>
              </w:rPr>
              <w:t>个月内。</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评估人员通过测试验证的方式，采用</w:t>
            </w:r>
            <w:r>
              <w:rPr>
                <w:rFonts w:ascii="宋体" w:hAnsi="宋体"/>
                <w:kern w:val="0"/>
                <w:sz w:val="18"/>
                <w:szCs w:val="18"/>
              </w:rPr>
              <w:t>Web</w:t>
            </w:r>
            <w:r>
              <w:rPr>
                <w:rFonts w:hint="eastAsia" w:ascii="宋体" w:hAnsi="宋体"/>
                <w:kern w:val="0"/>
                <w:sz w:val="18"/>
                <w:szCs w:val="18"/>
              </w:rPr>
              <w:t>应用漏洞扫描工具对系统的</w:t>
            </w:r>
            <w:r>
              <w:rPr>
                <w:rFonts w:ascii="宋体" w:hAnsi="宋体"/>
                <w:kern w:val="0"/>
                <w:sz w:val="18"/>
                <w:szCs w:val="18"/>
              </w:rPr>
              <w:t>Web</w:t>
            </w:r>
            <w:r>
              <w:rPr>
                <w:rFonts w:hint="eastAsia" w:ascii="宋体" w:hAnsi="宋体"/>
                <w:kern w:val="0"/>
                <w:sz w:val="18"/>
                <w:szCs w:val="18"/>
              </w:rPr>
              <w:t>应用服务及相关协议进行漏洞扫描。</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03-BZ-07</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文件审查和测试验证的方式，查看应用系统与安全设备配置安全规范或软件安全开发规范中是否有要求对应用会话并发连接数做出限制，并采用压力测试工具和抓包工具进行测试验证，查看实际并发会话通讯情况是否属实。</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客户端安全风险</w:t>
            </w:r>
          </w:p>
        </w:tc>
        <w:tc>
          <w:tcPr>
            <w:tcW w:w="1276" w:type="dxa"/>
            <w:noWrap w:val="0"/>
            <w:vAlign w:val="center"/>
          </w:tcPr>
          <w:p>
            <w:pPr>
              <w:jc w:val="center"/>
              <w:rPr>
                <w:rFonts w:ascii="宋体" w:hAnsi="宋体"/>
                <w:sz w:val="18"/>
                <w:szCs w:val="18"/>
              </w:rPr>
            </w:pPr>
            <w:r>
              <w:rPr>
                <w:rFonts w:ascii="宋体" w:hAnsi="宋体"/>
                <w:sz w:val="18"/>
                <w:szCs w:val="18"/>
              </w:rPr>
              <w:t>04-BZ-01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评估人员通过测试验证的方式，检查客户端软件的应用版本的更新机制是否正常。</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评估人员通过验证测试的方式，采用</w:t>
            </w:r>
            <w:r>
              <w:rPr>
                <w:rFonts w:ascii="宋体" w:hAnsi="宋体"/>
                <w:kern w:val="0"/>
                <w:sz w:val="18"/>
                <w:szCs w:val="18"/>
              </w:rPr>
              <w:t>Android</w:t>
            </w:r>
            <w:r>
              <w:rPr>
                <w:rFonts w:hint="eastAsia" w:ascii="宋体" w:hAnsi="宋体"/>
                <w:kern w:val="0"/>
                <w:sz w:val="18"/>
                <w:szCs w:val="18"/>
              </w:rPr>
              <w:t>分析审计工具，分析移动应用在安装、运行、更新时，是否安装了其他应用。</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评估人员通过测试验证的方式，卸载已安装客户端软件，并检查程序文件是否有残留。</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评估人员通过测试验证方式，查看客户端中是否存在插件功能，若存在则应对运行的客户端中提供的插件进行规范性检查，插件应允许用户自主选择是否卸载，并且卸载后无残留。</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347"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评估人员通过测试验证的方式，采用网络抓包分析工具（</w:t>
            </w:r>
            <w:r>
              <w:rPr>
                <w:rFonts w:ascii="宋体" w:hAnsi="宋体"/>
                <w:kern w:val="0"/>
                <w:sz w:val="18"/>
                <w:szCs w:val="18"/>
              </w:rPr>
              <w:t>Burpsuite/Wireshark</w:t>
            </w:r>
            <w:r>
              <w:rPr>
                <w:rFonts w:hint="eastAsia" w:ascii="宋体" w:hAnsi="宋体"/>
                <w:kern w:val="0"/>
                <w:sz w:val="18"/>
                <w:szCs w:val="18"/>
              </w:rPr>
              <w:t>等），分析网络传输过程中的敏感数据信息是否加密。</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评估人员通过测试验证的方式，采用网络抓包分析工具（</w:t>
            </w:r>
            <w:r>
              <w:rPr>
                <w:rFonts w:ascii="宋体" w:hAnsi="宋体"/>
                <w:kern w:val="0"/>
                <w:sz w:val="18"/>
                <w:szCs w:val="18"/>
              </w:rPr>
              <w:t>Burpsuite/Wireshark</w:t>
            </w:r>
            <w:r>
              <w:rPr>
                <w:rFonts w:hint="eastAsia" w:ascii="宋体" w:hAnsi="宋体"/>
                <w:kern w:val="0"/>
                <w:sz w:val="18"/>
                <w:szCs w:val="18"/>
              </w:rPr>
              <w:t>等），分析网络传输过程中客户端软件的网络连接的频次是否进行了合理限制。</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04-BZ-07</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评估人员通过测试验证的方式，采用</w:t>
            </w:r>
            <w:r>
              <w:rPr>
                <w:rFonts w:ascii="宋体" w:hAnsi="宋体"/>
                <w:kern w:val="0"/>
                <w:sz w:val="18"/>
                <w:szCs w:val="18"/>
              </w:rPr>
              <w:t>Android</w:t>
            </w:r>
            <w:r>
              <w:rPr>
                <w:rFonts w:hint="eastAsia" w:ascii="宋体" w:hAnsi="宋体"/>
                <w:kern w:val="0"/>
                <w:sz w:val="18"/>
                <w:szCs w:val="18"/>
              </w:rPr>
              <w:t>分析审计工具，检查客户端的敏感权限使用情况，判断在涉及访问本地资源权限时是否正确提示用户授权情况。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04-BZ-08</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评估人员通过测试验证的方式，采用漏洞扫描工具，检查客户端业务系统是否存在高中危漏洞。</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业务逻辑安全风险</w:t>
            </w:r>
          </w:p>
        </w:tc>
        <w:tc>
          <w:tcPr>
            <w:tcW w:w="1276" w:type="dxa"/>
            <w:noWrap w:val="0"/>
            <w:vAlign w:val="center"/>
          </w:tcPr>
          <w:p>
            <w:pPr>
              <w:jc w:val="center"/>
              <w:rPr>
                <w:rFonts w:ascii="宋体" w:hAnsi="宋体"/>
                <w:sz w:val="18"/>
                <w:szCs w:val="18"/>
              </w:rPr>
            </w:pPr>
            <w:r>
              <w:rPr>
                <w:rFonts w:ascii="宋体" w:hAnsi="宋体"/>
                <w:sz w:val="18"/>
                <w:szCs w:val="18"/>
              </w:rPr>
              <w:t>05-BZ-01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评估人员通过人员访谈的方式，了解业务订购行为是否需用户认证后才会生效。</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05-BZ-02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评估人员通过演示查验的方式，检查出现超出业务阈值是否会给出安全提示。例如，若单日用同一手机号完成超过业务阀值的订购数量，应通过短信或邮件等形式给予用户安全提示。</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05-BZ-03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评估人员通过测试验证的方式，检查业务的实际配置策略是否严格遵照基线要求进行业务认证设置。</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05-BZ-04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评估人员通过测试验证的方式，检查在业务认证未通过时触发的保护策略是否正常运行。</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05-BZ-05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评估人员通过测试验证的方式，验证规范的措施是否正常履行，例如检查核心业务的保障措施是否设置阀值，超过阀值时是否给予提示。</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05-BZ-06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评估人员通过测试验证的方式，采用网络抓包工具进行数据修改重放测试，检测非授权或篡改后的数据能否被系统检测出异常。</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非授权采集风险</w:t>
            </w:r>
          </w:p>
        </w:tc>
        <w:tc>
          <w:tcPr>
            <w:tcW w:w="1276" w:type="dxa"/>
            <w:noWrap w:val="0"/>
            <w:vAlign w:val="center"/>
          </w:tcPr>
          <w:p>
            <w:pPr>
              <w:jc w:val="center"/>
              <w:rPr>
                <w:rFonts w:ascii="宋体" w:hAnsi="宋体"/>
                <w:sz w:val="18"/>
                <w:szCs w:val="18"/>
              </w:rPr>
            </w:pPr>
            <w:r>
              <w:rPr>
                <w:rFonts w:ascii="宋体" w:hAnsi="宋体"/>
                <w:sz w:val="18"/>
                <w:szCs w:val="18"/>
              </w:rPr>
              <w:t>06-BZ-01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评估人员通过文件审查的方式，检查是否建立了用户个人信息收集保护及用户授权告知制度。</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06-BZ-02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评估人员通过文件审查的方式，检查与用户签订的用户协议中在数据采集环节是否有履行告知和风险提示义务，在收集用户个人信息前，获得用户同意，并向用户明确告知授权范畴。</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06-BZ-03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评估人员通过演示查验的方式，检查业务数据，判定收集用户个人信息的收集范围和使用范围是否遵循以提供服务的最小必要为标准。</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jc w:val="center"/>
              <w:rPr>
                <w:rFonts w:ascii="宋体" w:hAnsi="宋体"/>
                <w:kern w:val="0"/>
                <w:sz w:val="18"/>
                <w:szCs w:val="18"/>
              </w:rPr>
            </w:pPr>
            <w:r>
              <w:rPr>
                <w:rFonts w:hint="eastAsia" w:ascii="宋体" w:hAnsi="宋体"/>
                <w:kern w:val="0"/>
                <w:sz w:val="18"/>
                <w:szCs w:val="18"/>
              </w:rPr>
              <w:t>数据存储风险</w:t>
            </w:r>
          </w:p>
        </w:tc>
        <w:tc>
          <w:tcPr>
            <w:tcW w:w="1276" w:type="dxa"/>
            <w:noWrap w:val="0"/>
            <w:vAlign w:val="center"/>
          </w:tcPr>
          <w:p>
            <w:pPr>
              <w:jc w:val="center"/>
              <w:rPr>
                <w:rFonts w:ascii="宋体" w:hAnsi="宋体"/>
                <w:sz w:val="18"/>
                <w:szCs w:val="18"/>
              </w:rPr>
            </w:pPr>
            <w:r>
              <w:rPr>
                <w:rFonts w:ascii="宋体" w:hAnsi="宋体"/>
                <w:sz w:val="18"/>
                <w:szCs w:val="18"/>
              </w:rPr>
              <w:t>07-BZ-01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评估人员通过人员访谈的方式，检查业务系统是否部署了能够防范网络攻击，检测病毒木马等恶意代码入侵的硬件设备或软件系统。</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对于业务系统已部署的防范网络攻击和检测病毒木马等恶意代码入侵的硬件设备或软件系统，评估人员通过测试验证的方式，检查是否及时更新了恶意代码软件版本和恶意代码库。</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评估人员通过文件审查的方式，检查网络设备与安全设备配置安全规范是否设置有效策略，要求根据数据级别采用加密、授权、数字水印、数字签名等技术手段对业务系统存储的数据进行了安全存储保护。</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评估人员通过测试验证的方式，使用漏洞扫描工具对业务系统进行检测，检查是否已对相关设备的操作系统和关键服务协议及时安装更新或补丁。</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评估人员通过文件审查和人员访谈相结合的方式，检查安全使用和管理规则，查看是否遵守</w:t>
            </w:r>
            <w:r>
              <w:rPr>
                <w:rFonts w:ascii="宋体" w:hAnsi="宋体"/>
                <w:kern w:val="0"/>
                <w:sz w:val="18"/>
                <w:szCs w:val="18"/>
              </w:rPr>
              <w:t>“</w:t>
            </w:r>
            <w:r>
              <w:rPr>
                <w:rFonts w:hint="eastAsia" w:ascii="宋体" w:hAnsi="宋体"/>
                <w:kern w:val="0"/>
                <w:sz w:val="18"/>
                <w:szCs w:val="18"/>
              </w:rPr>
              <w:t>纸质资料与系统记录相一致</w:t>
            </w:r>
            <w:r>
              <w:rPr>
                <w:rFonts w:ascii="宋体" w:hAnsi="宋体"/>
                <w:kern w:val="0"/>
                <w:sz w:val="18"/>
                <w:szCs w:val="18"/>
              </w:rPr>
              <w:t>”</w:t>
            </w:r>
            <w:r>
              <w:rPr>
                <w:rFonts w:hint="eastAsia" w:ascii="宋体" w:hAnsi="宋体"/>
                <w:kern w:val="0"/>
                <w:sz w:val="18"/>
                <w:szCs w:val="18"/>
              </w:rPr>
              <w:t>的原则，在对</w:t>
            </w:r>
            <w:r>
              <w:rPr>
                <w:rFonts w:ascii="宋体" w:hAnsi="宋体"/>
                <w:kern w:val="0"/>
                <w:sz w:val="18"/>
                <w:szCs w:val="18"/>
              </w:rPr>
              <w:t>“</w:t>
            </w:r>
            <w:r>
              <w:rPr>
                <w:rFonts w:hint="eastAsia" w:ascii="宋体" w:hAnsi="宋体"/>
                <w:kern w:val="0"/>
                <w:sz w:val="18"/>
                <w:szCs w:val="18"/>
              </w:rPr>
              <w:t>商密</w:t>
            </w:r>
            <w:r>
              <w:rPr>
                <w:rFonts w:ascii="宋体" w:hAnsi="宋体"/>
                <w:kern w:val="0"/>
                <w:sz w:val="18"/>
                <w:szCs w:val="18"/>
              </w:rPr>
              <w:t>”</w:t>
            </w:r>
            <w:r>
              <w:rPr>
                <w:rFonts w:hint="eastAsia" w:ascii="宋体" w:hAnsi="宋体"/>
                <w:kern w:val="0"/>
                <w:sz w:val="18"/>
                <w:szCs w:val="18"/>
              </w:rPr>
              <w:t>及以上保密等级的数据信息整理录入系统的同时，要对数据信息的实物资料进行编号和分类，保证系统中数据与数据实物资料相对应。</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文件审查和人员访谈相结合的方式，检查安全使用和管理规则，查看是否对涉密相关移动存储介质和移动办公设备进行了分级管理，并且保存了内部人员借用的管理记录，防止系统存储的各类数据被窃取、篡改或销毁。</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07-BZ-07</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评估人员通过文件审查和人员访谈相结合的方式，检查安全使用和管理规则，查看是否定期对数据信息资料的电子数据和实物资料进行维护，并且保存了维护记录，以保证信息资料完整并处于良好状态。</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07-BZ-08</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评估人员通过人员访谈的方式，检查对于不同安全级别的数据进行权限管理过程中是否采取了相应的隔离措施和安全保护措施。</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07-BZ-09</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评估人员通过测试验证的方式，检查对业务系统是否采用加密或其他保护措施实现系统管理数据和重要业务数据存储保密性。</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数据管理风险</w:t>
            </w:r>
          </w:p>
        </w:tc>
        <w:tc>
          <w:tcPr>
            <w:tcW w:w="1276" w:type="dxa"/>
            <w:noWrap w:val="0"/>
            <w:vAlign w:val="center"/>
          </w:tcPr>
          <w:p>
            <w:pPr>
              <w:jc w:val="center"/>
              <w:rPr>
                <w:rFonts w:ascii="宋体" w:hAnsi="宋体"/>
                <w:sz w:val="18"/>
                <w:szCs w:val="18"/>
              </w:rPr>
            </w:pPr>
            <w:r>
              <w:rPr>
                <w:rFonts w:ascii="宋体" w:hAnsi="宋体"/>
                <w:sz w:val="18"/>
                <w:szCs w:val="18"/>
              </w:rPr>
              <w:t>08-BZ-01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评估人员通过测试验证的方式，检查数据操作权限控制系统能够至少可以实现访问、打开、编辑、下载、打印、操作时间等方面的权限控制。</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08-BZ-02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评估人员通过演示查验的方式，检查冗余技术设计网络拓扑结构，避免关键节点存在单点故障。</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08-BZ-03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评估人员通过演示查验的方式，检查关键网络设备、通信线路和数据处理系统的硬件冗余，保证系统的可用性。</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08-BZ-04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评估人员通过测试验证的方式，检查数据操作行为日志记录应至少包括操作时间、操作对象存储地址、操作指示等关键字段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08-BZ-05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评估人员通过演示查验的方式，检查本地数据备份与恢复功能。</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08-BZ-06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评估人员通过演示查验的方式，检查异地数据备份功能，如利用通信网络将关键数据定时批量传送至备用场地。</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数据传输风险</w:t>
            </w:r>
          </w:p>
        </w:tc>
        <w:tc>
          <w:tcPr>
            <w:tcW w:w="1276" w:type="dxa"/>
            <w:noWrap w:val="0"/>
            <w:vAlign w:val="center"/>
          </w:tcPr>
          <w:p>
            <w:pPr>
              <w:jc w:val="center"/>
              <w:rPr>
                <w:rFonts w:ascii="宋体" w:hAnsi="宋体"/>
                <w:sz w:val="18"/>
                <w:szCs w:val="18"/>
              </w:rPr>
            </w:pPr>
            <w:r>
              <w:rPr>
                <w:rFonts w:ascii="宋体" w:hAnsi="宋体"/>
                <w:sz w:val="18"/>
                <w:szCs w:val="18"/>
              </w:rPr>
              <w:t>09-BZ-01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评估人员通过人员访谈的方式，检查是否对数据传输方式采取了相应的安全防护措施。</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09-BZ-02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评估人员通过人员访谈的方式，查看是否对内部不同局域网间数据传输链路采取了技术防护手段。</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09-BZ-03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评估人员通过人员访谈的方式，查看数据传输链路是否设置了冗余链路。</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数据加工风险</w:t>
            </w:r>
          </w:p>
        </w:tc>
        <w:tc>
          <w:tcPr>
            <w:tcW w:w="1276" w:type="dxa"/>
            <w:noWrap w:val="0"/>
            <w:vAlign w:val="center"/>
          </w:tcPr>
          <w:p>
            <w:pPr>
              <w:jc w:val="center"/>
              <w:rPr>
                <w:rFonts w:ascii="宋体" w:hAnsi="宋体"/>
                <w:sz w:val="18"/>
                <w:szCs w:val="18"/>
              </w:rPr>
            </w:pPr>
            <w:r>
              <w:rPr>
                <w:rFonts w:ascii="宋体" w:hAnsi="宋体"/>
                <w:sz w:val="18"/>
                <w:szCs w:val="18"/>
              </w:rPr>
              <w:t>10-BZ-01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评估人员通过人员访谈的方式，查看是否对拟采用公有云进行加工的数据重要性进行评估，判定其是否适合采取公有云服务进行加工。</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10-BZ-02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评估人员通过文件审查的方式，查看与云服务签订的服务合约中，是否明确提出云服务不得违规访问数据。</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10-BZ-03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评估人员通过人员访谈和文件审查的方式，询问是否建立了数据加工的管理制度，并且明确提出不得超范围进行数据挖掘。</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10-BZ-04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评估人员通过人员访谈和文件审查的方式，询问是否建立了数据加工的管理制度，并且明确提出数据加工前应对涉及用户个人敏感信息的内容应进行匿名化、模糊化、脱敏处理。</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10-BZ-05</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评估人员通过人员访谈和演示查验的方式，查看据数据挖掘算法中参数变量的设置，是否包含用户个人敏感信息的输入内容。</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10-BZ-06</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评估人员通过人员访谈的方式，询问对数据挖掘分析后形成的国家关键数据的技术防护措施。</w:t>
            </w:r>
          </w:p>
        </w:tc>
        <w:tc>
          <w:tcPr>
            <w:tcW w:w="1757" w:type="dxa"/>
            <w:noWrap w:val="0"/>
            <w:vAlign w:val="center"/>
          </w:tcPr>
          <w:p>
            <w:pPr>
              <w:jc w:val="center"/>
            </w:pPr>
            <w:r>
              <w:rPr>
                <w:rFonts w:hint="eastAsia" w:ascii="宋体" w:hAnsi="宋体"/>
                <w:kern w:val="0"/>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restart"/>
            <w:noWrap w:val="0"/>
            <w:vAlign w:val="center"/>
          </w:tcPr>
          <w:p>
            <w:pPr>
              <w:widowControl/>
              <w:jc w:val="center"/>
              <w:rPr>
                <w:rFonts w:ascii="宋体" w:hAnsi="宋体"/>
                <w:kern w:val="0"/>
                <w:sz w:val="18"/>
                <w:szCs w:val="18"/>
              </w:rPr>
            </w:pPr>
            <w:r>
              <w:rPr>
                <w:rFonts w:hint="eastAsia" w:ascii="宋体" w:hAnsi="宋体"/>
                <w:kern w:val="0"/>
                <w:sz w:val="18"/>
                <w:szCs w:val="18"/>
              </w:rPr>
              <w:t>数据转移风险</w:t>
            </w:r>
          </w:p>
        </w:tc>
        <w:tc>
          <w:tcPr>
            <w:tcW w:w="1276" w:type="dxa"/>
            <w:noWrap w:val="0"/>
            <w:vAlign w:val="center"/>
          </w:tcPr>
          <w:p>
            <w:pPr>
              <w:jc w:val="center"/>
              <w:rPr>
                <w:rFonts w:ascii="宋体" w:hAnsi="宋体"/>
                <w:sz w:val="18"/>
                <w:szCs w:val="18"/>
              </w:rPr>
            </w:pPr>
            <w:r>
              <w:rPr>
                <w:rFonts w:ascii="宋体" w:hAnsi="宋体"/>
                <w:sz w:val="18"/>
                <w:szCs w:val="18"/>
              </w:rPr>
              <w:t>11-BZ-01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评估人员需对人员访谈和文件审查的方式，询问将数据提供给第三方前，是否对第三方的数据安全防护能力进行评估，并查阅相关评估报告。</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11-BZ-02</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评估人员采取人员访谈和文件审查的方式，询问将数据提供给第三方前，是否对数据的重要性、敏感性评估进行评估，并查阅相关评估报告。</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11-BZ-03</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评估人员采取人员访谈和文件审查的方式，查看是否建立了数据转移管理制度，包含明示用户数据转移情况，并明确规范第三方数据使用权限。</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vMerge w:val="continue"/>
            <w:noWrap w:val="0"/>
            <w:vAlign w:val="center"/>
          </w:tcPr>
          <w:p>
            <w:pPr>
              <w:widowControl/>
              <w:jc w:val="center"/>
              <w:rPr>
                <w:rFonts w:ascii="宋体" w:hAnsi="宋体"/>
                <w:kern w:val="0"/>
                <w:sz w:val="18"/>
                <w:szCs w:val="18"/>
              </w:rPr>
            </w:pPr>
          </w:p>
        </w:tc>
        <w:tc>
          <w:tcPr>
            <w:tcW w:w="1276" w:type="dxa"/>
            <w:noWrap w:val="0"/>
            <w:vAlign w:val="center"/>
          </w:tcPr>
          <w:p>
            <w:pPr>
              <w:jc w:val="center"/>
              <w:rPr>
                <w:rFonts w:ascii="宋体" w:hAnsi="宋体"/>
                <w:sz w:val="18"/>
                <w:szCs w:val="18"/>
              </w:rPr>
            </w:pPr>
            <w:r>
              <w:rPr>
                <w:rFonts w:ascii="宋体" w:hAnsi="宋体"/>
                <w:sz w:val="18"/>
                <w:szCs w:val="18"/>
              </w:rPr>
              <w:t>11-BZ-04</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评估人员采取人员访谈和文件审查的方式，询问是否建立了针对第三方数据使用安全监督管理机制和技术手段。</w:t>
            </w:r>
          </w:p>
        </w:tc>
        <w:tc>
          <w:tcPr>
            <w:tcW w:w="1757" w:type="dxa"/>
            <w:noWrap w:val="0"/>
            <w:vAlign w:val="center"/>
          </w:tcPr>
          <w:p>
            <w:pPr>
              <w:jc w:val="center"/>
            </w:pPr>
            <w:r>
              <w:rPr>
                <w:rFonts w:hint="eastAsia" w:ascii="宋体" w:hAnsi="宋体"/>
                <w:kern w:val="0"/>
                <w:sz w:val="18"/>
                <w:szCs w:val="18"/>
              </w:rPr>
              <w:t>不涉及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Height w:val="211" w:hRule="atLeast"/>
          <w:jc w:val="center"/>
        </w:trPr>
        <w:tc>
          <w:tcPr>
            <w:tcW w:w="959" w:type="dxa"/>
            <w:noWrap w:val="0"/>
            <w:vAlign w:val="center"/>
          </w:tcPr>
          <w:p>
            <w:pPr>
              <w:jc w:val="center"/>
              <w:rPr>
                <w:rFonts w:ascii="宋体" w:hAnsi="宋体"/>
                <w:kern w:val="0"/>
                <w:sz w:val="18"/>
                <w:szCs w:val="18"/>
              </w:rPr>
            </w:pPr>
            <w:r>
              <w:rPr>
                <w:rFonts w:hint="eastAsia" w:ascii="宋体" w:hAnsi="宋体"/>
                <w:kern w:val="0"/>
                <w:sz w:val="18"/>
                <w:szCs w:val="18"/>
              </w:rPr>
              <w:t>数据删除风险</w:t>
            </w:r>
          </w:p>
        </w:tc>
        <w:tc>
          <w:tcPr>
            <w:tcW w:w="1276" w:type="dxa"/>
            <w:noWrap w:val="0"/>
            <w:vAlign w:val="center"/>
          </w:tcPr>
          <w:p>
            <w:pPr>
              <w:widowControl/>
              <w:jc w:val="center"/>
              <w:rPr>
                <w:rFonts w:ascii="宋体" w:hAnsi="宋体"/>
                <w:kern w:val="0"/>
                <w:sz w:val="18"/>
                <w:szCs w:val="18"/>
              </w:rPr>
            </w:pPr>
            <w:r>
              <w:rPr>
                <w:rFonts w:ascii="宋体" w:hAnsi="宋体"/>
                <w:sz w:val="18"/>
                <w:szCs w:val="18"/>
              </w:rPr>
              <w:t>12-BZ-01</w:t>
            </w:r>
          </w:p>
        </w:tc>
        <w:tc>
          <w:tcPr>
            <w:tcW w:w="5046" w:type="dxa"/>
            <w:noWrap w:val="0"/>
            <w:vAlign w:val="center"/>
          </w:tcPr>
          <w:p>
            <w:pPr>
              <w:widowControl/>
              <w:jc w:val="left"/>
              <w:rPr>
                <w:rFonts w:ascii="宋体" w:hAnsi="宋体"/>
                <w:kern w:val="0"/>
                <w:sz w:val="18"/>
                <w:szCs w:val="18"/>
              </w:rPr>
            </w:pPr>
            <w:r>
              <w:rPr>
                <w:rFonts w:hint="eastAsia" w:ascii="宋体" w:hAnsi="宋体"/>
                <w:kern w:val="0"/>
                <w:sz w:val="18"/>
                <w:szCs w:val="18"/>
              </w:rPr>
              <w:t>评估人员采取人员访谈和演示查验的方式，询问是否在用户终止使用电信服务或者互联网信息服务后，业务系统能够停止收集和使用用户个人数据信息。</w:t>
            </w:r>
          </w:p>
        </w:tc>
        <w:tc>
          <w:tcPr>
            <w:tcW w:w="1757" w:type="dxa"/>
            <w:noWrap w:val="0"/>
            <w:vAlign w:val="center"/>
          </w:tcPr>
          <w:p>
            <w:pPr>
              <w:jc w:val="center"/>
            </w:pPr>
            <w:r>
              <w:rPr>
                <w:rFonts w:hint="eastAsia" w:ascii="宋体" w:hAnsi="宋体"/>
                <w:kern w:val="0"/>
                <w:sz w:val="18"/>
                <w:szCs w:val="18"/>
              </w:rPr>
              <w:t>合格</w:t>
            </w:r>
          </w:p>
        </w:tc>
      </w:tr>
    </w:tbl>
    <w:p>
      <w:pPr>
        <w:pStyle w:val="3"/>
        <w:spacing w:before="0" w:after="0" w:line="240" w:lineRule="auto"/>
        <w:rPr>
          <w:rFonts w:ascii="Times New Roman" w:hAnsi="Times New Roman" w:eastAsia="仿宋_GB2312"/>
        </w:rPr>
      </w:pPr>
      <w:bookmarkStart w:id="19" w:name="_Toc500926016"/>
      <w:r>
        <w:rPr>
          <w:rFonts w:ascii="Times New Roman" w:hAnsi="Times New Roman" w:eastAsia="仿宋_GB2312"/>
        </w:rPr>
        <w:t>4.4</w:t>
      </w:r>
      <w:r>
        <w:rPr>
          <w:rFonts w:hint="eastAsia" w:ascii="Times New Roman" w:hAnsi="Times New Roman" w:eastAsia="仿宋_GB2312"/>
        </w:rPr>
        <w:t>安全保障能力说明</w:t>
      </w:r>
      <w:bookmarkEnd w:id="19"/>
    </w:p>
    <w:p>
      <w:pPr>
        <w:spacing w:line="600" w:lineRule="exact"/>
        <w:ind w:firstLine="640" w:firstLineChars="200"/>
        <w:rPr>
          <w:rFonts w:hint="eastAsia" w:eastAsia="仿宋_GB2312"/>
          <w:sz w:val="32"/>
          <w:szCs w:val="32"/>
        </w:rPr>
      </w:pPr>
      <w:bookmarkStart w:id="20" w:name="OLE_LINK1"/>
      <w:r>
        <w:rPr>
          <w:rFonts w:hint="eastAsia" w:eastAsia="仿宋_GB2312"/>
          <w:sz w:val="32"/>
          <w:szCs w:val="32"/>
        </w:rPr>
        <w:t>贵州移动针对“集团号簿”业务已开展了自评估工作，并完成了针对自评估发现问题的整改流程。业务由贵州盛方信息科技有限公司开发，贵州移动已对其开展了合规性评估及保障能力评估。“集团号簿”业务个人用户无法自主注册，需实名使用，身份真实性高；管理员登录过程中使用了口令、图片验证码、手机验证码等多种方式以加强鉴别。针对业务中传输、发布的文字、图片等形式的信息，设置了技术手段过滤及人工审核措施，对于匹配敏感词库包含内容的信息在接收方以字符“**”展现，但核验过程中发现，有害信息可以发送成功，在发送方可以完整显示，群组名称管理上存在漏洞，群组名称可以设置为“敏感词库表”中关键词。该业务违法信息过滤机制和审核机制有待进一步完善。</w:t>
      </w:r>
      <w:bookmarkEnd w:id="20"/>
    </w:p>
    <w:p>
      <w:pPr>
        <w:jc w:val="center"/>
        <w:rPr>
          <w:rFonts w:hint="eastAsia"/>
        </w:rPr>
      </w:pPr>
      <w:r>
        <w:drawing>
          <wp:inline distT="0" distB="0" distL="114300" distR="114300">
            <wp:extent cx="2386330" cy="4243705"/>
            <wp:effectExtent l="0" t="0" r="1270" b="23495"/>
            <wp:docPr id="2" name="图片 2" descr="集团号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集团号簿2"/>
                    <pic:cNvPicPr>
                      <a:picLocks noChangeAspect="1"/>
                    </pic:cNvPicPr>
                  </pic:nvPicPr>
                  <pic:blipFill>
                    <a:blip r:embed="rId13"/>
                    <a:stretch>
                      <a:fillRect/>
                    </a:stretch>
                  </pic:blipFill>
                  <pic:spPr>
                    <a:xfrm>
                      <a:off x="0" y="0"/>
                      <a:ext cx="2386330" cy="4243705"/>
                    </a:xfrm>
                    <a:prstGeom prst="rect">
                      <a:avLst/>
                    </a:prstGeom>
                    <a:noFill/>
                    <a:ln w="9525">
                      <a:noFill/>
                    </a:ln>
                  </pic:spPr>
                </pic:pic>
              </a:graphicData>
            </a:graphic>
          </wp:inline>
        </w:drawing>
      </w:r>
      <w:r>
        <w:rPr>
          <w:rFonts w:hint="eastAsia"/>
        </w:rPr>
        <w:t xml:space="preserve">  </w:t>
      </w:r>
      <w:r>
        <w:drawing>
          <wp:inline distT="0" distB="0" distL="114300" distR="114300">
            <wp:extent cx="2386330" cy="4243070"/>
            <wp:effectExtent l="0" t="0" r="1270" b="24130"/>
            <wp:docPr id="3" name="图片 3" descr="集团号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集团号簿1"/>
                    <pic:cNvPicPr>
                      <a:picLocks noChangeAspect="1"/>
                    </pic:cNvPicPr>
                  </pic:nvPicPr>
                  <pic:blipFill>
                    <a:blip r:embed="rId14"/>
                    <a:stretch>
                      <a:fillRect/>
                    </a:stretch>
                  </pic:blipFill>
                  <pic:spPr>
                    <a:xfrm>
                      <a:off x="0" y="0"/>
                      <a:ext cx="2386330" cy="4243070"/>
                    </a:xfrm>
                    <a:prstGeom prst="rect">
                      <a:avLst/>
                    </a:prstGeom>
                    <a:noFill/>
                    <a:ln w="9525">
                      <a:noFill/>
                    </a:ln>
                  </pic:spPr>
                </pic:pic>
              </a:graphicData>
            </a:graphic>
          </wp:inline>
        </w:drawing>
      </w:r>
    </w:p>
    <w:p>
      <w:pPr>
        <w:pStyle w:val="2"/>
        <w:spacing w:before="0" w:after="0" w:line="240" w:lineRule="auto"/>
        <w:rPr>
          <w:rFonts w:eastAsia="仿宋_GB2312"/>
          <w:sz w:val="32"/>
          <w:szCs w:val="32"/>
        </w:rPr>
        <w:sectPr>
          <w:pgSz w:w="11906" w:h="16838"/>
          <w:pgMar w:top="1440" w:right="1797" w:bottom="1440" w:left="1287" w:header="851" w:footer="992" w:gutter="0"/>
          <w:cols w:space="425" w:num="1"/>
          <w:docGrid w:type="lines" w:linePitch="312" w:charSpace="0"/>
        </w:sectPr>
      </w:pPr>
    </w:p>
    <w:p>
      <w:pPr>
        <w:pStyle w:val="2"/>
        <w:spacing w:before="0" w:after="0" w:line="240" w:lineRule="auto"/>
        <w:rPr>
          <w:rFonts w:eastAsia="仿宋_GB2312"/>
        </w:rPr>
      </w:pPr>
      <w:bookmarkStart w:id="21" w:name="_Toc500926017"/>
      <w:r>
        <w:rPr>
          <w:rFonts w:eastAsia="仿宋_GB2312"/>
          <w:sz w:val="32"/>
          <w:szCs w:val="32"/>
        </w:rPr>
        <w:t xml:space="preserve">5 </w:t>
      </w:r>
      <w:r>
        <w:rPr>
          <w:rFonts w:hint="eastAsia" w:eastAsia="仿宋_GB2312"/>
          <w:sz w:val="32"/>
          <w:szCs w:val="32"/>
        </w:rPr>
        <w:t>评估结果</w:t>
      </w:r>
      <w:bookmarkEnd w:id="21"/>
    </w:p>
    <w:p>
      <w:pPr>
        <w:pStyle w:val="3"/>
        <w:spacing w:before="0" w:after="0" w:line="240" w:lineRule="auto"/>
        <w:rPr>
          <w:rFonts w:eastAsia="仿宋_GB2312"/>
          <w:b w:val="0"/>
        </w:rPr>
      </w:pPr>
      <w:bookmarkStart w:id="22" w:name="_Toc500926018"/>
      <w:r>
        <w:rPr>
          <w:rFonts w:ascii="Times New Roman" w:hAnsi="Times New Roman" w:eastAsia="仿宋_GB2312"/>
        </w:rPr>
        <w:t xml:space="preserve">5.1 </w:t>
      </w:r>
      <w:r>
        <w:rPr>
          <w:rFonts w:hint="eastAsia" w:ascii="Times New Roman" w:hAnsi="Times New Roman" w:eastAsia="仿宋_GB2312"/>
        </w:rPr>
        <w:t>信息安全管理风险评估结果</w:t>
      </w:r>
      <w:bookmarkEnd w:id="22"/>
    </w:p>
    <w:p>
      <w:pPr>
        <w:spacing w:line="600" w:lineRule="exact"/>
        <w:ind w:firstLine="640" w:firstLineChars="200"/>
        <w:rPr>
          <w:rFonts w:eastAsia="仿宋_GB2312"/>
          <w:sz w:val="32"/>
          <w:szCs w:val="32"/>
        </w:rPr>
      </w:pPr>
      <w:r>
        <w:rPr>
          <w:rFonts w:hint="eastAsia" w:ascii="仿宋_GB2312" w:eastAsia="仿宋_GB2312"/>
          <w:sz w:val="32"/>
          <w:szCs w:val="32"/>
        </w:rPr>
        <w:t>贵州移动在信息安全管理制定了一系列规章制度，基本满足信息安全管理要求。在机构设置方面，成立了专门的网络与信息安全管理部门，并配备专职工作人员。在新技术新业务信息安全评估方面，贵州移动扎实开展了自评估工作并完成了整改复审环节。但在专职网络与信息安全人员力量投入方面稍有不足，建议加强；新技术新业务评估联系人工作机制尚不明确，建议完善。</w:t>
      </w:r>
    </w:p>
    <w:p>
      <w:pPr>
        <w:pStyle w:val="3"/>
        <w:spacing w:before="0" w:after="0" w:line="240" w:lineRule="auto"/>
        <w:rPr>
          <w:rFonts w:eastAsia="仿宋_GB2312"/>
          <w:b w:val="0"/>
        </w:rPr>
      </w:pPr>
      <w:bookmarkStart w:id="23" w:name="_Toc500926019"/>
      <w:r>
        <w:rPr>
          <w:rFonts w:ascii="Times New Roman" w:hAnsi="Times New Roman" w:eastAsia="仿宋_GB2312"/>
        </w:rPr>
        <w:t>5.</w:t>
      </w:r>
      <w:r>
        <w:rPr>
          <w:rFonts w:hint="eastAsia" w:ascii="Times New Roman" w:hAnsi="Times New Roman" w:eastAsia="仿宋_GB2312"/>
        </w:rPr>
        <w:t>2</w:t>
      </w:r>
      <w:r>
        <w:rPr>
          <w:rFonts w:ascii="Times New Roman" w:hAnsi="Times New Roman" w:eastAsia="仿宋_GB2312"/>
        </w:rPr>
        <w:t xml:space="preserve"> </w:t>
      </w:r>
      <w:r>
        <w:rPr>
          <w:rFonts w:hint="eastAsia" w:ascii="Times New Roman" w:hAnsi="Times New Roman" w:eastAsia="仿宋_GB2312"/>
        </w:rPr>
        <w:t>业务应用安全风险评估结果</w:t>
      </w:r>
      <w:bookmarkEnd w:id="23"/>
    </w:p>
    <w:p>
      <w:pPr>
        <w:spacing w:line="600" w:lineRule="exact"/>
        <w:ind w:firstLine="640" w:firstLineChars="200"/>
        <w:rPr>
          <w:rFonts w:eastAsia="仿宋_GB2312"/>
          <w:sz w:val="32"/>
          <w:szCs w:val="32"/>
        </w:rPr>
      </w:pPr>
      <w:r>
        <w:rPr>
          <w:rFonts w:hint="eastAsia" w:eastAsia="仿宋_GB2312"/>
          <w:sz w:val="32"/>
          <w:szCs w:val="32"/>
        </w:rPr>
        <w:t>“集团号簿”业务具备即时通讯和信息发布功能，可以发送、发布文本、图片、音视频等多种形式信息，同时用户可以自行建立群组进行群聊，信息可以以点对点、点对多及多对多的方式传播。业务用户多为政府、企事业集团员工，集群性明显。在业务应用安全方面风险控制方面，贵州移动在新增用户过程、用户及公共信息发布和传播环节、群组管理方面都加强了信息安全管理，采取了技术监测手段，一定程度上避免了信息安全事件。</w:t>
      </w:r>
    </w:p>
    <w:p>
      <w:pPr>
        <w:pStyle w:val="3"/>
        <w:spacing w:before="0" w:after="0" w:line="240" w:lineRule="auto"/>
        <w:rPr>
          <w:rFonts w:eastAsia="仿宋_GB2312"/>
          <w:b w:val="0"/>
        </w:rPr>
      </w:pPr>
      <w:bookmarkStart w:id="24" w:name="_Toc500926020"/>
      <w:r>
        <w:rPr>
          <w:rFonts w:ascii="Times New Roman" w:hAnsi="Times New Roman" w:eastAsia="仿宋_GB2312"/>
        </w:rPr>
        <w:t>5.</w:t>
      </w:r>
      <w:r>
        <w:rPr>
          <w:rFonts w:hint="eastAsia" w:ascii="Times New Roman" w:hAnsi="Times New Roman" w:eastAsia="仿宋_GB2312"/>
        </w:rPr>
        <w:t>3</w:t>
      </w:r>
      <w:r>
        <w:rPr>
          <w:rFonts w:ascii="Times New Roman" w:hAnsi="Times New Roman" w:eastAsia="仿宋_GB2312"/>
        </w:rPr>
        <w:t xml:space="preserve"> </w:t>
      </w:r>
      <w:r>
        <w:rPr>
          <w:rFonts w:hint="eastAsia" w:ascii="Times New Roman" w:hAnsi="Times New Roman" w:eastAsia="仿宋_GB2312"/>
        </w:rPr>
        <w:t>业务平台安全风险评估结果</w:t>
      </w:r>
      <w:bookmarkEnd w:id="24"/>
    </w:p>
    <w:p>
      <w:pPr>
        <w:spacing w:line="600" w:lineRule="exact"/>
        <w:ind w:firstLine="640" w:firstLineChars="200"/>
        <w:rPr>
          <w:rFonts w:eastAsia="仿宋_GB2312"/>
          <w:sz w:val="32"/>
          <w:szCs w:val="32"/>
        </w:rPr>
      </w:pPr>
      <w:r>
        <w:rPr>
          <w:rFonts w:hint="eastAsia" w:eastAsia="仿宋_GB2312"/>
          <w:sz w:val="32"/>
          <w:szCs w:val="32"/>
        </w:rPr>
        <w:t>贵州移动针对“集团号簿”业务已开展了自评估工作，并完成了针对自评估发现问题的整改流程。但在评估核验过程中发现，有害信息可以发送成功，在发送方可以完整显示，群组名称管理上存在漏洞，群组名称可以设置为“敏感词库表”中关键词，违法信息过滤机制和审核机制有待进一步完善。建议筛查违法信息监测处置流程各环节漏洞，完善对群组名称、群组简介、个人头像等信息的过滤手段，以及即时更新违法信息关键词库。</w:t>
      </w:r>
    </w:p>
    <w:p>
      <w:pPr>
        <w:pStyle w:val="2"/>
        <w:spacing w:before="0" w:after="0" w:line="240" w:lineRule="auto"/>
        <w:rPr>
          <w:rFonts w:eastAsia="仿宋_GB2312"/>
          <w:sz w:val="32"/>
          <w:szCs w:val="32"/>
        </w:rPr>
        <w:sectPr>
          <w:pgSz w:w="11906" w:h="16838"/>
          <w:pgMar w:top="1440" w:right="1797" w:bottom="1440" w:left="1287" w:header="851" w:footer="992" w:gutter="0"/>
          <w:cols w:space="425" w:num="1"/>
          <w:docGrid w:type="lines" w:linePitch="312" w:charSpace="0"/>
        </w:sectPr>
      </w:pPr>
    </w:p>
    <w:p>
      <w:pPr>
        <w:pStyle w:val="2"/>
        <w:spacing w:before="0" w:after="0" w:line="240" w:lineRule="auto"/>
        <w:rPr>
          <w:rFonts w:eastAsia="仿宋_GB2312"/>
          <w:sz w:val="32"/>
          <w:szCs w:val="32"/>
        </w:rPr>
      </w:pPr>
      <w:bookmarkStart w:id="25" w:name="_Toc500926021"/>
      <w:r>
        <w:rPr>
          <w:rFonts w:eastAsia="仿宋_GB2312"/>
          <w:sz w:val="32"/>
          <w:szCs w:val="32"/>
        </w:rPr>
        <w:t xml:space="preserve">6 </w:t>
      </w:r>
      <w:r>
        <w:rPr>
          <w:rFonts w:hint="eastAsia" w:eastAsia="仿宋_GB2312"/>
          <w:sz w:val="32"/>
          <w:szCs w:val="32"/>
        </w:rPr>
        <w:t>安全评估结论意见</w:t>
      </w:r>
      <w:bookmarkEnd w:id="25"/>
    </w:p>
    <w:p>
      <w:pPr>
        <w:spacing w:line="600" w:lineRule="exact"/>
        <w:ind w:firstLine="643"/>
        <w:rPr>
          <w:rFonts w:eastAsia="仿宋_GB2312"/>
          <w:color w:val="808080"/>
          <w:sz w:val="32"/>
          <w:szCs w:val="32"/>
        </w:rPr>
      </w:pPr>
      <w:r>
        <w:rPr>
          <w:rFonts w:hint="eastAsia" w:eastAsia="仿宋_GB2312"/>
          <w:sz w:val="32"/>
          <w:szCs w:val="32"/>
        </w:rPr>
        <w:t>综合评估情况，贵州移动在信息安全管理制度建设方面基本满足信息安全管理要求，应根据业务发展需要及时加大专职网络与信息安全人力投入，完善新技术新业务评估联系人工作机制。“集团号簿”业务在违法信息监测处置方面，应加强技术手段过滤和审核，通过屏蔽、告示等方式提醒违法用户，并及时更新关键词库。</w:t>
      </w:r>
    </w:p>
    <w:sectPr>
      <w:pgSz w:w="11906" w:h="16838"/>
      <w:pgMar w:top="1440" w:right="1797" w:bottom="1440" w:left="12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仿宋_GB2312">
    <w:altName w:val="汉仪仿宋KW"/>
    <w:panose1 w:val="02010609030101010101"/>
    <w:charset w:val="00"/>
    <w:family w:val="modern"/>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LinePrinter">
    <w:altName w:val="苹方-简"/>
    <w:panose1 w:val="00000000000000000000"/>
    <w:charset w:val="00"/>
    <w:family w:val="modern"/>
    <w:pitch w:val="default"/>
    <w:sig w:usb0="00000003" w:usb1="00000000" w:usb2="00000000" w:usb3="00000000" w:csb0="00000001" w:csb1="00000000"/>
  </w:font>
  <w:font w:name="Helvetica">
    <w:panose1 w:val="00000000000000000000"/>
    <w:charset w:val="00"/>
    <w:family w:val="swiss"/>
    <w:pitch w:val="default"/>
    <w:sig w:usb0="E00002FF" w:usb1="5000785B" w:usb2="00000000" w:usb3="00000000" w:csb0="2000019F" w:csb1="4F010000"/>
  </w:font>
  <w:font w:name="Times">
    <w:panose1 w:val="00000500000000020000"/>
    <w:charset w:val="00"/>
    <w:family w:val="roman"/>
    <w:pitch w:val="default"/>
    <w:sig w:usb0="E00002FF" w:usb1="5000205A" w:usb2="00000000" w:usb3="00000000" w:csb0="2000019F" w:csb1="4F010000"/>
  </w:font>
  <w:font w:name="Courier">
    <w:altName w:val="苹方-简"/>
    <w:panose1 w:val="02070409020205020404"/>
    <w:charset w:val="00"/>
    <w:family w:val="modern"/>
    <w:pitch w:val="default"/>
    <w:sig w:usb0="00000003" w:usb1="00000000" w:usb2="00000000" w:usb3="00000000" w:csb0="00000001" w:csb1="00000000"/>
  </w:font>
  <w:font w:name="New York">
    <w:altName w:val="苹方-简"/>
    <w:panose1 w:val="02040503060506020304"/>
    <w:charset w:val="00"/>
    <w:family w:val="roman"/>
    <w:pitch w:val="default"/>
    <w:sig w:usb0="00000003" w:usb1="00000000" w:usb2="00000000" w:usb3="00000000" w:csb0="00000001"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AFF" w:usb1="C000605B" w:usb2="00000029" w:usb3="00000000" w:csb0="200101FF" w:csb1="20280000"/>
  </w:font>
  <w:font w:name="方正小标宋简体">
    <w:altName w:val="汉仪书宋二KW"/>
    <w:panose1 w:val="00000000000000000000"/>
    <w:charset w:val="00"/>
    <w:family w:val="script"/>
    <w:pitch w:val="default"/>
    <w:sig w:usb0="00000001" w:usb1="080E0000" w:usb2="00000010" w:usb3="00000000" w:csb0="00040000" w:csb1="00000000"/>
  </w:font>
  <w:font w:name="汉仪仿宋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center"/>
    </w:pPr>
  </w:p>
  <w:p>
    <w:pPr>
      <w:pStyle w:val="3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jc w:val="cente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2</w:t>
    </w:r>
    <w:r>
      <w:rPr>
        <w:sz w:val="28"/>
        <w:szCs w:val="28"/>
      </w:rPr>
      <w:fldChar w:fldCharType="end"/>
    </w:r>
  </w:p>
  <w:p>
    <w:pPr>
      <w:pStyle w:val="3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none" w:color="auto" w:sz="0" w:space="0"/>
      </w:pBdr>
    </w:pPr>
    <w:r>
      <w:rPr>
        <w:lang/>
      </w:rPr>
      <w:pict>
        <v:shape id="PowerPlusWaterMarkObject16014377" o:spid="_x0000_s1027" o:spt="136" type="#_x0000_t136" style="position:absolute;left:0pt;height:177.65pt;width:444.2pt;mso-position-horizontal:center;mso-position-horizontal-relative:margin;mso-position-vertical:center;mso-position-vertical-relative:margin;rotation:20643840f;z-index:-251656192;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lang/>
      </w:rPr>
      <w:pict>
        <v:shape id="PowerPlusWaterMarkObject16014376" o:spid="_x0000_s1026" o:spt="136" type="#_x0000_t136" style="position:absolute;left:0pt;height:177.65pt;width:444.2pt;mso-position-horizontal:center;mso-position-horizontal-relative:margin;mso-position-vertical:center;mso-position-vertical-relative:margin;rotation:20643840f;z-index:-251657216;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lang/>
      </w:rPr>
      <w:pict>
        <v:shape id="PowerPlusWaterMarkObject16014375" o:spid="_x0000_s1025" o:spt="136" type="#_x0000_t136" style="position:absolute;left:0pt;height:177.65pt;width:444.2pt;mso-position-horizontal:center;mso-position-horizontal-relative:margin;mso-position-vertical:center;mso-position-vertical-relative:margin;rotation:20643840f;z-index:-251658240;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single" w:color="auto" w:sz="4" w:space="1"/>
      </w:pBdr>
      <w:jc w:val="right"/>
    </w:pPr>
    <w:r>
      <w:rPr>
        <w:lang/>
      </w:rPr>
      <w:pict>
        <v:shape id="PowerPlusWaterMarkObject16014380" o:spid="_x0000_s1030" o:spt="136" type="#_x0000_t136" style="position:absolute;left:0pt;height:177.65pt;width:444.2pt;mso-position-horizontal:center;mso-position-horizontal-relative:margin;mso-position-vertical:center;mso-position-vertical-relative:margin;rotation:20643840f;z-index:-251653120;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r>
      <w:rPr>
        <w:rFonts w:hint="eastAsia"/>
      </w:rPr>
      <w:t>国家计算机网络与信息安全管理中心</w:t>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lang/>
      </w:rPr>
      <w:pict>
        <v:shape id="PowerPlusWaterMarkObject16014379" o:spid="_x0000_s1029" o:spt="136" type="#_x0000_t136" style="position:absolute;left:0pt;height:177.65pt;width:444.2pt;mso-position-horizontal:center;mso-position-horizontal-relative:margin;mso-position-vertical:center;mso-position-vertical-relative:margin;rotation:20643840f;z-index:-251654144;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Pr>
    <w:r>
      <w:rPr>
        <w:lang/>
      </w:rPr>
      <w:pict>
        <v:shape id="PowerPlusWaterMarkObject16014378" o:spid="_x0000_s1028" o:spt="136" type="#_x0000_t136" style="position:absolute;left:0pt;height:177.65pt;width:444.2pt;mso-position-horizontal:center;mso-position-horizontal-relative:margin;mso-position-vertical:center;mso-position-vertical-relative:margin;rotation:20643840f;z-index:-251655168;mso-width-relative:page;mso-height-relative:page;" fillcolor="#C0C0C0" stroked="f" coordsize="21600,21600" o:allowincell="f">
          <v:path/>
          <v:fill opacity="32768f" focussize="0,0"/>
          <v:stroke on="f"/>
          <v:imagedata o:title=""/>
          <o:lock v:ext="edit"/>
          <v:textpath on="t" fitshape="t" fitpath="t" trim="t" xscale="f" string="NISAC" style="font-family:黑体;font-size:8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15CD"/>
    <w:multiLevelType w:val="multilevel"/>
    <w:tmpl w:val="040A15CD"/>
    <w:lvl w:ilvl="0" w:tentative="0">
      <w:start w:val="1"/>
      <w:numFmt w:val="none"/>
      <w:suff w:val="nothing"/>
      <w:lvlText w:val="　"/>
      <w:lvlJc w:val="left"/>
      <w:rPr>
        <w:rFonts w:hint="eastAsia" w:ascii="黑体" w:hAnsi="Times New Roman" w:eastAsia="黑体" w:cs="Times New Roman"/>
        <w:b w:val="0"/>
        <w:i w:val="0"/>
        <w:sz w:val="21"/>
      </w:rPr>
    </w:lvl>
    <w:lvl w:ilvl="1" w:tentative="0">
      <w:start w:val="1"/>
      <w:numFmt w:val="decimal"/>
      <w:isLgl/>
      <w:suff w:val="nothing"/>
      <w:lvlText w:val="%2　"/>
      <w:lvlJc w:val="left"/>
      <w:rPr>
        <w:rFonts w:hint="eastAsia" w:ascii="黑体" w:hAnsi="Times New Roman" w:eastAsia="黑体" w:cs="Times New Roman"/>
        <w:b w:val="0"/>
        <w:i w:val="0"/>
        <w:snapToGrid/>
        <w:spacing w:val="0"/>
        <w:w w:val="100"/>
        <w:kern w:val="21"/>
        <w:sz w:val="21"/>
      </w:rPr>
    </w:lvl>
    <w:lvl w:ilvl="2" w:tentative="0">
      <w:start w:val="1"/>
      <w:numFmt w:val="decimal"/>
      <w:pStyle w:val="110"/>
      <w:suff w:val="nothing"/>
      <w:lvlText w:val="%1%2.%3　"/>
      <w:lvlJc w:val="left"/>
      <w:rPr>
        <w:rFonts w:hint="eastAsia" w:ascii="黑体" w:hAnsi="Times New Roman" w:eastAsia="黑体" w:cs="Times New Roman"/>
        <w:b w:val="0"/>
        <w:i w:val="0"/>
        <w:sz w:val="21"/>
      </w:rPr>
    </w:lvl>
    <w:lvl w:ilvl="3" w:tentative="0">
      <w:start w:val="1"/>
      <w:numFmt w:val="decimal"/>
      <w:pStyle w:val="70"/>
      <w:suff w:val="nothing"/>
      <w:lvlText w:val="%1%2.%3.%4　"/>
      <w:lvlJc w:val="left"/>
      <w:rPr>
        <w:rFonts w:hint="eastAsia" w:ascii="黑体" w:hAnsi="Times New Roman" w:eastAsia="黑体" w:cs="Times New Roman"/>
        <w:b w:val="0"/>
        <w:i w:val="0"/>
        <w:sz w:val="21"/>
      </w:rPr>
    </w:lvl>
    <w:lvl w:ilvl="4" w:tentative="0">
      <w:start w:val="1"/>
      <w:numFmt w:val="decimal"/>
      <w:pStyle w:val="98"/>
      <w:suff w:val="nothing"/>
      <w:lvlText w:val="%1%2.%3.%4.%5　"/>
      <w:lvlJc w:val="left"/>
      <w:rPr>
        <w:rFonts w:hint="eastAsia" w:ascii="黑体" w:hAnsi="Times New Roman" w:eastAsia="黑体" w:cs="Times New Roman"/>
        <w:b w:val="0"/>
        <w:i w:val="0"/>
        <w:sz w:val="21"/>
      </w:rPr>
    </w:lvl>
    <w:lvl w:ilvl="5" w:tentative="0">
      <w:start w:val="1"/>
      <w:numFmt w:val="decimal"/>
      <w:pStyle w:val="103"/>
      <w:suff w:val="nothing"/>
      <w:lvlText w:val="%1%2.%3.%4.%5.%6　"/>
      <w:lvlJc w:val="left"/>
      <w:rPr>
        <w:rFonts w:hint="eastAsia" w:ascii="黑体" w:hAnsi="Times New Roman" w:eastAsia="黑体" w:cs="Times New Roman"/>
        <w:b w:val="0"/>
        <w:i w:val="0"/>
        <w:sz w:val="21"/>
      </w:rPr>
    </w:lvl>
    <w:lvl w:ilvl="6" w:tentative="0">
      <w:start w:val="1"/>
      <w:numFmt w:val="decimal"/>
      <w:pStyle w:val="109"/>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94"/>
        </w:tabs>
        <w:ind w:left="4394" w:hanging="1418"/>
      </w:pPr>
      <w:rPr>
        <w:rFonts w:hint="eastAsia" w:cs="Times New Roman"/>
      </w:rPr>
    </w:lvl>
    <w:lvl w:ilvl="8" w:tentative="0">
      <w:start w:val="1"/>
      <w:numFmt w:val="decimal"/>
      <w:lvlText w:val="%1.%2.%3.%4.%5.%6.%7.%8.%9"/>
      <w:lvlJc w:val="left"/>
      <w:pPr>
        <w:tabs>
          <w:tab w:val="left" w:pos="5102"/>
        </w:tabs>
        <w:ind w:left="5102" w:hanging="1700"/>
      </w:pPr>
      <w:rPr>
        <w:rFonts w:hint="eastAsia" w:cs="Times New Roman"/>
      </w:rPr>
    </w:lvl>
  </w:abstractNum>
  <w:abstractNum w:abstractNumId="1">
    <w:nsid w:val="0AE367E9"/>
    <w:multiLevelType w:val="multilevel"/>
    <w:tmpl w:val="0AE367E9"/>
    <w:lvl w:ilvl="0" w:tentative="0">
      <w:start w:val="1"/>
      <w:numFmt w:val="none"/>
      <w:pStyle w:val="100"/>
      <w:lvlText w:val="%1示例"/>
      <w:lvlJc w:val="left"/>
      <w:pPr>
        <w:tabs>
          <w:tab w:val="left" w:pos="1120"/>
        </w:tabs>
        <w:ind w:firstLine="400"/>
      </w:pPr>
      <w:rPr>
        <w:rFonts w:hint="eastAsia" w:ascii="宋体" w:eastAsia="宋体" w:cs="Times New Roman"/>
        <w:b w:val="0"/>
        <w:i w:val="0"/>
        <w:sz w:val="18"/>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2">
    <w:nsid w:val="3C0D11A3"/>
    <w:multiLevelType w:val="multilevel"/>
    <w:tmpl w:val="3C0D11A3"/>
    <w:lvl w:ilvl="0" w:tentative="0">
      <w:start w:val="1"/>
      <w:numFmt w:val="lowerLetter"/>
      <w:pStyle w:val="132"/>
      <w:lvlText w:val="%1)"/>
      <w:lvlJc w:val="left"/>
      <w:pPr>
        <w:tabs>
          <w:tab w:val="left" w:pos="709"/>
        </w:tabs>
        <w:ind w:firstLine="420"/>
      </w:pPr>
      <w:rPr>
        <w:rFonts w:hint="eastAsia" w:cs="Times New Roman"/>
      </w:rPr>
    </w:lvl>
    <w:lvl w:ilvl="1" w:tentative="0">
      <w:start w:val="1"/>
      <w:numFmt w:val="upperLetter"/>
      <w:lvlText w:val="%2."/>
      <w:lvlJc w:val="left"/>
      <w:pPr>
        <w:tabs>
          <w:tab w:val="left" w:pos="850"/>
        </w:tabs>
        <w:ind w:left="850" w:hanging="425"/>
      </w:pPr>
      <w:rPr>
        <w:rFonts w:hint="eastAsia" w:cs="Times New Roman"/>
      </w:rPr>
    </w:lvl>
    <w:lvl w:ilvl="2" w:tentative="0">
      <w:start w:val="1"/>
      <w:numFmt w:val="decimal"/>
      <w:lvlText w:val="%3."/>
      <w:lvlJc w:val="left"/>
      <w:pPr>
        <w:tabs>
          <w:tab w:val="left" w:pos="1276"/>
        </w:tabs>
        <w:ind w:left="1276" w:hanging="426"/>
      </w:pPr>
      <w:rPr>
        <w:rFonts w:hint="eastAsia" w:cs="Times New Roman"/>
      </w:rPr>
    </w:lvl>
    <w:lvl w:ilvl="3" w:tentative="0">
      <w:start w:val="1"/>
      <w:numFmt w:val="lowerLetter"/>
      <w:lvlText w:val="%4."/>
      <w:lvlJc w:val="left"/>
      <w:pPr>
        <w:tabs>
          <w:tab w:val="left" w:pos="1559"/>
        </w:tabs>
        <w:ind w:left="1559" w:hanging="283"/>
      </w:pPr>
      <w:rPr>
        <w:rFonts w:hint="eastAsia" w:cs="Times New Roman"/>
      </w:rPr>
    </w:lvl>
    <w:lvl w:ilvl="4" w:tentative="0">
      <w:start w:val="1"/>
      <w:numFmt w:val="decimal"/>
      <w:lvlText w:val="%5."/>
      <w:lvlJc w:val="left"/>
      <w:pPr>
        <w:tabs>
          <w:tab w:val="left" w:pos="1984"/>
        </w:tabs>
        <w:ind w:left="1984" w:hanging="425"/>
      </w:pPr>
      <w:rPr>
        <w:rFonts w:hint="eastAsia" w:cs="Times New Roman"/>
      </w:rPr>
    </w:lvl>
    <w:lvl w:ilvl="5" w:tentative="0">
      <w:start w:val="1"/>
      <w:numFmt w:val="lowerLetter"/>
      <w:lvlText w:val="%6."/>
      <w:lvlJc w:val="left"/>
      <w:pPr>
        <w:tabs>
          <w:tab w:val="left" w:pos="2409"/>
        </w:tabs>
        <w:ind w:left="2409" w:hanging="425"/>
      </w:pPr>
      <w:rPr>
        <w:rFonts w:hint="eastAsia" w:cs="Times New Roman"/>
      </w:rPr>
    </w:lvl>
    <w:lvl w:ilvl="6" w:tentative="0">
      <w:start w:val="1"/>
      <w:numFmt w:val="lowerRoman"/>
      <w:lvlText w:val="%7."/>
      <w:lvlJc w:val="left"/>
      <w:pPr>
        <w:tabs>
          <w:tab w:val="left" w:pos="2835"/>
        </w:tabs>
        <w:ind w:left="2835" w:hanging="426"/>
      </w:pPr>
      <w:rPr>
        <w:rFonts w:hint="eastAsia" w:cs="Times New Roman"/>
      </w:rPr>
    </w:lvl>
    <w:lvl w:ilvl="7" w:tentative="0">
      <w:start w:val="1"/>
      <w:numFmt w:val="lowerLetter"/>
      <w:lvlText w:val="%8."/>
      <w:lvlJc w:val="left"/>
      <w:pPr>
        <w:tabs>
          <w:tab w:val="left" w:pos="3260"/>
        </w:tabs>
        <w:ind w:left="3260" w:hanging="425"/>
      </w:pPr>
      <w:rPr>
        <w:rFonts w:hint="eastAsia" w:cs="Times New Roman"/>
      </w:rPr>
    </w:lvl>
    <w:lvl w:ilvl="8" w:tentative="0">
      <w:start w:val="1"/>
      <w:numFmt w:val="lowerRoman"/>
      <w:lvlText w:val="%9."/>
      <w:lvlJc w:val="left"/>
      <w:pPr>
        <w:tabs>
          <w:tab w:val="left" w:pos="3685"/>
        </w:tabs>
        <w:ind w:left="3685" w:hanging="425"/>
      </w:pPr>
      <w:rPr>
        <w:rFonts w:hint="eastAsia" w:cs="Times New Roman"/>
      </w:rPr>
    </w:lvl>
  </w:abstractNum>
  <w:abstractNum w:abstractNumId="3">
    <w:nsid w:val="407E65F9"/>
    <w:multiLevelType w:val="multilevel"/>
    <w:tmpl w:val="407E65F9"/>
    <w:lvl w:ilvl="0" w:tentative="0">
      <w:start w:val="1"/>
      <w:numFmt w:val="none"/>
      <w:pStyle w:val="92"/>
      <w:lvlText w:val="%1·　"/>
      <w:lvlJc w:val="left"/>
      <w:pPr>
        <w:tabs>
          <w:tab w:val="left" w:pos="-540"/>
        </w:tabs>
        <w:ind w:left="-943" w:hanging="317"/>
      </w:pPr>
      <w:rPr>
        <w:rFonts w:hint="eastAsia" w:ascii="宋体" w:hAnsi="Times New Roman" w:eastAsia="宋体" w:cs="Times New Roman"/>
        <w:b w:val="0"/>
        <w:i w:val="0"/>
        <w:sz w:val="21"/>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420"/>
        </w:tabs>
        <w:ind w:left="-420" w:hanging="420"/>
      </w:pPr>
      <w:rPr>
        <w:rFonts w:hint="default" w:ascii="Wingdings" w:hAnsi="Wingdings"/>
      </w:rPr>
    </w:lvl>
    <w:lvl w:ilvl="3" w:tentative="0">
      <w:start w:val="1"/>
      <w:numFmt w:val="bullet"/>
      <w:lvlText w:val=""/>
      <w:lvlJc w:val="left"/>
      <w:pPr>
        <w:tabs>
          <w:tab w:val="left" w:pos="0"/>
        </w:tabs>
        <w:ind w:hanging="420"/>
      </w:pPr>
      <w:rPr>
        <w:rFonts w:hint="default" w:ascii="Wingdings" w:hAnsi="Wingdings"/>
      </w:rPr>
    </w:lvl>
    <w:lvl w:ilvl="4" w:tentative="0">
      <w:start w:val="1"/>
      <w:numFmt w:val="bullet"/>
      <w:lvlText w:val=""/>
      <w:lvlJc w:val="left"/>
      <w:pPr>
        <w:tabs>
          <w:tab w:val="left" w:pos="420"/>
        </w:tabs>
        <w:ind w:left="420" w:hanging="420"/>
      </w:pPr>
      <w:rPr>
        <w:rFonts w:hint="default" w:ascii="Wingdings" w:hAnsi="Wingdings"/>
      </w:rPr>
    </w:lvl>
    <w:lvl w:ilvl="5" w:tentative="0">
      <w:start w:val="1"/>
      <w:numFmt w:val="bullet"/>
      <w:lvlText w:val=""/>
      <w:lvlJc w:val="left"/>
      <w:pPr>
        <w:tabs>
          <w:tab w:val="left" w:pos="840"/>
        </w:tabs>
        <w:ind w:left="840" w:hanging="420"/>
      </w:pPr>
      <w:rPr>
        <w:rFonts w:hint="default" w:ascii="Wingdings" w:hAnsi="Wingdings"/>
      </w:rPr>
    </w:lvl>
    <w:lvl w:ilvl="6" w:tentative="0">
      <w:start w:val="1"/>
      <w:numFmt w:val="bullet"/>
      <w:lvlText w:val=""/>
      <w:lvlJc w:val="left"/>
      <w:pPr>
        <w:tabs>
          <w:tab w:val="left" w:pos="1260"/>
        </w:tabs>
        <w:ind w:left="1260" w:hanging="420"/>
      </w:pPr>
      <w:rPr>
        <w:rFonts w:hint="default" w:ascii="Wingdings" w:hAnsi="Wingdings"/>
      </w:rPr>
    </w:lvl>
    <w:lvl w:ilvl="7" w:tentative="0">
      <w:start w:val="1"/>
      <w:numFmt w:val="bullet"/>
      <w:lvlText w:val=""/>
      <w:lvlJc w:val="left"/>
      <w:pPr>
        <w:tabs>
          <w:tab w:val="left" w:pos="1680"/>
        </w:tabs>
        <w:ind w:left="1680" w:hanging="420"/>
      </w:pPr>
      <w:rPr>
        <w:rFonts w:hint="default" w:ascii="Wingdings" w:hAnsi="Wingdings"/>
      </w:rPr>
    </w:lvl>
    <w:lvl w:ilvl="8" w:tentative="0">
      <w:start w:val="1"/>
      <w:numFmt w:val="bullet"/>
      <w:lvlText w:val=""/>
      <w:lvlJc w:val="left"/>
      <w:pPr>
        <w:tabs>
          <w:tab w:val="left" w:pos="2100"/>
        </w:tabs>
        <w:ind w:left="2100" w:hanging="420"/>
      </w:pPr>
      <w:rPr>
        <w:rFonts w:hint="default" w:ascii="Wingdings" w:hAnsi="Wingdings"/>
      </w:rPr>
    </w:lvl>
  </w:abstractNum>
  <w:abstractNum w:abstractNumId="4">
    <w:nsid w:val="496E4D7B"/>
    <w:multiLevelType w:val="multilevel"/>
    <w:tmpl w:val="496E4D7B"/>
    <w:lvl w:ilvl="0" w:tentative="0">
      <w:start w:val="1"/>
      <w:numFmt w:val="none"/>
      <w:pStyle w:val="114"/>
      <w:lvlText w:val="%1注"/>
      <w:lvlJc w:val="left"/>
      <w:pPr>
        <w:tabs>
          <w:tab w:val="left" w:pos="900"/>
        </w:tabs>
        <w:ind w:left="900" w:hanging="500"/>
      </w:pPr>
      <w:rPr>
        <w:rFonts w:hint="eastAsia" w:ascii="宋体" w:hAnsi="Times New Roman" w:eastAsia="宋体" w:cs="Times New Roman"/>
        <w:b w:val="0"/>
        <w:i w:val="0"/>
        <w:sz w:val="18"/>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5">
    <w:nsid w:val="557C2AF5"/>
    <w:multiLevelType w:val="multilevel"/>
    <w:tmpl w:val="557C2AF5"/>
    <w:lvl w:ilvl="0" w:tentative="0">
      <w:start w:val="1"/>
      <w:numFmt w:val="decimal"/>
      <w:pStyle w:val="112"/>
      <w:suff w:val="nothing"/>
      <w:lvlText w:val="图%1　"/>
      <w:lvlJc w:val="left"/>
      <w:rPr>
        <w:rFonts w:hint="eastAsia" w:ascii="黑体" w:hAnsi="Times New Roman" w:eastAsia="黑体" w:cs="Times New Roman"/>
        <w:b w:val="0"/>
        <w:i w:val="0"/>
        <w:sz w:val="21"/>
      </w:rPr>
    </w:lvl>
    <w:lvl w:ilvl="1" w:tentative="0">
      <w:start w:val="1"/>
      <w:numFmt w:val="decimal"/>
      <w:suff w:val="nothing"/>
      <w:lvlText w:val="%1%2　"/>
      <w:lvlJc w:val="left"/>
      <w:rPr>
        <w:rFonts w:hint="default" w:ascii="Times New Roman" w:hAnsi="Times New Roman" w:eastAsia="黑体" w:cs="Times New Roman"/>
        <w:b w:val="0"/>
        <w:i w:val="0"/>
        <w:sz w:val="21"/>
      </w:rPr>
    </w:lvl>
    <w:lvl w:ilvl="2" w:tentative="0">
      <w:start w:val="1"/>
      <w:numFmt w:val="decimal"/>
      <w:suff w:val="nothing"/>
      <w:lvlText w:val="%1%2.%3　"/>
      <w:lvlJc w:val="left"/>
      <w:rPr>
        <w:rFonts w:hint="default" w:ascii="Times New Roman" w:hAnsi="Times New Roman" w:eastAsia="黑体" w:cs="Times New Roman"/>
        <w:b w:val="0"/>
        <w:i w:val="0"/>
        <w:sz w:val="21"/>
      </w:rPr>
    </w:lvl>
    <w:lvl w:ilvl="3" w:tentative="0">
      <w:start w:val="1"/>
      <w:numFmt w:val="decimal"/>
      <w:suff w:val="nothing"/>
      <w:lvlText w:val="%1%2.%3.%4　"/>
      <w:lvlJc w:val="left"/>
      <w:rPr>
        <w:rFonts w:hint="default" w:ascii="Times New Roman" w:hAnsi="Times New Roman" w:eastAsia="黑体" w:cs="Times New Roman"/>
        <w:b w:val="0"/>
        <w:i w:val="0"/>
        <w:sz w:val="21"/>
      </w:rPr>
    </w:lvl>
    <w:lvl w:ilvl="4" w:tentative="0">
      <w:start w:val="1"/>
      <w:numFmt w:val="decimal"/>
      <w:suff w:val="nothing"/>
      <w:lvlText w:val="%1%2.%3.%4.%5　"/>
      <w:lvlJc w:val="left"/>
      <w:rPr>
        <w:rFonts w:hint="default" w:ascii="Times New Roman" w:hAnsi="Times New Roman" w:eastAsia="黑体" w:cs="Times New Roman"/>
        <w:b w:val="0"/>
        <w:i w:val="0"/>
        <w:sz w:val="21"/>
      </w:rPr>
    </w:lvl>
    <w:lvl w:ilvl="5" w:tentative="0">
      <w:start w:val="1"/>
      <w:numFmt w:val="decimal"/>
      <w:suff w:val="nothing"/>
      <w:lvlText w:val="%1%2.%3.%4.%5.%6　"/>
      <w:lvlJc w:val="left"/>
      <w:rPr>
        <w:rFonts w:hint="default" w:ascii="Times New Roman" w:hAnsi="Times New Roman" w:eastAsia="黑体" w:cs="Times New Roman"/>
        <w:b w:val="0"/>
        <w:i w:val="0"/>
        <w:sz w:val="21"/>
      </w:rPr>
    </w:lvl>
    <w:lvl w:ilvl="6" w:tentative="0">
      <w:start w:val="1"/>
      <w:numFmt w:val="decimal"/>
      <w:suff w:val="nothing"/>
      <w:lvlText w:val="%1%2.%3.%4.%5.%6.%7　"/>
      <w:lvlJc w:val="left"/>
      <w:rPr>
        <w:rFonts w:hint="default" w:ascii="Times New Roman"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abstractNum w:abstractNumId="6">
    <w:nsid w:val="63B56409"/>
    <w:multiLevelType w:val="multilevel"/>
    <w:tmpl w:val="63B56409"/>
    <w:lvl w:ilvl="0" w:tentative="0">
      <w:start w:val="1"/>
      <w:numFmt w:val="decimal"/>
      <w:pStyle w:val="227"/>
      <w:lvlText w:val="%1"/>
      <w:lvlJc w:val="left"/>
      <w:pPr>
        <w:tabs>
          <w:tab w:val="left" w:pos="1667"/>
        </w:tabs>
        <w:ind w:left="1667" w:hanging="420"/>
      </w:pPr>
      <w:rPr>
        <w:rFonts w:hint="eastAsia" w:eastAsia="宋体" w:cs="Times New Roman"/>
        <w:b w:val="0"/>
        <w:i w:val="0"/>
        <w:sz w:val="20"/>
        <w:szCs w:val="20"/>
      </w:rPr>
    </w:lvl>
    <w:lvl w:ilvl="1" w:tentative="0">
      <w:start w:val="1"/>
      <w:numFmt w:val="decimal"/>
      <w:lvlText w:val="%1.%2."/>
      <w:lvlJc w:val="left"/>
      <w:pPr>
        <w:tabs>
          <w:tab w:val="left" w:pos="1814"/>
        </w:tabs>
        <w:ind w:left="1814" w:hanging="567"/>
      </w:pPr>
      <w:rPr>
        <w:rFonts w:hint="eastAsia" w:cs="Times New Roman"/>
      </w:rPr>
    </w:lvl>
    <w:lvl w:ilvl="2" w:tentative="0">
      <w:start w:val="0"/>
      <w:numFmt w:val="none"/>
      <w:lvlText w:val=""/>
      <w:lvlJc w:val="left"/>
      <w:pPr>
        <w:tabs>
          <w:tab w:val="left" w:pos="360"/>
        </w:tabs>
      </w:pPr>
      <w:rPr>
        <w:rFonts w:hint="eastAsia" w:cs="Times New Roman"/>
      </w:rPr>
    </w:lvl>
    <w:lvl w:ilvl="3" w:tentative="0">
      <w:start w:val="1"/>
      <w:numFmt w:val="decimal"/>
      <w:lvlText w:val="%1.%2.%3.%4."/>
      <w:lvlJc w:val="left"/>
      <w:pPr>
        <w:tabs>
          <w:tab w:val="left" w:pos="2098"/>
        </w:tabs>
        <w:ind w:left="2098" w:hanging="851"/>
      </w:pPr>
      <w:rPr>
        <w:rFonts w:hint="eastAsia" w:cs="Times New Roman"/>
      </w:rPr>
    </w:lvl>
    <w:lvl w:ilvl="4" w:tentative="0">
      <w:start w:val="1"/>
      <w:numFmt w:val="decimal"/>
      <w:lvlText w:val="%1.%2.%3.%4.%5."/>
      <w:lvlJc w:val="left"/>
      <w:pPr>
        <w:tabs>
          <w:tab w:val="left" w:pos="2239"/>
        </w:tabs>
        <w:ind w:left="2239" w:hanging="992"/>
      </w:pPr>
      <w:rPr>
        <w:rFonts w:hint="eastAsia" w:cs="Times New Roman"/>
      </w:rPr>
    </w:lvl>
    <w:lvl w:ilvl="5" w:tentative="0">
      <w:start w:val="1"/>
      <w:numFmt w:val="decimal"/>
      <w:lvlText w:val="%1.%2.%3.%4.%5.%6."/>
      <w:lvlJc w:val="left"/>
      <w:pPr>
        <w:tabs>
          <w:tab w:val="left" w:pos="2381"/>
        </w:tabs>
        <w:ind w:left="2381" w:hanging="1134"/>
      </w:pPr>
      <w:rPr>
        <w:rFonts w:hint="eastAsia" w:cs="Times New Roman"/>
      </w:rPr>
    </w:lvl>
    <w:lvl w:ilvl="6" w:tentative="0">
      <w:start w:val="1"/>
      <w:numFmt w:val="decimal"/>
      <w:lvlText w:val="%1.%2.%3.%4.%5.%6.%7."/>
      <w:lvlJc w:val="left"/>
      <w:pPr>
        <w:tabs>
          <w:tab w:val="left" w:pos="2523"/>
        </w:tabs>
        <w:ind w:left="2523" w:hanging="1276"/>
      </w:pPr>
      <w:rPr>
        <w:rFonts w:hint="eastAsia" w:cs="Times New Roman"/>
      </w:rPr>
    </w:lvl>
    <w:lvl w:ilvl="7" w:tentative="0">
      <w:start w:val="1"/>
      <w:numFmt w:val="decimal"/>
      <w:lvlText w:val="%1.%2.%3.%4.%5.%6.%7.%8."/>
      <w:lvlJc w:val="left"/>
      <w:pPr>
        <w:tabs>
          <w:tab w:val="left" w:pos="2665"/>
        </w:tabs>
        <w:ind w:left="2665" w:hanging="1418"/>
      </w:pPr>
      <w:rPr>
        <w:rFonts w:hint="eastAsia" w:cs="Times New Roman"/>
      </w:rPr>
    </w:lvl>
    <w:lvl w:ilvl="8" w:tentative="0">
      <w:start w:val="1"/>
      <w:numFmt w:val="decimal"/>
      <w:lvlText w:val="%1.%2.%3.%4.%5.%6.%7.%8.%9."/>
      <w:lvlJc w:val="left"/>
      <w:pPr>
        <w:tabs>
          <w:tab w:val="left" w:pos="2806"/>
        </w:tabs>
        <w:ind w:left="2806" w:hanging="1559"/>
      </w:pPr>
      <w:rPr>
        <w:rFonts w:hint="eastAsia" w:cs="Times New Roman"/>
      </w:rPr>
    </w:lvl>
  </w:abstractNum>
  <w:abstractNum w:abstractNumId="7">
    <w:nsid w:val="646260FA"/>
    <w:multiLevelType w:val="multilevel"/>
    <w:tmpl w:val="646260FA"/>
    <w:lvl w:ilvl="0" w:tentative="0">
      <w:start w:val="1"/>
      <w:numFmt w:val="decimal"/>
      <w:pStyle w:val="111"/>
      <w:suff w:val="nothing"/>
      <w:lvlText w:val="表%1　"/>
      <w:lvlJc w:val="left"/>
      <w:pPr>
        <w:ind w:left="5775"/>
      </w:pPr>
      <w:rPr>
        <w:rFonts w:hint="eastAsia" w:ascii="黑体" w:hAnsi="Times New Roman" w:eastAsia="黑体" w:cs="Times New Roman"/>
        <w:b w:val="0"/>
        <w:i w:val="0"/>
        <w:sz w:val="21"/>
      </w:rPr>
    </w:lvl>
    <w:lvl w:ilvl="1" w:tentative="0">
      <w:start w:val="1"/>
      <w:numFmt w:val="decimal"/>
      <w:lvlText w:val="%1.%2"/>
      <w:lvlJc w:val="left"/>
      <w:pPr>
        <w:tabs>
          <w:tab w:val="left" w:pos="2882"/>
        </w:tabs>
        <w:ind w:left="2882" w:hanging="567"/>
      </w:pPr>
      <w:rPr>
        <w:rFonts w:hint="eastAsia" w:cs="Times New Roman"/>
      </w:rPr>
    </w:lvl>
    <w:lvl w:ilvl="2" w:tentative="0">
      <w:start w:val="1"/>
      <w:numFmt w:val="decimal"/>
      <w:lvlText w:val="%1.%2.%3"/>
      <w:lvlJc w:val="left"/>
      <w:pPr>
        <w:tabs>
          <w:tab w:val="left" w:pos="3308"/>
        </w:tabs>
        <w:ind w:left="3308" w:hanging="567"/>
      </w:pPr>
      <w:rPr>
        <w:rFonts w:hint="eastAsia" w:cs="Times New Roman"/>
      </w:rPr>
    </w:lvl>
    <w:lvl w:ilvl="3" w:tentative="0">
      <w:start w:val="1"/>
      <w:numFmt w:val="decimal"/>
      <w:lvlText w:val="%1.%2.%3.%4"/>
      <w:lvlJc w:val="left"/>
      <w:pPr>
        <w:tabs>
          <w:tab w:val="left" w:pos="3874"/>
        </w:tabs>
        <w:ind w:left="3874" w:hanging="708"/>
      </w:pPr>
      <w:rPr>
        <w:rFonts w:hint="eastAsia" w:cs="Times New Roman"/>
      </w:rPr>
    </w:lvl>
    <w:lvl w:ilvl="4" w:tentative="0">
      <w:start w:val="1"/>
      <w:numFmt w:val="decimal"/>
      <w:lvlText w:val="%1.%2.%3.%4.%5"/>
      <w:lvlJc w:val="left"/>
      <w:pPr>
        <w:tabs>
          <w:tab w:val="left" w:pos="4441"/>
        </w:tabs>
        <w:ind w:left="4441" w:hanging="850"/>
      </w:pPr>
      <w:rPr>
        <w:rFonts w:hint="eastAsia" w:cs="Times New Roman"/>
      </w:rPr>
    </w:lvl>
    <w:lvl w:ilvl="5" w:tentative="0">
      <w:start w:val="1"/>
      <w:numFmt w:val="decimal"/>
      <w:lvlText w:val="%1.%2.%3.%4.%5.%6"/>
      <w:lvlJc w:val="left"/>
      <w:pPr>
        <w:tabs>
          <w:tab w:val="left" w:pos="5150"/>
        </w:tabs>
        <w:ind w:left="5150" w:hanging="1134"/>
      </w:pPr>
      <w:rPr>
        <w:rFonts w:hint="eastAsia" w:cs="Times New Roman"/>
      </w:rPr>
    </w:lvl>
    <w:lvl w:ilvl="6" w:tentative="0">
      <w:start w:val="1"/>
      <w:numFmt w:val="decimal"/>
      <w:lvlText w:val="%1.%2.%3.%4.%5.%6.%7"/>
      <w:lvlJc w:val="left"/>
      <w:pPr>
        <w:tabs>
          <w:tab w:val="left" w:pos="5717"/>
        </w:tabs>
        <w:ind w:left="5717" w:hanging="1276"/>
      </w:pPr>
      <w:rPr>
        <w:rFonts w:hint="eastAsia" w:cs="Times New Roman"/>
      </w:rPr>
    </w:lvl>
    <w:lvl w:ilvl="7" w:tentative="0">
      <w:start w:val="1"/>
      <w:numFmt w:val="decimal"/>
      <w:lvlText w:val="%1.%2.%3.%4.%5.%6.%7.%8"/>
      <w:lvlJc w:val="left"/>
      <w:pPr>
        <w:tabs>
          <w:tab w:val="left" w:pos="6284"/>
        </w:tabs>
        <w:ind w:left="6284" w:hanging="1418"/>
      </w:pPr>
      <w:rPr>
        <w:rFonts w:hint="eastAsia" w:cs="Times New Roman"/>
      </w:rPr>
    </w:lvl>
    <w:lvl w:ilvl="8" w:tentative="0">
      <w:start w:val="1"/>
      <w:numFmt w:val="decimal"/>
      <w:lvlText w:val="%1.%2.%3.%4.%5.%6.%7.%8.%9"/>
      <w:lvlJc w:val="left"/>
      <w:pPr>
        <w:tabs>
          <w:tab w:val="left" w:pos="6992"/>
        </w:tabs>
        <w:ind w:left="6992" w:hanging="1700"/>
      </w:pPr>
      <w:rPr>
        <w:rFonts w:hint="eastAsia" w:cs="Times New Roman"/>
      </w:rPr>
    </w:lvl>
  </w:abstractNum>
  <w:abstractNum w:abstractNumId="8">
    <w:nsid w:val="680556DE"/>
    <w:multiLevelType w:val="multilevel"/>
    <w:tmpl w:val="680556DE"/>
    <w:lvl w:ilvl="0" w:tentative="0">
      <w:start w:val="8"/>
      <w:numFmt w:val="decimal"/>
      <w:lvlText w:val="%1"/>
      <w:lvlJc w:val="left"/>
      <w:pPr>
        <w:ind w:left="645" w:hanging="645"/>
      </w:pPr>
      <w:rPr>
        <w:rFonts w:hint="default" w:cs="Times New Roman"/>
      </w:rPr>
    </w:lvl>
    <w:lvl w:ilvl="1" w:tentative="0">
      <w:start w:val="1"/>
      <w:numFmt w:val="decimal"/>
      <w:pStyle w:val="215"/>
      <w:lvlText w:val="%1.%2"/>
      <w:lvlJc w:val="left"/>
      <w:pPr>
        <w:ind w:left="720" w:hanging="720"/>
      </w:pPr>
      <w:rPr>
        <w:rFonts w:hint="default" w:cs="Times New Roman"/>
      </w:rPr>
    </w:lvl>
    <w:lvl w:ilvl="2" w:tentative="0">
      <w:start w:val="1"/>
      <w:numFmt w:val="decimal"/>
      <w:lvlText w:val="%1.%2.%3"/>
      <w:lvlJc w:val="left"/>
      <w:pPr>
        <w:ind w:left="720" w:hanging="720"/>
      </w:pPr>
      <w:rPr>
        <w:rFonts w:hint="default" w:cs="Times New Roman"/>
      </w:rPr>
    </w:lvl>
    <w:lvl w:ilvl="3" w:tentative="0">
      <w:start w:val="1"/>
      <w:numFmt w:val="decimal"/>
      <w:lvlText w:val="%1.%2.%3.%4"/>
      <w:lvlJc w:val="left"/>
      <w:pPr>
        <w:ind w:left="1080" w:hanging="1080"/>
      </w:pPr>
      <w:rPr>
        <w:rFonts w:hint="default" w:cs="Times New Roman"/>
      </w:rPr>
    </w:lvl>
    <w:lvl w:ilvl="4" w:tentative="0">
      <w:start w:val="1"/>
      <w:numFmt w:val="decimal"/>
      <w:lvlText w:val="%1.%2.%3.%4.%5"/>
      <w:lvlJc w:val="left"/>
      <w:pPr>
        <w:ind w:left="1440" w:hanging="1440"/>
      </w:pPr>
      <w:rPr>
        <w:rFonts w:hint="default" w:cs="Times New Roman"/>
      </w:rPr>
    </w:lvl>
    <w:lvl w:ilvl="5" w:tentative="0">
      <w:start w:val="1"/>
      <w:numFmt w:val="decimal"/>
      <w:lvlText w:val="%1.%2.%3.%4.%5.%6"/>
      <w:lvlJc w:val="left"/>
      <w:pPr>
        <w:ind w:left="1440" w:hanging="1440"/>
      </w:pPr>
      <w:rPr>
        <w:rFonts w:hint="default" w:cs="Times New Roman"/>
      </w:rPr>
    </w:lvl>
    <w:lvl w:ilvl="6" w:tentative="0">
      <w:start w:val="1"/>
      <w:numFmt w:val="decimal"/>
      <w:lvlText w:val="%1.%2.%3.%4.%5.%6.%7"/>
      <w:lvlJc w:val="left"/>
      <w:pPr>
        <w:ind w:left="1800" w:hanging="1800"/>
      </w:pPr>
      <w:rPr>
        <w:rFonts w:hint="default" w:cs="Times New Roman"/>
      </w:rPr>
    </w:lvl>
    <w:lvl w:ilvl="7" w:tentative="0">
      <w:start w:val="1"/>
      <w:numFmt w:val="decimal"/>
      <w:lvlText w:val="%1.%2.%3.%4.%5.%6.%7.%8"/>
      <w:lvlJc w:val="left"/>
      <w:pPr>
        <w:ind w:left="1800" w:hanging="1800"/>
      </w:pPr>
      <w:rPr>
        <w:rFonts w:hint="default" w:cs="Times New Roman"/>
      </w:rPr>
    </w:lvl>
    <w:lvl w:ilvl="8" w:tentative="0">
      <w:start w:val="1"/>
      <w:numFmt w:val="decimal"/>
      <w:lvlText w:val="%1.%2.%3.%4.%5.%6.%7.%8.%9"/>
      <w:lvlJc w:val="left"/>
      <w:pPr>
        <w:ind w:left="2160" w:hanging="2160"/>
      </w:pPr>
      <w:rPr>
        <w:rFonts w:hint="default" w:cs="Times New Roman"/>
      </w:rPr>
    </w:lvl>
  </w:abstractNum>
  <w:abstractNum w:abstractNumId="9">
    <w:nsid w:val="6CEA2025"/>
    <w:multiLevelType w:val="multilevel"/>
    <w:tmpl w:val="6CEA2025"/>
    <w:lvl w:ilvl="0" w:tentative="0">
      <w:start w:val="1"/>
      <w:numFmt w:val="none"/>
      <w:pStyle w:val="64"/>
      <w:suff w:val="nothing"/>
      <w:lvlText w:val="%1"/>
      <w:lvlJc w:val="left"/>
      <w:rPr>
        <w:rFonts w:hint="default" w:ascii="Times New Roman" w:hAnsi="Times New Roman" w:cs="Times New Roman"/>
        <w:b/>
        <w:i w:val="0"/>
        <w:sz w:val="21"/>
      </w:rPr>
    </w:lvl>
    <w:lvl w:ilvl="1" w:tentative="0">
      <w:start w:val="1"/>
      <w:numFmt w:val="decimal"/>
      <w:pStyle w:val="67"/>
      <w:suff w:val="nothing"/>
      <w:lvlText w:val="%1%2　"/>
      <w:lvlJc w:val="left"/>
      <w:pPr>
        <w:ind w:left="1418"/>
      </w:pPr>
      <w:rPr>
        <w:rFonts w:hint="eastAsia" w:ascii="宋体" w:hAnsi="宋体" w:eastAsia="宋体" w:cs="Times New Roman"/>
        <w:b/>
        <w:i w:val="0"/>
        <w:sz w:val="32"/>
        <w:szCs w:val="32"/>
      </w:rPr>
    </w:lvl>
    <w:lvl w:ilvl="2" w:tentative="0">
      <w:start w:val="1"/>
      <w:numFmt w:val="decimal"/>
      <w:pStyle w:val="68"/>
      <w:suff w:val="nothing"/>
      <w:lvlText w:val="%1%2.%3　"/>
      <w:lvlJc w:val="left"/>
      <w:pPr>
        <w:ind w:left="142"/>
      </w:pPr>
      <w:rPr>
        <w:rFonts w:hint="eastAsia" w:ascii="宋体" w:hAnsi="宋体" w:eastAsia="宋体" w:cs="Times New Roman"/>
        <w:b/>
        <w:i w:val="0"/>
        <w:sz w:val="28"/>
        <w:szCs w:val="28"/>
      </w:rPr>
    </w:lvl>
    <w:lvl w:ilvl="3" w:tentative="0">
      <w:start w:val="1"/>
      <w:numFmt w:val="decimal"/>
      <w:suff w:val="nothing"/>
      <w:lvlText w:val="%1%2.%3.%4　"/>
      <w:lvlJc w:val="left"/>
      <w:pPr>
        <w:ind w:left="851"/>
      </w:pPr>
      <w:rPr>
        <w:rFonts w:hint="eastAsia" w:ascii="宋体" w:hAnsi="宋体" w:eastAsia="宋体" w:cs="Times New Roman"/>
        <w:b/>
        <w:i w:val="0"/>
        <w:sz w:val="24"/>
        <w:szCs w:val="24"/>
      </w:rPr>
    </w:lvl>
    <w:lvl w:ilvl="4" w:tentative="0">
      <w:start w:val="1"/>
      <w:numFmt w:val="decimal"/>
      <w:suff w:val="nothing"/>
      <w:lvlText w:val="%1%2.%3.%4.%5　"/>
      <w:lvlJc w:val="left"/>
      <w:pPr>
        <w:ind w:left="1080"/>
      </w:pPr>
      <w:rPr>
        <w:rFonts w:hint="eastAsia" w:ascii="黑体" w:hAnsi="Times New Roman" w:eastAsia="黑体" w:cs="Times New Roman"/>
        <w:b w:val="0"/>
        <w:i w:val="0"/>
        <w:sz w:val="21"/>
      </w:rPr>
    </w:lvl>
    <w:lvl w:ilvl="5" w:tentative="0">
      <w:start w:val="1"/>
      <w:numFmt w:val="decimal"/>
      <w:suff w:val="nothing"/>
      <w:lvlText w:val="%1%2.%3.%4.%5.%6　"/>
      <w:lvlJc w:val="left"/>
      <w:rPr>
        <w:rFonts w:hint="eastAsia" w:ascii="黑体" w:hAnsi="Times New Roman" w:eastAsia="黑体" w:cs="Times New Roman"/>
        <w:b w:val="0"/>
        <w:i w:val="0"/>
        <w:sz w:val="21"/>
      </w:rPr>
    </w:lvl>
    <w:lvl w:ilvl="6" w:tentative="0">
      <w:start w:val="1"/>
      <w:numFmt w:val="decimal"/>
      <w:suff w:val="nothing"/>
      <w:lvlText w:val="%1%2.%3.%4.%5.%6.%7　"/>
      <w:lvlJc w:val="left"/>
      <w:rPr>
        <w:rFonts w:hint="eastAsia" w:ascii="黑体" w:hAnsi="Times New Roman" w:eastAsia="黑体" w:cs="Times New Roman"/>
        <w:b w:val="0"/>
        <w:i w:val="0"/>
        <w:sz w:val="21"/>
      </w:rPr>
    </w:lvl>
    <w:lvl w:ilvl="7" w:tentative="0">
      <w:start w:val="1"/>
      <w:numFmt w:val="decimal"/>
      <w:lvlText w:val="%1.%2.%3.%4.%5.%6.%7.%8"/>
      <w:lvlJc w:val="left"/>
      <w:pPr>
        <w:tabs>
          <w:tab w:val="left" w:pos="4351"/>
        </w:tabs>
        <w:ind w:left="3969" w:hanging="1418"/>
      </w:pPr>
      <w:rPr>
        <w:rFonts w:hint="eastAsia" w:cs="Times New Roman"/>
      </w:rPr>
    </w:lvl>
    <w:lvl w:ilvl="8" w:tentative="0">
      <w:start w:val="1"/>
      <w:numFmt w:val="decimal"/>
      <w:lvlText w:val="%1.%2.%3.%4.%5.%6.%7.%8.%9"/>
      <w:lvlJc w:val="left"/>
      <w:pPr>
        <w:tabs>
          <w:tab w:val="left" w:pos="4777"/>
        </w:tabs>
        <w:ind w:left="4677" w:hanging="1700"/>
      </w:pPr>
      <w:rPr>
        <w:rFonts w:hint="eastAsia" w:cs="Times New Roman"/>
      </w:rPr>
    </w:lvl>
  </w:abstractNum>
  <w:abstractNum w:abstractNumId="10">
    <w:nsid w:val="6DBF04F4"/>
    <w:multiLevelType w:val="multilevel"/>
    <w:tmpl w:val="6DBF04F4"/>
    <w:lvl w:ilvl="0" w:tentative="0">
      <w:start w:val="1"/>
      <w:numFmt w:val="none"/>
      <w:pStyle w:val="113"/>
      <w:lvlText w:val="%1注："/>
      <w:lvlJc w:val="left"/>
      <w:pPr>
        <w:tabs>
          <w:tab w:val="left" w:pos="1140"/>
        </w:tabs>
        <w:ind w:left="840" w:hanging="420"/>
      </w:pPr>
      <w:rPr>
        <w:rFonts w:hint="eastAsia" w:ascii="宋体" w:hAnsi="Times New Roman" w:eastAsia="宋体" w:cs="Times New Roman"/>
        <w:b w:val="0"/>
        <w:i w:val="0"/>
        <w:sz w:val="18"/>
      </w:rPr>
    </w:lvl>
    <w:lvl w:ilvl="1" w:tentative="0">
      <w:start w:val="1"/>
      <w:numFmt w:val="lowerLetter"/>
      <w:lvlText w:val="%2)"/>
      <w:lvlJc w:val="left"/>
      <w:pPr>
        <w:tabs>
          <w:tab w:val="left" w:pos="840"/>
        </w:tabs>
        <w:ind w:left="840" w:hanging="420"/>
      </w:pPr>
      <w:rPr>
        <w:rFonts w:hint="default"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11">
    <w:nsid w:val="76933334"/>
    <w:multiLevelType w:val="multilevel"/>
    <w:tmpl w:val="76933334"/>
    <w:lvl w:ilvl="0" w:tentative="0">
      <w:start w:val="1"/>
      <w:numFmt w:val="none"/>
      <w:pStyle w:val="91"/>
      <w:lvlText w:val="%1——"/>
      <w:lvlJc w:val="left"/>
      <w:pPr>
        <w:tabs>
          <w:tab w:val="left" w:pos="1140"/>
        </w:tabs>
        <w:ind w:left="840" w:hanging="420"/>
      </w:pPr>
      <w:rPr>
        <w:rFonts w:hint="eastAsia"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9"/>
  </w:num>
  <w:num w:numId="2">
    <w:abstractNumId w:val="0"/>
  </w:num>
  <w:num w:numId="3">
    <w:abstractNumId w:val="11"/>
  </w:num>
  <w:num w:numId="4">
    <w:abstractNumId w:val="3"/>
  </w:num>
  <w:num w:numId="5">
    <w:abstractNumId w:val="1"/>
  </w:num>
  <w:num w:numId="6">
    <w:abstractNumId w:val="7"/>
  </w:num>
  <w:num w:numId="7">
    <w:abstractNumId w:val="5"/>
  </w:num>
  <w:num w:numId="8">
    <w:abstractNumId w:val="10"/>
  </w:num>
  <w:num w:numId="9">
    <w:abstractNumId w:val="4"/>
  </w:num>
  <w:num w:numId="10">
    <w:abstractNumId w:val="2"/>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371"/>
    <w:rsid w:val="000173BE"/>
    <w:rsid w:val="00037BF4"/>
    <w:rsid w:val="00040435"/>
    <w:rsid w:val="00047497"/>
    <w:rsid w:val="00052901"/>
    <w:rsid w:val="0008727F"/>
    <w:rsid w:val="000B604E"/>
    <w:rsid w:val="000E2F9B"/>
    <w:rsid w:val="000E7E6F"/>
    <w:rsid w:val="00104449"/>
    <w:rsid w:val="00135CA0"/>
    <w:rsid w:val="001633A1"/>
    <w:rsid w:val="00166B13"/>
    <w:rsid w:val="0017327E"/>
    <w:rsid w:val="00176909"/>
    <w:rsid w:val="00182C58"/>
    <w:rsid w:val="00191B61"/>
    <w:rsid w:val="00192193"/>
    <w:rsid w:val="001A1F88"/>
    <w:rsid w:val="001B593A"/>
    <w:rsid w:val="001C6030"/>
    <w:rsid w:val="001D30C3"/>
    <w:rsid w:val="001D49F3"/>
    <w:rsid w:val="001D6AE9"/>
    <w:rsid w:val="00200A9E"/>
    <w:rsid w:val="00204EB2"/>
    <w:rsid w:val="002162C7"/>
    <w:rsid w:val="002169EC"/>
    <w:rsid w:val="0023370A"/>
    <w:rsid w:val="00243F6E"/>
    <w:rsid w:val="00253C2C"/>
    <w:rsid w:val="002810A6"/>
    <w:rsid w:val="002A52B8"/>
    <w:rsid w:val="002B4716"/>
    <w:rsid w:val="002D4FB3"/>
    <w:rsid w:val="002E4CD3"/>
    <w:rsid w:val="00304E77"/>
    <w:rsid w:val="00306831"/>
    <w:rsid w:val="00311670"/>
    <w:rsid w:val="00320BFC"/>
    <w:rsid w:val="003274F2"/>
    <w:rsid w:val="00342F57"/>
    <w:rsid w:val="0034579E"/>
    <w:rsid w:val="003643FB"/>
    <w:rsid w:val="0036791F"/>
    <w:rsid w:val="003812FE"/>
    <w:rsid w:val="0038297B"/>
    <w:rsid w:val="00385B4F"/>
    <w:rsid w:val="003A27CF"/>
    <w:rsid w:val="003B76BA"/>
    <w:rsid w:val="003C4793"/>
    <w:rsid w:val="003E02F6"/>
    <w:rsid w:val="003E7242"/>
    <w:rsid w:val="00403002"/>
    <w:rsid w:val="00403A9A"/>
    <w:rsid w:val="00416579"/>
    <w:rsid w:val="0042010D"/>
    <w:rsid w:val="0047380E"/>
    <w:rsid w:val="00476A65"/>
    <w:rsid w:val="00483814"/>
    <w:rsid w:val="004855DD"/>
    <w:rsid w:val="004856EC"/>
    <w:rsid w:val="00493963"/>
    <w:rsid w:val="00494783"/>
    <w:rsid w:val="004A3A3C"/>
    <w:rsid w:val="004B25C1"/>
    <w:rsid w:val="004C0404"/>
    <w:rsid w:val="004C0BF0"/>
    <w:rsid w:val="004F2763"/>
    <w:rsid w:val="004F301B"/>
    <w:rsid w:val="004F7B1B"/>
    <w:rsid w:val="00502798"/>
    <w:rsid w:val="00503610"/>
    <w:rsid w:val="0050525F"/>
    <w:rsid w:val="00517B83"/>
    <w:rsid w:val="00527758"/>
    <w:rsid w:val="005334B9"/>
    <w:rsid w:val="00547B15"/>
    <w:rsid w:val="005A3A5F"/>
    <w:rsid w:val="005C1E86"/>
    <w:rsid w:val="005C39FD"/>
    <w:rsid w:val="005D105C"/>
    <w:rsid w:val="005D38F6"/>
    <w:rsid w:val="005D43DE"/>
    <w:rsid w:val="005E3D27"/>
    <w:rsid w:val="00604888"/>
    <w:rsid w:val="00654184"/>
    <w:rsid w:val="00655EFF"/>
    <w:rsid w:val="006651BA"/>
    <w:rsid w:val="0068032F"/>
    <w:rsid w:val="0068049B"/>
    <w:rsid w:val="00687757"/>
    <w:rsid w:val="006964E9"/>
    <w:rsid w:val="006A222F"/>
    <w:rsid w:val="006A5DDA"/>
    <w:rsid w:val="006F07E7"/>
    <w:rsid w:val="006F72FC"/>
    <w:rsid w:val="0070781D"/>
    <w:rsid w:val="00710C23"/>
    <w:rsid w:val="007172E3"/>
    <w:rsid w:val="00726385"/>
    <w:rsid w:val="007405E9"/>
    <w:rsid w:val="00743EAC"/>
    <w:rsid w:val="00746D03"/>
    <w:rsid w:val="00771509"/>
    <w:rsid w:val="007B4AB1"/>
    <w:rsid w:val="007C28AD"/>
    <w:rsid w:val="007C6138"/>
    <w:rsid w:val="007E2865"/>
    <w:rsid w:val="007E317E"/>
    <w:rsid w:val="007F074C"/>
    <w:rsid w:val="007F226B"/>
    <w:rsid w:val="008047CC"/>
    <w:rsid w:val="00816437"/>
    <w:rsid w:val="00826532"/>
    <w:rsid w:val="00835E68"/>
    <w:rsid w:val="00836A88"/>
    <w:rsid w:val="0084580F"/>
    <w:rsid w:val="0089565B"/>
    <w:rsid w:val="008A0705"/>
    <w:rsid w:val="008B284D"/>
    <w:rsid w:val="008B381B"/>
    <w:rsid w:val="008C5E76"/>
    <w:rsid w:val="008E35F0"/>
    <w:rsid w:val="00914178"/>
    <w:rsid w:val="009156EC"/>
    <w:rsid w:val="00920EC0"/>
    <w:rsid w:val="00925C4D"/>
    <w:rsid w:val="009312ED"/>
    <w:rsid w:val="009420AC"/>
    <w:rsid w:val="00955948"/>
    <w:rsid w:val="009611B7"/>
    <w:rsid w:val="00963345"/>
    <w:rsid w:val="00964E93"/>
    <w:rsid w:val="009A45AC"/>
    <w:rsid w:val="009B1768"/>
    <w:rsid w:val="009B3896"/>
    <w:rsid w:val="009C2001"/>
    <w:rsid w:val="009D3763"/>
    <w:rsid w:val="009E4CD4"/>
    <w:rsid w:val="009F2775"/>
    <w:rsid w:val="00A23743"/>
    <w:rsid w:val="00A35829"/>
    <w:rsid w:val="00A416F9"/>
    <w:rsid w:val="00A45637"/>
    <w:rsid w:val="00A5134E"/>
    <w:rsid w:val="00A73F4A"/>
    <w:rsid w:val="00A93371"/>
    <w:rsid w:val="00AA05A7"/>
    <w:rsid w:val="00AB3F6F"/>
    <w:rsid w:val="00AD70FE"/>
    <w:rsid w:val="00AE4AF5"/>
    <w:rsid w:val="00B00CE0"/>
    <w:rsid w:val="00B03B2E"/>
    <w:rsid w:val="00B03D6D"/>
    <w:rsid w:val="00B077E4"/>
    <w:rsid w:val="00B07E46"/>
    <w:rsid w:val="00B11B33"/>
    <w:rsid w:val="00B85549"/>
    <w:rsid w:val="00B930F8"/>
    <w:rsid w:val="00BA078B"/>
    <w:rsid w:val="00BB157D"/>
    <w:rsid w:val="00BC29AB"/>
    <w:rsid w:val="00BF0DAC"/>
    <w:rsid w:val="00BF6D6F"/>
    <w:rsid w:val="00C014E1"/>
    <w:rsid w:val="00C02D57"/>
    <w:rsid w:val="00C2245D"/>
    <w:rsid w:val="00C33E07"/>
    <w:rsid w:val="00C358A8"/>
    <w:rsid w:val="00C860D7"/>
    <w:rsid w:val="00CA2BA4"/>
    <w:rsid w:val="00CA7AD2"/>
    <w:rsid w:val="00CB535D"/>
    <w:rsid w:val="00CE24CC"/>
    <w:rsid w:val="00CF12CB"/>
    <w:rsid w:val="00CF6BF9"/>
    <w:rsid w:val="00D00C30"/>
    <w:rsid w:val="00D02873"/>
    <w:rsid w:val="00D10A93"/>
    <w:rsid w:val="00D13309"/>
    <w:rsid w:val="00D15DE5"/>
    <w:rsid w:val="00D27C7E"/>
    <w:rsid w:val="00D51D04"/>
    <w:rsid w:val="00D60F32"/>
    <w:rsid w:val="00D60F50"/>
    <w:rsid w:val="00D75D83"/>
    <w:rsid w:val="00D96662"/>
    <w:rsid w:val="00DB54CA"/>
    <w:rsid w:val="00DB5ACD"/>
    <w:rsid w:val="00DE2BA5"/>
    <w:rsid w:val="00DE417F"/>
    <w:rsid w:val="00DF24A0"/>
    <w:rsid w:val="00DF3C3D"/>
    <w:rsid w:val="00E12577"/>
    <w:rsid w:val="00E541F1"/>
    <w:rsid w:val="00ED48BD"/>
    <w:rsid w:val="00EE2F7E"/>
    <w:rsid w:val="00EF73C1"/>
    <w:rsid w:val="00F04757"/>
    <w:rsid w:val="00F0589D"/>
    <w:rsid w:val="00F44140"/>
    <w:rsid w:val="00F46C2F"/>
    <w:rsid w:val="00F5005F"/>
    <w:rsid w:val="00F5053C"/>
    <w:rsid w:val="00F77C3F"/>
    <w:rsid w:val="00FA064B"/>
    <w:rsid w:val="00FA43B3"/>
    <w:rsid w:val="00FC3618"/>
    <w:rsid w:val="00FC53DC"/>
    <w:rsid w:val="00FF3BE0"/>
    <w:rsid w:val="BF9743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paragraph" w:styleId="2">
    <w:name w:val="heading 1"/>
    <w:basedOn w:val="1"/>
    <w:next w:val="1"/>
    <w:link w:val="242"/>
    <w:uiPriority w:val="0"/>
    <w:pPr>
      <w:keepNext/>
      <w:keepLines/>
      <w:spacing w:before="340" w:after="330" w:line="578" w:lineRule="auto"/>
      <w:outlineLvl w:val="0"/>
    </w:pPr>
    <w:rPr>
      <w:b/>
      <w:bCs/>
      <w:kern w:val="44"/>
      <w:sz w:val="44"/>
      <w:szCs w:val="44"/>
    </w:rPr>
  </w:style>
  <w:style w:type="paragraph" w:styleId="3">
    <w:name w:val="heading 2"/>
    <w:basedOn w:val="1"/>
    <w:next w:val="1"/>
    <w:link w:val="243"/>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paragraph" w:styleId="5">
    <w:name w:val="heading 4"/>
    <w:basedOn w:val="1"/>
    <w:next w:val="1"/>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iPriority w:val="0"/>
    <w:pPr>
      <w:keepNext/>
      <w:keepLines/>
      <w:spacing w:before="280" w:after="290" w:line="376" w:lineRule="auto"/>
      <w:outlineLvl w:val="4"/>
    </w:pPr>
    <w:rPr>
      <w:b/>
      <w:bCs/>
      <w:sz w:val="28"/>
      <w:szCs w:val="28"/>
    </w:rPr>
  </w:style>
  <w:style w:type="paragraph" w:styleId="7">
    <w:name w:val="heading 6"/>
    <w:basedOn w:val="1"/>
    <w:next w:val="1"/>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uiPriority w:val="0"/>
    <w:pPr>
      <w:keepNext/>
      <w:keepLines/>
      <w:spacing w:before="240" w:after="64" w:line="320" w:lineRule="auto"/>
      <w:outlineLvl w:val="6"/>
    </w:pPr>
    <w:rPr>
      <w:b/>
      <w:bCs/>
      <w:sz w:val="24"/>
    </w:rPr>
  </w:style>
  <w:style w:type="paragraph" w:styleId="9">
    <w:name w:val="heading 8"/>
    <w:basedOn w:val="1"/>
    <w:next w:val="1"/>
    <w:uiPriority w:val="0"/>
    <w:pPr>
      <w:keepNext/>
      <w:keepLines/>
      <w:spacing w:before="240" w:after="64" w:line="320" w:lineRule="auto"/>
      <w:outlineLvl w:val="7"/>
    </w:pPr>
    <w:rPr>
      <w:rFonts w:ascii="Arial" w:hAnsi="Arial" w:eastAsia="黑体"/>
      <w:sz w:val="24"/>
    </w:rPr>
  </w:style>
  <w:style w:type="paragraph" w:styleId="10">
    <w:name w:val="heading 9"/>
    <w:basedOn w:val="1"/>
    <w:next w:val="1"/>
    <w:uiPriority w:val="0"/>
    <w:pPr>
      <w:keepNext/>
      <w:keepLines/>
      <w:spacing w:before="240" w:after="64" w:line="320" w:lineRule="auto"/>
      <w:outlineLvl w:val="8"/>
    </w:pPr>
    <w:rPr>
      <w:rFonts w:ascii="Arial" w:hAnsi="Arial" w:eastAsia="黑体"/>
      <w:szCs w:val="21"/>
    </w:rPr>
  </w:style>
  <w:style w:type="character" w:default="1" w:styleId="40">
    <w:name w:val="Default Paragraph Font"/>
    <w:semiHidden/>
    <w:uiPriority w:val="0"/>
  </w:style>
  <w:style w:type="table" w:default="1" w:styleId="54">
    <w:name w:val="Normal Table"/>
    <w:semiHidden/>
    <w:uiPriority w:val="0"/>
    <w:tblPr>
      <w:tblStyle w:val="54"/>
      <w:tblCellMar>
        <w:top w:w="0" w:type="dxa"/>
        <w:left w:w="108" w:type="dxa"/>
        <w:bottom w:w="0" w:type="dxa"/>
        <w:right w:w="108" w:type="dxa"/>
      </w:tblCellMar>
    </w:tblPr>
    <w:trPr>
      <w:wBefore w:w="0" w:type="dxa"/>
    </w:trPr>
  </w:style>
  <w:style w:type="paragraph" w:styleId="11">
    <w:name w:val="annotation subject"/>
    <w:basedOn w:val="12"/>
    <w:next w:val="12"/>
    <w:semiHidden/>
    <w:uiPriority w:val="0"/>
    <w:rPr>
      <w:b/>
      <w:bCs/>
    </w:rPr>
  </w:style>
  <w:style w:type="paragraph" w:styleId="12">
    <w:name w:val="annotation text"/>
    <w:basedOn w:val="1"/>
    <w:link w:val="241"/>
    <w:semiHidden/>
    <w:uiPriority w:val="0"/>
    <w:pPr>
      <w:jc w:val="left"/>
    </w:pPr>
  </w:style>
  <w:style w:type="paragraph" w:styleId="13">
    <w:name w:val="toc 7"/>
    <w:basedOn w:val="14"/>
    <w:next w:val="1"/>
    <w:semiHidden/>
    <w:uiPriority w:val="0"/>
    <w:pPr>
      <w:tabs>
        <w:tab w:val="right" w:leader="dot" w:pos="8812"/>
      </w:tabs>
      <w:ind w:left="1260"/>
    </w:pPr>
  </w:style>
  <w:style w:type="paragraph" w:styleId="14">
    <w:name w:val="toc 6"/>
    <w:basedOn w:val="15"/>
    <w:next w:val="1"/>
    <w:semiHidden/>
    <w:uiPriority w:val="0"/>
    <w:pPr>
      <w:tabs>
        <w:tab w:val="right" w:leader="dot" w:pos="8812"/>
      </w:tabs>
      <w:ind w:left="1050"/>
    </w:pPr>
  </w:style>
  <w:style w:type="paragraph" w:styleId="15">
    <w:name w:val="toc 5"/>
    <w:basedOn w:val="16"/>
    <w:next w:val="1"/>
    <w:semiHidden/>
    <w:uiPriority w:val="0"/>
    <w:pPr>
      <w:tabs>
        <w:tab w:val="right" w:leader="dot" w:pos="8812"/>
      </w:tabs>
      <w:ind w:left="840"/>
    </w:pPr>
  </w:style>
  <w:style w:type="paragraph" w:styleId="16">
    <w:name w:val="toc 4"/>
    <w:basedOn w:val="17"/>
    <w:next w:val="1"/>
    <w:semiHidden/>
    <w:uiPriority w:val="0"/>
    <w:pPr>
      <w:tabs>
        <w:tab w:val="right" w:leader="dot" w:pos="8812"/>
      </w:tabs>
      <w:ind w:left="630"/>
    </w:pPr>
    <w:rPr>
      <w:i w:val="0"/>
      <w:iCs w:val="0"/>
      <w:sz w:val="18"/>
      <w:szCs w:val="18"/>
    </w:rPr>
  </w:style>
  <w:style w:type="paragraph" w:styleId="17">
    <w:name w:val="toc 3"/>
    <w:basedOn w:val="18"/>
    <w:next w:val="1"/>
    <w:uiPriority w:val="0"/>
    <w:pPr>
      <w:tabs>
        <w:tab w:val="right" w:leader="dot" w:pos="8812"/>
      </w:tabs>
      <w:ind w:left="420"/>
    </w:pPr>
    <w:rPr>
      <w:i/>
      <w:iCs/>
      <w:smallCaps w:val="0"/>
    </w:rPr>
  </w:style>
  <w:style w:type="paragraph" w:styleId="18">
    <w:name w:val="toc 2"/>
    <w:basedOn w:val="19"/>
    <w:next w:val="1"/>
    <w:uiPriority w:val="0"/>
    <w:pPr>
      <w:tabs>
        <w:tab w:val="right" w:leader="dot" w:pos="8812"/>
      </w:tabs>
      <w:spacing w:line="560" w:lineRule="exact"/>
      <w:ind w:left="210"/>
    </w:pPr>
    <w:rPr>
      <w:b w:val="0"/>
      <w:bCs w:val="0"/>
      <w:caps w:val="0"/>
      <w:smallCaps/>
    </w:rPr>
  </w:style>
  <w:style w:type="paragraph" w:styleId="19">
    <w:name w:val="toc 1"/>
    <w:basedOn w:val="1"/>
    <w:next w:val="1"/>
    <w:uiPriority w:val="0"/>
    <w:pPr>
      <w:tabs>
        <w:tab w:val="right" w:leader="dot" w:pos="8812"/>
      </w:tabs>
      <w:jc w:val="left"/>
    </w:pPr>
    <w:rPr>
      <w:rFonts w:ascii="仿宋_GB2312" w:hAnsi="Calibri" w:eastAsia="仿宋_GB2312" w:cs="Calibri"/>
      <w:b/>
      <w:bCs/>
      <w:caps/>
      <w:sz w:val="28"/>
      <w:szCs w:val="28"/>
    </w:rPr>
  </w:style>
  <w:style w:type="paragraph" w:styleId="20">
    <w:name w:val="Body Text First Indent"/>
    <w:basedOn w:val="1"/>
    <w:uiPriority w:val="0"/>
    <w:pPr>
      <w:autoSpaceDE w:val="0"/>
      <w:autoSpaceDN w:val="0"/>
      <w:adjustRightInd w:val="0"/>
      <w:spacing w:line="360" w:lineRule="auto"/>
      <w:ind w:left="544" w:firstLine="567"/>
    </w:pPr>
    <w:rPr>
      <w:kern w:val="0"/>
      <w:sz w:val="24"/>
      <w:szCs w:val="20"/>
    </w:rPr>
  </w:style>
  <w:style w:type="paragraph" w:styleId="21">
    <w:name w:val="Normal Indent"/>
    <w:basedOn w:val="1"/>
    <w:uiPriority w:val="0"/>
    <w:pPr>
      <w:widowControl/>
      <w:tabs>
        <w:tab w:val="left" w:pos="794"/>
        <w:tab w:val="left" w:pos="1191"/>
        <w:tab w:val="left" w:pos="1588"/>
        <w:tab w:val="left" w:pos="1985"/>
      </w:tabs>
      <w:overflowPunct w:val="0"/>
      <w:autoSpaceDE w:val="0"/>
      <w:autoSpaceDN w:val="0"/>
      <w:adjustRightInd w:val="0"/>
      <w:spacing w:before="120"/>
      <w:ind w:left="794"/>
      <w:jc w:val="left"/>
      <w:textAlignment w:val="baseline"/>
    </w:pPr>
    <w:rPr>
      <w:kern w:val="0"/>
      <w:sz w:val="24"/>
      <w:szCs w:val="20"/>
      <w:lang w:val="en-GB"/>
    </w:rPr>
  </w:style>
  <w:style w:type="paragraph" w:styleId="22">
    <w:name w:val="caption"/>
    <w:basedOn w:val="1"/>
    <w:next w:val="1"/>
    <w:uiPriority w:val="0"/>
    <w:rPr>
      <w:rFonts w:ascii="Arial" w:hAnsi="Arial" w:eastAsia="黑体" w:cs="Arial"/>
      <w:sz w:val="20"/>
      <w:szCs w:val="20"/>
    </w:rPr>
  </w:style>
  <w:style w:type="paragraph" w:styleId="23">
    <w:name w:val="Document Map"/>
    <w:basedOn w:val="1"/>
    <w:semiHidden/>
    <w:uiPriority w:val="0"/>
    <w:pPr>
      <w:shd w:val="clear" w:color="auto" w:fill="000080"/>
    </w:pPr>
  </w:style>
  <w:style w:type="paragraph" w:styleId="24">
    <w:name w:val="Body Text 3"/>
    <w:basedOn w:val="1"/>
    <w:uiPriority w:val="0"/>
    <w:pPr>
      <w:spacing w:after="120"/>
    </w:pPr>
    <w:rPr>
      <w:sz w:val="16"/>
      <w:szCs w:val="16"/>
    </w:rPr>
  </w:style>
  <w:style w:type="paragraph" w:styleId="25">
    <w:name w:val="Body Text"/>
    <w:basedOn w:val="1"/>
    <w:uiPriority w:val="0"/>
    <w:pPr>
      <w:spacing w:after="120"/>
    </w:pPr>
  </w:style>
  <w:style w:type="paragraph" w:styleId="26">
    <w:name w:val="Body Text Indent"/>
    <w:basedOn w:val="1"/>
    <w:uiPriority w:val="0"/>
    <w:pPr>
      <w:spacing w:after="120"/>
      <w:ind w:left="420"/>
    </w:pPr>
  </w:style>
  <w:style w:type="paragraph" w:styleId="27">
    <w:name w:val="HTML Address"/>
    <w:basedOn w:val="1"/>
    <w:uiPriority w:val="0"/>
    <w:rPr>
      <w:i/>
      <w:iCs/>
    </w:rPr>
  </w:style>
  <w:style w:type="paragraph" w:styleId="28">
    <w:name w:val="toc 8"/>
    <w:basedOn w:val="13"/>
    <w:next w:val="1"/>
    <w:semiHidden/>
    <w:uiPriority w:val="0"/>
    <w:pPr>
      <w:ind w:left="1470"/>
    </w:pPr>
  </w:style>
  <w:style w:type="paragraph" w:styleId="29">
    <w:name w:val="Date"/>
    <w:basedOn w:val="1"/>
    <w:next w:val="1"/>
    <w:uiPriority w:val="0"/>
    <w:rPr>
      <w:szCs w:val="20"/>
    </w:rPr>
  </w:style>
  <w:style w:type="paragraph" w:styleId="30">
    <w:name w:val="Balloon Text"/>
    <w:basedOn w:val="1"/>
    <w:semiHidden/>
    <w:uiPriority w:val="0"/>
    <w:rPr>
      <w:sz w:val="18"/>
      <w:szCs w:val="18"/>
    </w:rPr>
  </w:style>
  <w:style w:type="paragraph" w:styleId="31">
    <w:name w:val="footer"/>
    <w:basedOn w:val="1"/>
    <w:link w:val="239"/>
    <w:uiPriority w:val="0"/>
    <w:pPr>
      <w:tabs>
        <w:tab w:val="center" w:pos="4153"/>
        <w:tab w:val="right" w:pos="8306"/>
      </w:tabs>
      <w:snapToGrid w:val="0"/>
      <w:ind w:right="210" w:rightChars="100"/>
      <w:jc w:val="right"/>
    </w:pPr>
    <w:rPr>
      <w:sz w:val="18"/>
      <w:szCs w:val="18"/>
    </w:rPr>
  </w:style>
  <w:style w:type="paragraph" w:styleId="32">
    <w:name w:val="Body Text First Indent 2"/>
    <w:basedOn w:val="26"/>
    <w:uiPriority w:val="0"/>
    <w:pPr>
      <w:ind w:left="200" w:leftChars="200" w:firstLine="420" w:firstLineChars="200"/>
    </w:pPr>
  </w:style>
  <w:style w:type="paragraph" w:styleId="33">
    <w:name w:val="header"/>
    <w:basedOn w:val="1"/>
    <w:link w:val="238"/>
    <w:uiPriority w:val="0"/>
    <w:pPr>
      <w:pBdr>
        <w:bottom w:val="single" w:color="auto" w:sz="6" w:space="1"/>
      </w:pBdr>
      <w:tabs>
        <w:tab w:val="center" w:pos="4153"/>
        <w:tab w:val="right" w:pos="8306"/>
      </w:tabs>
      <w:snapToGrid w:val="0"/>
      <w:jc w:val="center"/>
    </w:pPr>
    <w:rPr>
      <w:sz w:val="18"/>
      <w:szCs w:val="18"/>
    </w:rPr>
  </w:style>
  <w:style w:type="paragraph" w:styleId="34">
    <w:name w:val="footnote text"/>
    <w:basedOn w:val="1"/>
    <w:semiHidden/>
    <w:uiPriority w:val="0"/>
    <w:pPr>
      <w:snapToGrid w:val="0"/>
      <w:jc w:val="left"/>
    </w:pPr>
    <w:rPr>
      <w:sz w:val="18"/>
      <w:szCs w:val="18"/>
    </w:rPr>
  </w:style>
  <w:style w:type="paragraph" w:styleId="35">
    <w:name w:val="toc 9"/>
    <w:basedOn w:val="28"/>
    <w:next w:val="1"/>
    <w:semiHidden/>
    <w:uiPriority w:val="0"/>
    <w:pPr>
      <w:ind w:left="1680"/>
    </w:pPr>
  </w:style>
  <w:style w:type="paragraph" w:styleId="36">
    <w:name w:val="HTML Preformatted"/>
    <w:basedOn w:val="1"/>
    <w:uiPriority w:val="0"/>
    <w:rPr>
      <w:rFonts w:ascii="Courier New" w:hAnsi="Courier New" w:cs="Courier New"/>
      <w:sz w:val="20"/>
      <w:szCs w:val="20"/>
    </w:rPr>
  </w:style>
  <w:style w:type="paragraph" w:styleId="37">
    <w:name w:val="Normal (Web)"/>
    <w:basedOn w:val="1"/>
    <w:uiPriority w:val="0"/>
    <w:pPr>
      <w:widowControl/>
      <w:spacing w:before="100" w:beforeAutospacing="1" w:after="100" w:afterAutospacing="1"/>
      <w:jc w:val="left"/>
    </w:pPr>
    <w:rPr>
      <w:rFonts w:ascii="宋体" w:hAnsi="宋体" w:cs="宋体"/>
      <w:kern w:val="0"/>
      <w:sz w:val="24"/>
    </w:rPr>
  </w:style>
  <w:style w:type="paragraph" w:styleId="38">
    <w:name w:val="index 1"/>
    <w:basedOn w:val="1"/>
    <w:next w:val="1"/>
    <w:semiHidden/>
    <w:uiPriority w:val="0"/>
    <w:pPr>
      <w:widowControl/>
      <w:overflowPunct w:val="0"/>
      <w:autoSpaceDE w:val="0"/>
      <w:autoSpaceDN w:val="0"/>
      <w:adjustRightInd w:val="0"/>
      <w:ind w:left="200" w:hanging="200"/>
      <w:jc w:val="left"/>
      <w:textAlignment w:val="baseline"/>
    </w:pPr>
    <w:rPr>
      <w:kern w:val="0"/>
      <w:sz w:val="18"/>
      <w:szCs w:val="20"/>
      <w:lang w:val="en-GB"/>
    </w:rPr>
  </w:style>
  <w:style w:type="paragraph" w:styleId="39">
    <w:name w:val="Title"/>
    <w:basedOn w:val="1"/>
    <w:uiPriority w:val="0"/>
    <w:pPr>
      <w:spacing w:before="240" w:after="60"/>
      <w:jc w:val="center"/>
      <w:outlineLvl w:val="0"/>
    </w:pPr>
    <w:rPr>
      <w:rFonts w:ascii="Arial" w:hAnsi="Arial" w:cs="Arial"/>
      <w:b/>
      <w:bCs/>
      <w:sz w:val="32"/>
      <w:szCs w:val="32"/>
    </w:rPr>
  </w:style>
  <w:style w:type="character" w:styleId="41">
    <w:name w:val="page number"/>
    <w:basedOn w:val="40"/>
    <w:uiPriority w:val="0"/>
    <w:rPr>
      <w:rFonts w:ascii="Times New Roman" w:hAnsi="Times New Roman" w:eastAsia="宋体" w:cs="Times New Roman"/>
      <w:sz w:val="18"/>
    </w:rPr>
  </w:style>
  <w:style w:type="character" w:styleId="42">
    <w:name w:val="Emphasis"/>
    <w:basedOn w:val="40"/>
    <w:uiPriority w:val="0"/>
    <w:rPr>
      <w:rFonts w:cs="Times New Roman"/>
      <w:color w:val="CC0033"/>
    </w:rPr>
  </w:style>
  <w:style w:type="character" w:styleId="43">
    <w:name w:val="HTML Definition"/>
    <w:basedOn w:val="40"/>
    <w:uiPriority w:val="0"/>
    <w:rPr>
      <w:rFonts w:cs="Times New Roman"/>
      <w:i/>
      <w:iCs/>
    </w:rPr>
  </w:style>
  <w:style w:type="character" w:styleId="44">
    <w:name w:val="HTML Typewriter"/>
    <w:basedOn w:val="40"/>
    <w:uiPriority w:val="0"/>
    <w:rPr>
      <w:rFonts w:ascii="Courier New" w:hAnsi="Courier New" w:cs="Times New Roman"/>
      <w:sz w:val="20"/>
      <w:szCs w:val="20"/>
    </w:rPr>
  </w:style>
  <w:style w:type="character" w:styleId="45">
    <w:name w:val="HTML Acronym"/>
    <w:basedOn w:val="40"/>
    <w:uiPriority w:val="0"/>
    <w:rPr>
      <w:rFonts w:cs="Times New Roman"/>
    </w:rPr>
  </w:style>
  <w:style w:type="character" w:styleId="46">
    <w:name w:val="HTML Variable"/>
    <w:basedOn w:val="40"/>
    <w:uiPriority w:val="0"/>
    <w:rPr>
      <w:rFonts w:cs="Times New Roman"/>
      <w:i/>
      <w:iCs/>
    </w:rPr>
  </w:style>
  <w:style w:type="character" w:styleId="47">
    <w:name w:val="Hyperlink"/>
    <w:basedOn w:val="40"/>
    <w:uiPriority w:val="0"/>
    <w:rPr>
      <w:rFonts w:ascii="Times New Roman" w:hAnsi="Times New Roman" w:eastAsia="宋体"/>
      <w:color w:val="auto"/>
      <w:spacing w:val="0"/>
      <w:w w:val="100"/>
      <w:position w:val="0"/>
      <w:sz w:val="21"/>
      <w:u w:val="none"/>
      <w:vertAlign w:val="baseline"/>
    </w:rPr>
  </w:style>
  <w:style w:type="character" w:styleId="48">
    <w:name w:val="HTML Code"/>
    <w:basedOn w:val="40"/>
    <w:uiPriority w:val="0"/>
    <w:rPr>
      <w:rFonts w:ascii="Courier New" w:hAnsi="Courier New" w:cs="Times New Roman"/>
      <w:sz w:val="20"/>
      <w:szCs w:val="20"/>
    </w:rPr>
  </w:style>
  <w:style w:type="character" w:styleId="49">
    <w:name w:val="annotation reference"/>
    <w:basedOn w:val="40"/>
    <w:semiHidden/>
    <w:uiPriority w:val="0"/>
    <w:rPr>
      <w:rFonts w:cs="Times New Roman"/>
      <w:sz w:val="21"/>
      <w:szCs w:val="21"/>
    </w:rPr>
  </w:style>
  <w:style w:type="character" w:styleId="50">
    <w:name w:val="HTML Cite"/>
    <w:basedOn w:val="40"/>
    <w:uiPriority w:val="0"/>
    <w:rPr>
      <w:rFonts w:cs="Times New Roman"/>
      <w:i/>
      <w:iCs/>
    </w:rPr>
  </w:style>
  <w:style w:type="character" w:styleId="51">
    <w:name w:val="footnote reference"/>
    <w:basedOn w:val="40"/>
    <w:semiHidden/>
    <w:uiPriority w:val="0"/>
    <w:rPr>
      <w:rFonts w:cs="Times New Roman"/>
      <w:vertAlign w:val="superscript"/>
    </w:rPr>
  </w:style>
  <w:style w:type="character" w:styleId="52">
    <w:name w:val="HTML Keyboard"/>
    <w:basedOn w:val="40"/>
    <w:uiPriority w:val="0"/>
    <w:rPr>
      <w:rFonts w:ascii="Courier New" w:hAnsi="Courier New" w:cs="Times New Roman"/>
      <w:sz w:val="20"/>
      <w:szCs w:val="20"/>
    </w:rPr>
  </w:style>
  <w:style w:type="character" w:styleId="53">
    <w:name w:val="HTML Sample"/>
    <w:basedOn w:val="40"/>
    <w:uiPriority w:val="0"/>
    <w:rPr>
      <w:rFonts w:ascii="Courier New" w:hAnsi="Courier New" w:cs="Times New Roman"/>
    </w:rPr>
  </w:style>
  <w:style w:type="table" w:styleId="55">
    <w:name w:val="Table Grid"/>
    <w:basedOn w:val="54"/>
    <w:uiPriority w:val="0"/>
    <w:pPr>
      <w:widowControl w:val="0"/>
      <w:jc w:val="both"/>
    </w:pPr>
    <w:rPr>
      <w:lang w:val="en-US" w:eastAsia="zh-CN" w:bidi="ar-SA"/>
    </w:rPr>
    <w:tblPr>
      <w:tblStyle w:val="5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6">
    <w:name w:val="Table Grid 7"/>
    <w:basedOn w:val="54"/>
    <w:uiPriority w:val="0"/>
    <w:pPr>
      <w:widowControl w:val="0"/>
      <w:jc w:val="both"/>
    </w:pPr>
    <w:rPr>
      <w:b/>
      <w:bCs/>
      <w:lang w:val="en-US" w:eastAsia="zh-CN" w:bidi="ar-SA"/>
    </w:rPr>
    <w:tblPr>
      <w:tblStyle w:val="54"/>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blStylePr w:type="firstRow">
      <w:rPr>
        <w:rFonts w:cs="Times New Roman"/>
        <w:b w:val="0"/>
        <w:bCs w:val="0"/>
      </w:rPr>
      <w:tblPr>
        <w:tblStyle w:val="54"/>
      </w:tblPr>
      <w:tcPr>
        <w:tcBorders>
          <w:left w:val="single" w:color="000000" w:sz="12" w:space="0"/>
          <w:tl2br w:val="nil"/>
          <w:tr2bl w:val="nil"/>
        </w:tcBorders>
      </w:tcPr>
    </w:tblStylePr>
    <w:tblStylePr w:type="lastRow">
      <w:rPr>
        <w:rFonts w:cs="Times New Roman"/>
        <w:b w:val="0"/>
        <w:bCs w:val="0"/>
      </w:rPr>
      <w:tblPr>
        <w:tblStyle w:val="54"/>
      </w:tblPr>
      <w:tcPr>
        <w:tcBorders>
          <w:top w:val="single" w:color="000000" w:sz="6" w:space="0"/>
          <w:tl2br w:val="nil"/>
          <w:tr2bl w:val="nil"/>
        </w:tcBorders>
      </w:tcPr>
    </w:tblStylePr>
    <w:tblStylePr w:type="firstCol">
      <w:rPr>
        <w:rFonts w:cs="Times New Roman"/>
        <w:b w:val="0"/>
        <w:bCs w:val="0"/>
      </w:rPr>
      <w:tblPr>
        <w:tblStyle w:val="54"/>
      </w:tblPr>
      <w:tcPr>
        <w:tcBorders>
          <w:tl2br w:val="nil"/>
          <w:tr2bl w:val="nil"/>
        </w:tcBorders>
      </w:tcPr>
    </w:tblStylePr>
    <w:tblStylePr w:type="lastCol">
      <w:rPr>
        <w:rFonts w:cs="Times New Roman"/>
        <w:b w:val="0"/>
        <w:bCs w:val="0"/>
      </w:rPr>
      <w:tblPr>
        <w:tblStyle w:val="54"/>
      </w:tblPr>
      <w:tcPr>
        <w:tcBorders>
          <w:tl2br w:val="nil"/>
          <w:tr2bl w:val="nil"/>
        </w:tcBorders>
      </w:tcPr>
    </w:tblStylePr>
    <w:tblStylePr w:type="nwCell">
      <w:rPr>
        <w:rFonts w:cs="Times New Roman"/>
      </w:rPr>
      <w:tblPr>
        <w:tblStyle w:val="54"/>
      </w:tblPr>
      <w:tcPr>
        <w:tcBorders>
          <w:tl2br w:val="single" w:color="000000" w:sz="6" w:space="0"/>
          <w:tr2bl w:val="nil"/>
        </w:tcBorders>
      </w:tcPr>
    </w:tblStylePr>
  </w:style>
  <w:style w:type="paragraph" w:customStyle="1" w:styleId="57">
    <w:name w:val="标准标志"/>
    <w:next w:val="1"/>
    <w:uiPriority w:val="0"/>
    <w:pPr>
      <w:framePr w:w="2268" w:h="1392" w:hRule="exact" w:wrap="around" w:vAnchor="margin" w:hAnchor="margin" w:x="6748" w:y="171" w:anchorLock="1"/>
      <w:shd w:val="solid" w:color="FFFFFF" w:fill="FFFFFF"/>
      <w:spacing w:line="240" w:lineRule="atLeast"/>
      <w:jc w:val="right"/>
    </w:pPr>
    <w:rPr>
      <w:b/>
      <w:w w:val="130"/>
      <w:sz w:val="96"/>
      <w:lang w:val="en-US" w:eastAsia="zh-CN" w:bidi="ar-SA"/>
    </w:rPr>
  </w:style>
  <w:style w:type="paragraph" w:customStyle="1" w:styleId="58">
    <w:name w:val="标准称谓"/>
    <w:next w:val="1"/>
    <w:uiPriority w:val="0"/>
    <w:pPr>
      <w:framePr w:w="9638" w:h="754" w:hRule="exact" w:hSpace="180" w:vSpace="180" w:wrap="around" w:vAnchor="page" w:hAnchor="margin" w:xAlign="center" w:y="2128" w:anchorLock="1"/>
      <w:widowControl w:val="0"/>
      <w:kinsoku w:val="0"/>
      <w:overflowPunct w:val="0"/>
      <w:autoSpaceDE w:val="0"/>
      <w:autoSpaceDN w:val="0"/>
      <w:spacing w:line="240" w:lineRule="atLeast"/>
      <w:jc w:val="distribute"/>
    </w:pPr>
    <w:rPr>
      <w:rFonts w:ascii="宋体"/>
      <w:b/>
      <w:bCs/>
      <w:spacing w:val="20"/>
      <w:w w:val="148"/>
      <w:sz w:val="52"/>
      <w:lang w:val="en-US" w:eastAsia="zh-CN" w:bidi="ar-SA"/>
    </w:rPr>
  </w:style>
  <w:style w:type="paragraph" w:customStyle="1" w:styleId="59">
    <w:name w:val="标准书脚_偶数页"/>
    <w:uiPriority w:val="0"/>
    <w:pPr>
      <w:spacing w:before="120"/>
    </w:pPr>
    <w:rPr>
      <w:sz w:val="18"/>
      <w:lang w:val="en-US" w:eastAsia="zh-CN" w:bidi="ar-SA"/>
    </w:rPr>
  </w:style>
  <w:style w:type="paragraph" w:customStyle="1" w:styleId="60">
    <w:name w:val="标准书脚_奇数页"/>
    <w:uiPriority w:val="0"/>
    <w:pPr>
      <w:spacing w:before="120"/>
      <w:jc w:val="right"/>
    </w:pPr>
    <w:rPr>
      <w:sz w:val="18"/>
      <w:lang w:val="en-US" w:eastAsia="zh-CN" w:bidi="ar-SA"/>
    </w:rPr>
  </w:style>
  <w:style w:type="paragraph" w:customStyle="1" w:styleId="61">
    <w:name w:val="标准书眉_奇数页"/>
    <w:next w:val="1"/>
    <w:uiPriority w:val="0"/>
    <w:pPr>
      <w:tabs>
        <w:tab w:val="center" w:pos="4154"/>
        <w:tab w:val="right" w:pos="8306"/>
      </w:tabs>
      <w:spacing w:after="120"/>
      <w:jc w:val="right"/>
    </w:pPr>
    <w:rPr>
      <w:sz w:val="21"/>
      <w:lang w:val="en-US" w:eastAsia="zh-CN" w:bidi="ar-SA"/>
    </w:rPr>
  </w:style>
  <w:style w:type="paragraph" w:customStyle="1" w:styleId="62">
    <w:name w:val="标准书眉_偶数页"/>
    <w:basedOn w:val="61"/>
    <w:next w:val="1"/>
    <w:uiPriority w:val="0"/>
    <w:pPr>
      <w:jc w:val="left"/>
    </w:pPr>
  </w:style>
  <w:style w:type="paragraph" w:customStyle="1" w:styleId="63">
    <w:name w:val="标准书眉一"/>
    <w:uiPriority w:val="0"/>
    <w:pPr>
      <w:jc w:val="both"/>
    </w:pPr>
    <w:rPr>
      <w:lang w:val="en-US" w:eastAsia="zh-CN" w:bidi="ar-SA"/>
    </w:rPr>
  </w:style>
  <w:style w:type="paragraph" w:customStyle="1" w:styleId="64">
    <w:name w:val="前言、引言标题"/>
    <w:next w:val="1"/>
    <w:uiPriority w:val="0"/>
    <w:pPr>
      <w:numPr>
        <w:ilvl w:val="0"/>
        <w:numId w:val="1"/>
      </w:numPr>
      <w:shd w:val="clear" w:color="FFFFFF" w:fill="FFFFFF"/>
      <w:spacing w:before="640" w:after="560"/>
      <w:jc w:val="center"/>
      <w:outlineLvl w:val="0"/>
    </w:pPr>
    <w:rPr>
      <w:rFonts w:ascii="黑体" w:eastAsia="黑体"/>
      <w:sz w:val="32"/>
      <w:lang w:val="en-US" w:eastAsia="zh-CN" w:bidi="ar-SA"/>
    </w:rPr>
  </w:style>
  <w:style w:type="paragraph" w:customStyle="1" w:styleId="65">
    <w:name w:val="参考文献、索引标题"/>
    <w:basedOn w:val="64"/>
    <w:next w:val="1"/>
    <w:uiPriority w:val="0"/>
    <w:pPr>
      <w:numPr>
        <w:ilvl w:val="0"/>
        <w:numId w:val="0"/>
      </w:numPr>
      <w:spacing w:after="200"/>
    </w:pPr>
    <w:rPr>
      <w:sz w:val="21"/>
    </w:rPr>
  </w:style>
  <w:style w:type="paragraph" w:customStyle="1" w:styleId="66">
    <w:name w:val="段"/>
    <w:link w:val="237"/>
    <w:uiPriority w:val="0"/>
    <w:pPr>
      <w:autoSpaceDE w:val="0"/>
      <w:autoSpaceDN w:val="0"/>
      <w:ind w:firstLine="200" w:firstLineChars="200"/>
      <w:jc w:val="both"/>
    </w:pPr>
    <w:rPr>
      <w:rFonts w:ascii="宋体"/>
      <w:sz w:val="21"/>
      <w:lang w:val="en-US" w:eastAsia="zh-CN" w:bidi="ar-SA"/>
    </w:rPr>
  </w:style>
  <w:style w:type="paragraph" w:customStyle="1" w:styleId="67">
    <w:name w:val="章标题"/>
    <w:next w:val="66"/>
    <w:uiPriority w:val="0"/>
    <w:pPr>
      <w:numPr>
        <w:ilvl w:val="1"/>
        <w:numId w:val="1"/>
      </w:numPr>
      <w:spacing w:beforeLines="50" w:afterLines="50"/>
      <w:jc w:val="both"/>
      <w:outlineLvl w:val="0"/>
    </w:pPr>
    <w:rPr>
      <w:rFonts w:eastAsia="黑体"/>
      <w:sz w:val="28"/>
      <w:lang w:val="en-US" w:eastAsia="zh-CN" w:bidi="ar-SA"/>
    </w:rPr>
  </w:style>
  <w:style w:type="paragraph" w:customStyle="1" w:styleId="68">
    <w:name w:val="一级条标题"/>
    <w:basedOn w:val="67"/>
    <w:next w:val="66"/>
    <w:uiPriority w:val="0"/>
    <w:pPr>
      <w:numPr>
        <w:ilvl w:val="2"/>
        <w:numId w:val="1"/>
      </w:numPr>
      <w:ind w:left="426"/>
      <w:outlineLvl w:val="2"/>
    </w:pPr>
  </w:style>
  <w:style w:type="paragraph" w:customStyle="1" w:styleId="69">
    <w:name w:val="二级条标题"/>
    <w:basedOn w:val="68"/>
    <w:next w:val="66"/>
    <w:uiPriority w:val="0"/>
    <w:pPr>
      <w:numPr>
        <w:ilvl w:val="0"/>
        <w:numId w:val="0"/>
      </w:numPr>
      <w:spacing w:beforeLines="0" w:afterLines="0" w:line="360" w:lineRule="auto"/>
      <w:ind w:left="420"/>
    </w:pPr>
    <w:rPr>
      <w:rFonts w:ascii="宋体" w:hAnsi="宋体" w:eastAsia="宋体"/>
    </w:rPr>
  </w:style>
  <w:style w:type="paragraph" w:customStyle="1" w:styleId="70">
    <w:name w:val="二级无标题条"/>
    <w:basedOn w:val="1"/>
    <w:uiPriority w:val="0"/>
    <w:pPr>
      <w:numPr>
        <w:ilvl w:val="3"/>
        <w:numId w:val="2"/>
      </w:numPr>
    </w:pPr>
  </w:style>
  <w:style w:type="paragraph" w:customStyle="1" w:styleId="71">
    <w:name w:val="发布部门"/>
    <w:next w:val="66"/>
    <w:uiPriority w:val="0"/>
    <w:pPr>
      <w:framePr w:w="7433" w:h="585" w:hRule="exact" w:hSpace="180" w:vSpace="180" w:wrap="around" w:vAnchor="margin" w:hAnchor="margin" w:xAlign="center" w:y="14401" w:anchorLock="1"/>
      <w:jc w:val="center"/>
    </w:pPr>
    <w:rPr>
      <w:rFonts w:ascii="宋体"/>
      <w:b/>
      <w:spacing w:val="20"/>
      <w:w w:val="135"/>
      <w:sz w:val="36"/>
      <w:lang w:val="en-US" w:eastAsia="zh-CN" w:bidi="ar-SA"/>
    </w:rPr>
  </w:style>
  <w:style w:type="paragraph" w:customStyle="1" w:styleId="72">
    <w:name w:val="发布日期"/>
    <w:uiPriority w:val="0"/>
    <w:pPr>
      <w:framePr w:w="4000" w:h="473" w:hRule="exact" w:hSpace="180" w:vSpace="180" w:wrap="around" w:vAnchor="margin" w:hAnchor="margin" w:y="13511" w:anchorLock="1"/>
    </w:pPr>
    <w:rPr>
      <w:rFonts w:eastAsia="黑体"/>
      <w:sz w:val="28"/>
      <w:lang w:val="en-US" w:eastAsia="zh-CN" w:bidi="ar-SA"/>
    </w:rPr>
  </w:style>
  <w:style w:type="paragraph" w:customStyle="1" w:styleId="73">
    <w:name w:val="封面标准号1"/>
    <w:uiPriority w:val="0"/>
    <w:pPr>
      <w:widowControl w:val="0"/>
      <w:kinsoku w:val="0"/>
      <w:overflowPunct w:val="0"/>
      <w:autoSpaceDE w:val="0"/>
      <w:autoSpaceDN w:val="0"/>
      <w:spacing w:before="308"/>
      <w:jc w:val="right"/>
      <w:textAlignment w:val="center"/>
    </w:pPr>
    <w:rPr>
      <w:sz w:val="28"/>
      <w:lang w:val="en-US" w:eastAsia="zh-CN" w:bidi="ar-SA"/>
    </w:rPr>
  </w:style>
  <w:style w:type="paragraph" w:customStyle="1" w:styleId="74">
    <w:name w:val="封面标准号2"/>
    <w:basedOn w:val="73"/>
    <w:uiPriority w:val="0"/>
    <w:pPr>
      <w:framePr w:w="9138" w:h="1244" w:hRule="exact" w:wrap="around" w:vAnchor="page" w:hAnchor="margin" w:y="2908"/>
      <w:adjustRightInd w:val="0"/>
      <w:spacing w:before="357" w:line="280" w:lineRule="exact"/>
    </w:pPr>
  </w:style>
  <w:style w:type="paragraph" w:customStyle="1" w:styleId="75">
    <w:name w:val="封面标准代替信息"/>
    <w:basedOn w:val="74"/>
    <w:uiPriority w:val="0"/>
    <w:pPr>
      <w:spacing w:before="57"/>
    </w:pPr>
    <w:rPr>
      <w:rFonts w:ascii="宋体"/>
      <w:sz w:val="21"/>
    </w:rPr>
  </w:style>
  <w:style w:type="paragraph" w:customStyle="1" w:styleId="76">
    <w:name w:val="封面标准名称"/>
    <w:uiPriority w:val="0"/>
    <w:pPr>
      <w:framePr w:w="9638" w:h="6917" w:hRule="exact" w:wrap="around" w:vAnchor="margin" w:hAnchor="margin" w:xAlign="center" w:y="5955" w:anchorLock="1"/>
      <w:widowControl w:val="0"/>
      <w:spacing w:line="680" w:lineRule="exact"/>
      <w:jc w:val="center"/>
      <w:textAlignment w:val="center"/>
    </w:pPr>
    <w:rPr>
      <w:rFonts w:ascii="黑体" w:eastAsia="黑体"/>
      <w:sz w:val="52"/>
      <w:lang w:val="en-US" w:eastAsia="zh-CN" w:bidi="ar-SA"/>
    </w:rPr>
  </w:style>
  <w:style w:type="paragraph" w:customStyle="1" w:styleId="77">
    <w:name w:val="封面标准文稿编辑信息"/>
    <w:uiPriority w:val="0"/>
    <w:pPr>
      <w:spacing w:before="180" w:line="180" w:lineRule="exact"/>
      <w:jc w:val="center"/>
    </w:pPr>
    <w:rPr>
      <w:rFonts w:ascii="宋体"/>
      <w:sz w:val="21"/>
      <w:lang w:val="en-US" w:eastAsia="zh-CN" w:bidi="ar-SA"/>
    </w:rPr>
  </w:style>
  <w:style w:type="paragraph" w:customStyle="1" w:styleId="78">
    <w:name w:val="封面标准文稿类别"/>
    <w:uiPriority w:val="0"/>
    <w:pPr>
      <w:spacing w:before="440" w:line="400" w:lineRule="exact"/>
      <w:jc w:val="center"/>
    </w:pPr>
    <w:rPr>
      <w:rFonts w:ascii="宋体"/>
      <w:sz w:val="24"/>
      <w:lang w:val="en-US" w:eastAsia="zh-CN" w:bidi="ar-SA"/>
    </w:rPr>
  </w:style>
  <w:style w:type="paragraph" w:customStyle="1" w:styleId="79">
    <w:name w:val="封面标准英文名称"/>
    <w:uiPriority w:val="0"/>
    <w:pPr>
      <w:widowControl w:val="0"/>
      <w:spacing w:before="370" w:line="400" w:lineRule="exact"/>
      <w:jc w:val="center"/>
    </w:pPr>
    <w:rPr>
      <w:sz w:val="28"/>
      <w:lang w:val="en-US" w:eastAsia="zh-CN" w:bidi="ar-SA"/>
    </w:rPr>
  </w:style>
  <w:style w:type="paragraph" w:customStyle="1" w:styleId="80">
    <w:name w:val="封面一致性程度标识"/>
    <w:uiPriority w:val="0"/>
    <w:pPr>
      <w:spacing w:before="440" w:line="400" w:lineRule="exact"/>
      <w:jc w:val="center"/>
    </w:pPr>
    <w:rPr>
      <w:rFonts w:ascii="宋体"/>
      <w:sz w:val="28"/>
      <w:lang w:val="en-US" w:eastAsia="zh-CN" w:bidi="ar-SA"/>
    </w:rPr>
  </w:style>
  <w:style w:type="paragraph" w:customStyle="1" w:styleId="81">
    <w:name w:val="封面正文"/>
    <w:uiPriority w:val="0"/>
    <w:pPr>
      <w:jc w:val="both"/>
    </w:pPr>
    <w:rPr>
      <w:lang w:val="en-US" w:eastAsia="zh-CN" w:bidi="ar-SA"/>
    </w:rPr>
  </w:style>
  <w:style w:type="paragraph" w:customStyle="1" w:styleId="82">
    <w:name w:val="附录标识"/>
    <w:basedOn w:val="64"/>
    <w:uiPriority w:val="0"/>
    <w:pPr>
      <w:numPr>
        <w:ilvl w:val="0"/>
        <w:numId w:val="0"/>
      </w:numPr>
      <w:tabs>
        <w:tab w:val="left" w:pos="6405"/>
      </w:tabs>
      <w:spacing w:after="200"/>
    </w:pPr>
    <w:rPr>
      <w:sz w:val="21"/>
    </w:rPr>
  </w:style>
  <w:style w:type="paragraph" w:customStyle="1" w:styleId="83">
    <w:name w:val="附录表标题"/>
    <w:next w:val="66"/>
    <w:uiPriority w:val="0"/>
    <w:pPr>
      <w:jc w:val="center"/>
      <w:textAlignment w:val="baseline"/>
    </w:pPr>
    <w:rPr>
      <w:rFonts w:ascii="黑体" w:eastAsia="黑体"/>
      <w:kern w:val="21"/>
      <w:sz w:val="21"/>
      <w:lang w:val="en-US" w:eastAsia="zh-CN" w:bidi="ar-SA"/>
    </w:rPr>
  </w:style>
  <w:style w:type="paragraph" w:customStyle="1" w:styleId="84">
    <w:name w:val="附录章标题"/>
    <w:next w:val="66"/>
    <w:uiPriority w:val="0"/>
    <w:pPr>
      <w:wordWrap w:val="0"/>
      <w:overflowPunct w:val="0"/>
      <w:autoSpaceDE w:val="0"/>
      <w:spacing w:beforeLines="50" w:afterLines="50"/>
      <w:jc w:val="both"/>
      <w:textAlignment w:val="baseline"/>
      <w:outlineLvl w:val="1"/>
    </w:pPr>
    <w:rPr>
      <w:rFonts w:ascii="黑体" w:eastAsia="黑体"/>
      <w:kern w:val="21"/>
      <w:sz w:val="21"/>
      <w:lang w:val="en-US" w:eastAsia="zh-CN" w:bidi="ar-SA"/>
    </w:rPr>
  </w:style>
  <w:style w:type="paragraph" w:customStyle="1" w:styleId="85">
    <w:name w:val="附录一级条标题"/>
    <w:basedOn w:val="84"/>
    <w:next w:val="66"/>
    <w:uiPriority w:val="0"/>
    <w:pPr>
      <w:autoSpaceDN w:val="0"/>
      <w:outlineLvl w:val="2"/>
    </w:pPr>
  </w:style>
  <w:style w:type="paragraph" w:customStyle="1" w:styleId="86">
    <w:name w:val="附录二级条标题"/>
    <w:basedOn w:val="85"/>
    <w:next w:val="66"/>
    <w:uiPriority w:val="0"/>
    <w:pPr>
      <w:spacing w:before="120" w:after="120"/>
      <w:outlineLvl w:val="3"/>
    </w:pPr>
  </w:style>
  <w:style w:type="paragraph" w:customStyle="1" w:styleId="87">
    <w:name w:val="附录三级条标题"/>
    <w:basedOn w:val="86"/>
    <w:next w:val="66"/>
    <w:uiPriority w:val="0"/>
    <w:pPr>
      <w:outlineLvl w:val="4"/>
    </w:pPr>
  </w:style>
  <w:style w:type="paragraph" w:customStyle="1" w:styleId="88">
    <w:name w:val="附录四级条标题"/>
    <w:basedOn w:val="87"/>
    <w:next w:val="66"/>
    <w:uiPriority w:val="0"/>
    <w:pPr>
      <w:outlineLvl w:val="5"/>
    </w:pPr>
  </w:style>
  <w:style w:type="paragraph" w:customStyle="1" w:styleId="89">
    <w:name w:val="附录图标题"/>
    <w:next w:val="66"/>
    <w:uiPriority w:val="0"/>
    <w:pPr>
      <w:spacing w:beforeLines="50" w:afterLines="50"/>
      <w:jc w:val="center"/>
    </w:pPr>
    <w:rPr>
      <w:rFonts w:ascii="黑体" w:eastAsia="黑体"/>
      <w:sz w:val="21"/>
      <w:lang w:val="en-US" w:eastAsia="zh-CN" w:bidi="ar-SA"/>
    </w:rPr>
  </w:style>
  <w:style w:type="paragraph" w:customStyle="1" w:styleId="90">
    <w:name w:val="附录五级条标题"/>
    <w:basedOn w:val="88"/>
    <w:next w:val="66"/>
    <w:uiPriority w:val="0"/>
    <w:pPr>
      <w:outlineLvl w:val="6"/>
    </w:pPr>
  </w:style>
  <w:style w:type="paragraph" w:customStyle="1" w:styleId="91">
    <w:name w:val="列项——"/>
    <w:uiPriority w:val="0"/>
    <w:pPr>
      <w:widowControl w:val="0"/>
      <w:numPr>
        <w:ilvl w:val="0"/>
        <w:numId w:val="3"/>
      </w:numPr>
      <w:jc w:val="both"/>
    </w:pPr>
    <w:rPr>
      <w:rFonts w:ascii="宋体"/>
      <w:sz w:val="21"/>
      <w:lang w:val="en-US" w:eastAsia="zh-CN" w:bidi="ar-SA"/>
    </w:rPr>
  </w:style>
  <w:style w:type="paragraph" w:customStyle="1" w:styleId="92">
    <w:name w:val="列项·"/>
    <w:uiPriority w:val="0"/>
    <w:pPr>
      <w:numPr>
        <w:ilvl w:val="0"/>
        <w:numId w:val="4"/>
      </w:numPr>
      <w:tabs>
        <w:tab w:val="left" w:pos="840"/>
        <w:tab w:val="clear" w:pos="-540"/>
      </w:tabs>
      <w:spacing w:beforeLines="50" w:afterLines="50"/>
      <w:ind w:left="400" w:leftChars="200" w:hanging="200" w:hangingChars="200"/>
      <w:jc w:val="both"/>
    </w:pPr>
    <w:rPr>
      <w:rFonts w:ascii="宋体"/>
      <w:sz w:val="21"/>
      <w:lang w:val="en-US" w:eastAsia="zh-CN" w:bidi="ar-SA"/>
    </w:rPr>
  </w:style>
  <w:style w:type="paragraph" w:customStyle="1" w:styleId="93">
    <w:name w:val="目次、标准名称标题"/>
    <w:basedOn w:val="64"/>
    <w:next w:val="66"/>
    <w:uiPriority w:val="0"/>
    <w:pPr>
      <w:numPr>
        <w:ilvl w:val="0"/>
        <w:numId w:val="0"/>
      </w:numPr>
      <w:spacing w:line="460" w:lineRule="exact"/>
    </w:pPr>
  </w:style>
  <w:style w:type="paragraph" w:customStyle="1" w:styleId="94">
    <w:name w:val="目次、索引正文"/>
    <w:uiPriority w:val="0"/>
    <w:pPr>
      <w:spacing w:line="320" w:lineRule="exact"/>
      <w:jc w:val="both"/>
    </w:pPr>
    <w:rPr>
      <w:rFonts w:ascii="宋体"/>
      <w:sz w:val="21"/>
      <w:lang w:val="en-US" w:eastAsia="zh-CN" w:bidi="ar-SA"/>
    </w:rPr>
  </w:style>
  <w:style w:type="paragraph" w:customStyle="1" w:styleId="95">
    <w:name w:val="其他标准称谓"/>
    <w:uiPriority w:val="0"/>
    <w:pPr>
      <w:spacing w:line="240" w:lineRule="atLeast"/>
      <w:jc w:val="distribute"/>
    </w:pPr>
    <w:rPr>
      <w:rFonts w:ascii="黑体" w:hAnsi="宋体" w:eastAsia="黑体"/>
      <w:sz w:val="52"/>
      <w:lang w:val="en-US" w:eastAsia="zh-CN" w:bidi="ar-SA"/>
    </w:rPr>
  </w:style>
  <w:style w:type="paragraph" w:customStyle="1" w:styleId="96">
    <w:name w:val="其他发布部门"/>
    <w:basedOn w:val="71"/>
    <w:uiPriority w:val="0"/>
    <w:pPr>
      <w:spacing w:line="240" w:lineRule="atLeast"/>
    </w:pPr>
    <w:rPr>
      <w:rFonts w:ascii="黑体" w:eastAsia="黑体"/>
      <w:b w:val="0"/>
    </w:rPr>
  </w:style>
  <w:style w:type="paragraph" w:customStyle="1" w:styleId="97">
    <w:name w:val="三级条标题"/>
    <w:basedOn w:val="69"/>
    <w:next w:val="66"/>
    <w:uiPriority w:val="0"/>
    <w:pPr>
      <w:ind w:left="1080" w:hanging="1080" w:hangingChars="343"/>
      <w:outlineLvl w:val="4"/>
    </w:pPr>
  </w:style>
  <w:style w:type="paragraph" w:customStyle="1" w:styleId="98">
    <w:name w:val="三级无标题条"/>
    <w:basedOn w:val="1"/>
    <w:uiPriority w:val="0"/>
    <w:pPr>
      <w:numPr>
        <w:ilvl w:val="4"/>
        <w:numId w:val="2"/>
      </w:numPr>
    </w:pPr>
  </w:style>
  <w:style w:type="paragraph" w:customStyle="1" w:styleId="99">
    <w:name w:val="实施日期"/>
    <w:basedOn w:val="72"/>
    <w:uiPriority w:val="0"/>
    <w:pPr>
      <w:framePr w:hSpace="0" w:xAlign="right"/>
      <w:jc w:val="right"/>
    </w:pPr>
  </w:style>
  <w:style w:type="paragraph" w:customStyle="1" w:styleId="100">
    <w:name w:val="示例"/>
    <w:next w:val="66"/>
    <w:uiPriority w:val="0"/>
    <w:pPr>
      <w:numPr>
        <w:ilvl w:val="0"/>
        <w:numId w:val="5"/>
      </w:numPr>
      <w:tabs>
        <w:tab w:val="left" w:pos="816"/>
        <w:tab w:val="clear" w:pos="1120"/>
      </w:tabs>
      <w:ind w:firstLine="419" w:firstLineChars="233"/>
      <w:jc w:val="both"/>
    </w:pPr>
    <w:rPr>
      <w:rFonts w:ascii="宋体"/>
      <w:sz w:val="18"/>
      <w:lang w:val="en-US" w:eastAsia="zh-CN" w:bidi="ar-SA"/>
    </w:rPr>
  </w:style>
  <w:style w:type="paragraph" w:customStyle="1" w:styleId="101">
    <w:name w:val="数字编号列项（二级）"/>
    <w:uiPriority w:val="0"/>
    <w:pPr>
      <w:ind w:left="1260" w:leftChars="400" w:hanging="420" w:hangingChars="200"/>
      <w:jc w:val="both"/>
    </w:pPr>
    <w:rPr>
      <w:rFonts w:ascii="宋体"/>
      <w:sz w:val="21"/>
      <w:lang w:val="en-US" w:eastAsia="zh-CN" w:bidi="ar-SA"/>
    </w:rPr>
  </w:style>
  <w:style w:type="paragraph" w:customStyle="1" w:styleId="102">
    <w:name w:val="四级条标题"/>
    <w:basedOn w:val="97"/>
    <w:next w:val="66"/>
    <w:uiPriority w:val="0"/>
    <w:pPr>
      <w:numPr>
        <w:ilvl w:val="5"/>
        <w:numId w:val="0"/>
      </w:numPr>
      <w:ind w:left="1080" w:hanging="1080" w:hangingChars="343"/>
      <w:outlineLvl w:val="5"/>
    </w:pPr>
  </w:style>
  <w:style w:type="paragraph" w:customStyle="1" w:styleId="103">
    <w:name w:val="四级无标题条"/>
    <w:basedOn w:val="1"/>
    <w:uiPriority w:val="0"/>
    <w:pPr>
      <w:numPr>
        <w:ilvl w:val="5"/>
        <w:numId w:val="2"/>
      </w:numPr>
    </w:pPr>
  </w:style>
  <w:style w:type="paragraph" w:customStyle="1" w:styleId="104">
    <w:name w:val="条文脚注"/>
    <w:basedOn w:val="34"/>
    <w:uiPriority w:val="0"/>
    <w:pPr>
      <w:ind w:left="780" w:leftChars="200" w:hanging="360" w:hangingChars="200"/>
      <w:jc w:val="both"/>
    </w:pPr>
    <w:rPr>
      <w:rFonts w:ascii="宋体"/>
    </w:rPr>
  </w:style>
  <w:style w:type="paragraph" w:customStyle="1" w:styleId="105">
    <w:name w:val="图表脚注"/>
    <w:next w:val="66"/>
    <w:uiPriority w:val="0"/>
    <w:pPr>
      <w:ind w:left="300" w:leftChars="200" w:hanging="100" w:hangingChars="100"/>
      <w:jc w:val="both"/>
    </w:pPr>
    <w:rPr>
      <w:rFonts w:ascii="宋体"/>
      <w:sz w:val="18"/>
      <w:lang w:val="en-US" w:eastAsia="zh-CN" w:bidi="ar-SA"/>
    </w:rPr>
  </w:style>
  <w:style w:type="paragraph" w:customStyle="1" w:styleId="106">
    <w:name w:val="文献分类号"/>
    <w:uiPriority w:val="0"/>
    <w:pPr>
      <w:framePr w:hSpace="180" w:vSpace="180" w:wrap="around" w:vAnchor="margin" w:hAnchor="margin" w:y="1" w:anchorLock="1"/>
      <w:widowControl w:val="0"/>
      <w:textAlignment w:val="center"/>
    </w:pPr>
    <w:rPr>
      <w:rFonts w:eastAsia="黑体"/>
      <w:sz w:val="21"/>
      <w:lang w:val="en-US" w:eastAsia="zh-CN" w:bidi="ar-SA"/>
    </w:rPr>
  </w:style>
  <w:style w:type="paragraph" w:customStyle="1" w:styleId="107">
    <w:name w:val="无标题条"/>
    <w:next w:val="66"/>
    <w:uiPriority w:val="0"/>
    <w:pPr>
      <w:jc w:val="both"/>
    </w:pPr>
    <w:rPr>
      <w:sz w:val="21"/>
      <w:lang w:val="en-US" w:eastAsia="zh-CN" w:bidi="ar-SA"/>
    </w:rPr>
  </w:style>
  <w:style w:type="paragraph" w:customStyle="1" w:styleId="108">
    <w:name w:val="五级条标题"/>
    <w:basedOn w:val="102"/>
    <w:next w:val="66"/>
    <w:uiPriority w:val="0"/>
    <w:pPr>
      <w:numPr>
        <w:ilvl w:val="6"/>
        <w:numId w:val="0"/>
      </w:numPr>
      <w:ind w:left="1080" w:hanging="1080" w:hangingChars="343"/>
      <w:outlineLvl w:val="6"/>
    </w:pPr>
  </w:style>
  <w:style w:type="paragraph" w:customStyle="1" w:styleId="109">
    <w:name w:val="五级无标题条"/>
    <w:basedOn w:val="1"/>
    <w:uiPriority w:val="0"/>
    <w:pPr>
      <w:numPr>
        <w:ilvl w:val="6"/>
        <w:numId w:val="2"/>
      </w:numPr>
    </w:pPr>
  </w:style>
  <w:style w:type="paragraph" w:customStyle="1" w:styleId="110">
    <w:name w:val="一级无标题条"/>
    <w:basedOn w:val="1"/>
    <w:uiPriority w:val="0"/>
    <w:pPr>
      <w:numPr>
        <w:ilvl w:val="2"/>
        <w:numId w:val="2"/>
      </w:numPr>
    </w:pPr>
  </w:style>
  <w:style w:type="paragraph" w:customStyle="1" w:styleId="111">
    <w:name w:val="正文表标题"/>
    <w:next w:val="66"/>
    <w:uiPriority w:val="0"/>
    <w:pPr>
      <w:numPr>
        <w:ilvl w:val="0"/>
        <w:numId w:val="6"/>
      </w:numPr>
      <w:spacing w:beforeLines="50" w:afterLines="50"/>
      <w:jc w:val="center"/>
    </w:pPr>
    <w:rPr>
      <w:rFonts w:ascii="黑体" w:eastAsia="黑体"/>
      <w:sz w:val="21"/>
      <w:lang w:val="en-US" w:eastAsia="zh-CN" w:bidi="ar-SA"/>
    </w:rPr>
  </w:style>
  <w:style w:type="paragraph" w:customStyle="1" w:styleId="112">
    <w:name w:val="正文图标题"/>
    <w:next w:val="66"/>
    <w:uiPriority w:val="0"/>
    <w:pPr>
      <w:numPr>
        <w:ilvl w:val="0"/>
        <w:numId w:val="7"/>
      </w:numPr>
      <w:spacing w:beforeLines="50" w:afterLines="50"/>
      <w:jc w:val="center"/>
    </w:pPr>
    <w:rPr>
      <w:rFonts w:ascii="黑体" w:eastAsia="黑体"/>
      <w:sz w:val="21"/>
      <w:lang w:val="en-US" w:eastAsia="zh-CN" w:bidi="ar-SA"/>
    </w:rPr>
  </w:style>
  <w:style w:type="paragraph" w:customStyle="1" w:styleId="113">
    <w:name w:val="注："/>
    <w:next w:val="66"/>
    <w:uiPriority w:val="0"/>
    <w:pPr>
      <w:widowControl w:val="0"/>
      <w:numPr>
        <w:ilvl w:val="0"/>
        <w:numId w:val="8"/>
      </w:numPr>
      <w:tabs>
        <w:tab w:val="clear" w:pos="1140"/>
      </w:tabs>
      <w:autoSpaceDE w:val="0"/>
      <w:autoSpaceDN w:val="0"/>
      <w:spacing w:beforeLines="50" w:afterLines="50"/>
      <w:jc w:val="both"/>
    </w:pPr>
    <w:rPr>
      <w:rFonts w:ascii="宋体"/>
      <w:sz w:val="18"/>
      <w:lang w:val="en-US" w:eastAsia="zh-CN" w:bidi="ar-SA"/>
    </w:rPr>
  </w:style>
  <w:style w:type="paragraph" w:customStyle="1" w:styleId="114">
    <w:name w:val="注×："/>
    <w:uiPriority w:val="0"/>
    <w:pPr>
      <w:widowControl w:val="0"/>
      <w:numPr>
        <w:ilvl w:val="0"/>
        <w:numId w:val="9"/>
      </w:numPr>
      <w:tabs>
        <w:tab w:val="left" w:pos="630"/>
        <w:tab w:val="clear" w:pos="900"/>
      </w:tabs>
      <w:autoSpaceDE w:val="0"/>
      <w:autoSpaceDN w:val="0"/>
      <w:jc w:val="both"/>
    </w:pPr>
    <w:rPr>
      <w:rFonts w:ascii="宋体"/>
      <w:sz w:val="18"/>
      <w:lang w:val="en-US" w:eastAsia="zh-CN" w:bidi="ar-SA"/>
    </w:rPr>
  </w:style>
  <w:style w:type="paragraph" w:customStyle="1" w:styleId="115">
    <w:name w:val="字母编号列项（一级）"/>
    <w:uiPriority w:val="0"/>
    <w:pPr>
      <w:spacing w:beforeLines="50" w:afterLines="50"/>
      <w:ind w:left="400" w:leftChars="200" w:hanging="200" w:hangingChars="200"/>
      <w:jc w:val="both"/>
    </w:pPr>
    <w:rPr>
      <w:rFonts w:ascii="宋体"/>
      <w:sz w:val="21"/>
      <w:lang w:val="en-US" w:eastAsia="zh-CN" w:bidi="ar-SA"/>
    </w:rPr>
  </w:style>
  <w:style w:type="paragraph" w:customStyle="1" w:styleId="116">
    <w:name w:val="Annex_#"/>
    <w:basedOn w:val="1"/>
    <w:next w:val="1"/>
    <w:uiPriority w:val="0"/>
    <w:pPr>
      <w:keepNext/>
      <w:keepLines/>
      <w:widowControl/>
      <w:tabs>
        <w:tab w:val="left" w:pos="794"/>
        <w:tab w:val="left" w:pos="1191"/>
        <w:tab w:val="left" w:pos="1588"/>
        <w:tab w:val="left" w:pos="1985"/>
      </w:tabs>
      <w:overflowPunct w:val="0"/>
      <w:autoSpaceDE w:val="0"/>
      <w:autoSpaceDN w:val="0"/>
      <w:adjustRightInd w:val="0"/>
      <w:spacing w:before="480" w:after="80"/>
      <w:jc w:val="center"/>
      <w:textAlignment w:val="baseline"/>
    </w:pPr>
    <w:rPr>
      <w:caps/>
      <w:kern w:val="0"/>
      <w:sz w:val="24"/>
      <w:szCs w:val="20"/>
      <w:lang w:val="en-GB" w:eastAsia="en-US"/>
    </w:rPr>
  </w:style>
  <w:style w:type="paragraph" w:customStyle="1" w:styleId="117">
    <w:name w:val="enumlev1"/>
    <w:basedOn w:val="1"/>
    <w:uiPriority w:val="0"/>
    <w:pPr>
      <w:widowControl/>
      <w:tabs>
        <w:tab w:val="left" w:pos="794"/>
        <w:tab w:val="left" w:pos="1191"/>
        <w:tab w:val="left" w:pos="1588"/>
        <w:tab w:val="left" w:pos="1985"/>
      </w:tabs>
      <w:overflowPunct w:val="0"/>
      <w:autoSpaceDE w:val="0"/>
      <w:autoSpaceDN w:val="0"/>
      <w:adjustRightInd w:val="0"/>
      <w:spacing w:before="80"/>
      <w:ind w:left="794" w:hanging="794"/>
      <w:textAlignment w:val="baseline"/>
    </w:pPr>
    <w:rPr>
      <w:kern w:val="0"/>
      <w:sz w:val="24"/>
      <w:szCs w:val="20"/>
      <w:lang w:val="en-GB" w:eastAsia="en-US"/>
    </w:rPr>
  </w:style>
  <w:style w:type="paragraph" w:customStyle="1" w:styleId="118">
    <w:name w:val="Table_Text"/>
    <w:basedOn w:val="1"/>
    <w:uiPriority w:val="0"/>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kern w:val="0"/>
      <w:sz w:val="22"/>
      <w:szCs w:val="20"/>
      <w:lang w:val="en-GB" w:eastAsia="en-US"/>
    </w:rPr>
  </w:style>
  <w:style w:type="paragraph" w:customStyle="1" w:styleId="119">
    <w:name w:val="Table_Title"/>
    <w:basedOn w:val="1"/>
    <w:next w:val="118"/>
    <w:uiPriority w:val="0"/>
    <w:pPr>
      <w:keepNext/>
      <w:keepLines/>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b/>
      <w:kern w:val="0"/>
      <w:sz w:val="24"/>
      <w:szCs w:val="20"/>
      <w:lang w:val="en-GB" w:eastAsia="en-US"/>
    </w:rPr>
  </w:style>
  <w:style w:type="paragraph" w:customStyle="1" w:styleId="120">
    <w:name w:val="Table_Head"/>
    <w:basedOn w:val="118"/>
    <w:uiPriority w:val="0"/>
    <w:pPr>
      <w:spacing w:before="80" w:after="80"/>
      <w:jc w:val="center"/>
    </w:pPr>
    <w:rPr>
      <w:b/>
    </w:rPr>
  </w:style>
  <w:style w:type="paragraph" w:customStyle="1" w:styleId="121">
    <w:name w:val="Figure_#"/>
    <w:basedOn w:val="1"/>
    <w:next w:val="122"/>
    <w:uiPriority w:val="0"/>
    <w:pPr>
      <w:keepNext/>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kern w:val="0"/>
      <w:sz w:val="24"/>
      <w:szCs w:val="20"/>
      <w:lang w:val="en-GB" w:eastAsia="en-US"/>
    </w:rPr>
  </w:style>
  <w:style w:type="paragraph" w:customStyle="1" w:styleId="122">
    <w:name w:val="Figure_Title"/>
    <w:basedOn w:val="119"/>
    <w:next w:val="1"/>
    <w:uiPriority w:val="0"/>
    <w:pPr>
      <w:keepNext w:val="0"/>
      <w:spacing w:before="120" w:after="480"/>
    </w:pPr>
  </w:style>
  <w:style w:type="paragraph" w:customStyle="1" w:styleId="123">
    <w:name w:val="Note"/>
    <w:basedOn w:val="1"/>
    <w:uiPriority w:val="0"/>
    <w:pPr>
      <w:widowControl/>
      <w:tabs>
        <w:tab w:val="left" w:pos="794"/>
        <w:tab w:val="left" w:pos="1191"/>
        <w:tab w:val="left" w:pos="1588"/>
        <w:tab w:val="left" w:pos="1985"/>
      </w:tabs>
      <w:overflowPunct w:val="0"/>
      <w:autoSpaceDE w:val="0"/>
      <w:autoSpaceDN w:val="0"/>
      <w:adjustRightInd w:val="0"/>
      <w:spacing w:before="120"/>
      <w:textAlignment w:val="baseline"/>
    </w:pPr>
    <w:rPr>
      <w:kern w:val="0"/>
      <w:sz w:val="22"/>
      <w:szCs w:val="20"/>
      <w:lang w:val="en-GB" w:eastAsia="en-US"/>
    </w:rPr>
  </w:style>
  <w:style w:type="paragraph" w:customStyle="1" w:styleId="124">
    <w:name w:val="Appendix_#"/>
    <w:basedOn w:val="116"/>
    <w:next w:val="125"/>
    <w:uiPriority w:val="0"/>
  </w:style>
  <w:style w:type="paragraph" w:customStyle="1" w:styleId="125">
    <w:name w:val="Appendix_Ref"/>
    <w:basedOn w:val="126"/>
    <w:next w:val="129"/>
    <w:uiPriority w:val="0"/>
    <w:pPr>
      <w:tabs>
        <w:tab w:val="left" w:pos="794"/>
        <w:tab w:val="left" w:pos="1191"/>
        <w:tab w:val="left" w:pos="1588"/>
        <w:tab w:val="left" w:pos="1985"/>
      </w:tabs>
    </w:pPr>
  </w:style>
  <w:style w:type="paragraph" w:customStyle="1" w:styleId="126">
    <w:name w:val="Annex_Ref"/>
    <w:basedOn w:val="1"/>
    <w:next w:val="127"/>
    <w:uiPriority w:val="0"/>
    <w:pPr>
      <w:keepNext/>
      <w:keepLines/>
      <w:widowControl/>
      <w:tabs>
        <w:tab w:val="left" w:pos="794"/>
        <w:tab w:val="left" w:pos="1191"/>
        <w:tab w:val="left" w:pos="1588"/>
        <w:tab w:val="left" w:pos="1985"/>
      </w:tabs>
      <w:overflowPunct w:val="0"/>
      <w:autoSpaceDE w:val="0"/>
      <w:autoSpaceDN w:val="0"/>
      <w:adjustRightInd w:val="0"/>
      <w:spacing w:before="120"/>
      <w:jc w:val="center"/>
      <w:textAlignment w:val="baseline"/>
    </w:pPr>
    <w:rPr>
      <w:kern w:val="0"/>
      <w:sz w:val="24"/>
      <w:szCs w:val="20"/>
      <w:lang w:val="en-GB" w:eastAsia="en-US"/>
    </w:rPr>
  </w:style>
  <w:style w:type="paragraph" w:customStyle="1" w:styleId="127">
    <w:name w:val="Annex_Title"/>
    <w:basedOn w:val="1"/>
    <w:next w:val="128"/>
    <w:uiPriority w:val="0"/>
    <w:pPr>
      <w:keepNext/>
      <w:keepLines/>
      <w:widowControl/>
      <w:tabs>
        <w:tab w:val="left" w:pos="794"/>
        <w:tab w:val="left" w:pos="1191"/>
        <w:tab w:val="left" w:pos="1588"/>
        <w:tab w:val="left" w:pos="1985"/>
      </w:tabs>
      <w:overflowPunct w:val="0"/>
      <w:autoSpaceDE w:val="0"/>
      <w:autoSpaceDN w:val="0"/>
      <w:adjustRightInd w:val="0"/>
      <w:spacing w:before="80" w:after="20"/>
      <w:jc w:val="center"/>
      <w:textAlignment w:val="baseline"/>
    </w:pPr>
    <w:rPr>
      <w:b/>
      <w:kern w:val="0"/>
      <w:sz w:val="24"/>
      <w:szCs w:val="20"/>
      <w:lang w:val="en-GB" w:eastAsia="en-US"/>
    </w:rPr>
  </w:style>
  <w:style w:type="paragraph" w:customStyle="1" w:styleId="128">
    <w:name w:val="Normal after title"/>
    <w:basedOn w:val="1"/>
    <w:next w:val="1"/>
    <w:uiPriority w:val="0"/>
    <w:pPr>
      <w:widowControl/>
      <w:tabs>
        <w:tab w:val="left" w:pos="794"/>
        <w:tab w:val="left" w:pos="1191"/>
        <w:tab w:val="left" w:pos="1588"/>
        <w:tab w:val="left" w:pos="1985"/>
      </w:tabs>
      <w:overflowPunct w:val="0"/>
      <w:autoSpaceDE w:val="0"/>
      <w:autoSpaceDN w:val="0"/>
      <w:adjustRightInd w:val="0"/>
      <w:spacing w:before="320"/>
      <w:textAlignment w:val="baseline"/>
    </w:pPr>
    <w:rPr>
      <w:kern w:val="0"/>
      <w:sz w:val="24"/>
      <w:szCs w:val="20"/>
      <w:lang w:val="en-GB" w:eastAsia="en-US"/>
    </w:rPr>
  </w:style>
  <w:style w:type="paragraph" w:customStyle="1" w:styleId="129">
    <w:name w:val="Appendix_Title"/>
    <w:basedOn w:val="127"/>
    <w:next w:val="128"/>
    <w:uiPriority w:val="0"/>
  </w:style>
  <w:style w:type="paragraph" w:customStyle="1" w:styleId="130">
    <w:name w:val="Equation"/>
    <w:basedOn w:val="1"/>
    <w:uiPriority w:val="0"/>
    <w:pPr>
      <w:widowControl/>
      <w:tabs>
        <w:tab w:val="left" w:pos="794"/>
        <w:tab w:val="center" w:pos="4876"/>
        <w:tab w:val="right" w:pos="9752"/>
      </w:tabs>
      <w:overflowPunct w:val="0"/>
      <w:autoSpaceDE w:val="0"/>
      <w:autoSpaceDN w:val="0"/>
      <w:adjustRightInd w:val="0"/>
      <w:spacing w:before="120"/>
      <w:textAlignment w:val="baseline"/>
    </w:pPr>
    <w:rPr>
      <w:kern w:val="0"/>
      <w:sz w:val="24"/>
      <w:szCs w:val="20"/>
      <w:lang w:val="en-GB" w:eastAsia="en-US"/>
    </w:rPr>
  </w:style>
  <w:style w:type="paragraph" w:customStyle="1" w:styleId="131">
    <w:name w:val="heading_b"/>
    <w:basedOn w:val="4"/>
    <w:next w:val="1"/>
    <w:uiPriority w:val="0"/>
    <w:pPr>
      <w:widowControl/>
      <w:tabs>
        <w:tab w:val="left" w:pos="794"/>
        <w:tab w:val="left" w:pos="2127"/>
        <w:tab w:val="left" w:pos="2410"/>
        <w:tab w:val="left" w:pos="2921"/>
        <w:tab w:val="left" w:pos="3261"/>
      </w:tabs>
      <w:overflowPunct w:val="0"/>
      <w:autoSpaceDE w:val="0"/>
      <w:autoSpaceDN w:val="0"/>
      <w:adjustRightInd w:val="0"/>
      <w:spacing w:before="160" w:after="0" w:line="240" w:lineRule="auto"/>
      <w:jc w:val="left"/>
      <w:textAlignment w:val="baseline"/>
      <w:outlineLvl w:val="9"/>
    </w:pPr>
    <w:rPr>
      <w:bCs w:val="0"/>
      <w:kern w:val="0"/>
      <w:sz w:val="24"/>
      <w:szCs w:val="20"/>
      <w:lang w:val="en-GB" w:eastAsia="en-US"/>
    </w:rPr>
  </w:style>
  <w:style w:type="paragraph" w:customStyle="1" w:styleId="132">
    <w:name w:val="列项"/>
    <w:basedOn w:val="1"/>
    <w:uiPriority w:val="0"/>
    <w:pPr>
      <w:numPr>
        <w:ilvl w:val="0"/>
        <w:numId w:val="10"/>
      </w:numPr>
      <w:adjustRightInd w:val="0"/>
    </w:pPr>
    <w:rPr>
      <w:szCs w:val="20"/>
    </w:rPr>
  </w:style>
  <w:style w:type="paragraph" w:customStyle="1" w:styleId="133">
    <w:name w:val="列项细分"/>
    <w:basedOn w:val="1"/>
    <w:uiPriority w:val="0"/>
    <w:pPr>
      <w:tabs>
        <w:tab w:val="decimal" w:pos="1161"/>
        <w:tab w:val="left" w:pos="1196"/>
      </w:tabs>
      <w:ind w:left="1140" w:hanging="301"/>
    </w:pPr>
    <w:rPr>
      <w:rFonts w:ascii="宋体"/>
      <w:szCs w:val="20"/>
    </w:rPr>
  </w:style>
  <w:style w:type="paragraph" w:customStyle="1" w:styleId="134">
    <w:name w:val="插图题注"/>
    <w:basedOn w:val="1"/>
    <w:uiPriority w:val="0"/>
    <w:pPr>
      <w:tabs>
        <w:tab w:val="left" w:pos="720"/>
      </w:tabs>
      <w:autoSpaceDE w:val="0"/>
      <w:autoSpaceDN w:val="0"/>
      <w:adjustRightInd w:val="0"/>
      <w:spacing w:before="80" w:after="80"/>
      <w:ind w:left="425" w:hanging="425"/>
      <w:jc w:val="center"/>
    </w:pPr>
    <w:rPr>
      <w:kern w:val="0"/>
      <w:sz w:val="24"/>
      <w:szCs w:val="20"/>
    </w:rPr>
  </w:style>
  <w:style w:type="paragraph" w:customStyle="1" w:styleId="135">
    <w:name w:val="正文编号"/>
    <w:basedOn w:val="136"/>
    <w:uiPriority w:val="0"/>
    <w:pPr>
      <w:tabs>
        <w:tab w:val="left" w:pos="1260"/>
      </w:tabs>
      <w:spacing w:after="60"/>
      <w:ind w:left="1259" w:hanging="357"/>
    </w:pPr>
    <w:rPr>
      <w:rFonts w:ascii="宋体"/>
    </w:rPr>
  </w:style>
  <w:style w:type="paragraph" w:customStyle="1" w:styleId="136">
    <w:name w:val="首行缩进"/>
    <w:basedOn w:val="1"/>
    <w:uiPriority w:val="0"/>
    <w:pPr>
      <w:autoSpaceDE w:val="0"/>
      <w:autoSpaceDN w:val="0"/>
      <w:adjustRightInd w:val="0"/>
      <w:spacing w:after="240" w:line="360" w:lineRule="auto"/>
      <w:ind w:left="544" w:firstLine="567"/>
    </w:pPr>
    <w:rPr>
      <w:kern w:val="0"/>
      <w:sz w:val="24"/>
      <w:szCs w:val="20"/>
    </w:rPr>
  </w:style>
  <w:style w:type="paragraph" w:customStyle="1" w:styleId="137">
    <w:name w:val="表号"/>
    <w:basedOn w:val="1"/>
    <w:uiPriority w:val="0"/>
    <w:pPr>
      <w:tabs>
        <w:tab w:val="left" w:pos="567"/>
        <w:tab w:val="left" w:pos="720"/>
      </w:tabs>
      <w:autoSpaceDE w:val="0"/>
      <w:autoSpaceDN w:val="0"/>
      <w:adjustRightInd w:val="0"/>
      <w:spacing w:before="210" w:after="60"/>
      <w:ind w:left="425" w:hanging="425"/>
      <w:jc w:val="center"/>
    </w:pPr>
    <w:rPr>
      <w:rFonts w:ascii="宋体"/>
      <w:kern w:val="0"/>
      <w:sz w:val="24"/>
      <w:szCs w:val="20"/>
    </w:rPr>
  </w:style>
  <w:style w:type="paragraph" w:customStyle="1" w:styleId="138">
    <w:name w:val="ASN1"/>
    <w:basedOn w:val="1"/>
    <w:uiPriority w:val="0"/>
    <w:pPr>
      <w:widowControl/>
      <w:overflowPunct w:val="0"/>
      <w:autoSpaceDE w:val="0"/>
      <w:autoSpaceDN w:val="0"/>
      <w:adjustRightInd w:val="0"/>
      <w:jc w:val="left"/>
      <w:textAlignment w:val="baseline"/>
    </w:pPr>
    <w:rPr>
      <w:rFonts w:ascii="LinePrinter" w:hAnsi="LinePrinter"/>
      <w:kern w:val="0"/>
      <w:sz w:val="17"/>
      <w:szCs w:val="20"/>
    </w:rPr>
  </w:style>
  <w:style w:type="paragraph" w:customStyle="1" w:styleId="139">
    <w:name w:val="PL"/>
    <w:uiPriority w:val="0"/>
    <w:pPr>
      <w:widowControl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bidi="ar-SA"/>
    </w:rPr>
  </w:style>
  <w:style w:type="paragraph" w:customStyle="1" w:styleId="140">
    <w:name w:val="ASN.1"/>
    <w:basedOn w:val="1"/>
    <w:uiPriority w:val="0"/>
    <w:pPr>
      <w:tabs>
        <w:tab w:val="left" w:pos="567"/>
        <w:tab w:val="left" w:pos="1134"/>
        <w:tab w:val="left" w:pos="1701"/>
        <w:tab w:val="left" w:pos="2268"/>
        <w:tab w:val="left" w:pos="2835"/>
        <w:tab w:val="left" w:pos="3402"/>
        <w:tab w:val="left" w:pos="3969"/>
        <w:tab w:val="left" w:pos="4536"/>
        <w:tab w:val="left" w:pos="5103"/>
        <w:tab w:val="left" w:pos="5670"/>
      </w:tabs>
      <w:autoSpaceDE w:val="0"/>
      <w:autoSpaceDN w:val="0"/>
      <w:adjustRightInd w:val="0"/>
      <w:jc w:val="left"/>
    </w:pPr>
    <w:rPr>
      <w:b/>
      <w:kern w:val="0"/>
      <w:sz w:val="20"/>
      <w:szCs w:val="20"/>
    </w:rPr>
  </w:style>
  <w:style w:type="paragraph" w:customStyle="1" w:styleId="141">
    <w:name w:val="缺省文本"/>
    <w:basedOn w:val="1"/>
    <w:uiPriority w:val="0"/>
    <w:pPr>
      <w:autoSpaceDE w:val="0"/>
      <w:autoSpaceDN w:val="0"/>
      <w:adjustRightInd w:val="0"/>
      <w:jc w:val="left"/>
    </w:pPr>
    <w:rPr>
      <w:kern w:val="0"/>
      <w:szCs w:val="20"/>
    </w:rPr>
  </w:style>
  <w:style w:type="paragraph" w:customStyle="1" w:styleId="142">
    <w:name w:val="table left"/>
    <w:basedOn w:val="1"/>
    <w:uiPriority w:val="0"/>
    <w:pPr>
      <w:keepNext/>
      <w:widowControl/>
      <w:spacing w:before="40" w:after="40"/>
      <w:ind w:left="40" w:right="40"/>
      <w:jc w:val="left"/>
    </w:pPr>
    <w:rPr>
      <w:rFonts w:ascii="Helvetica" w:hAnsi="Helvetica"/>
      <w:kern w:val="0"/>
      <w:sz w:val="18"/>
      <w:szCs w:val="20"/>
    </w:rPr>
  </w:style>
  <w:style w:type="paragraph" w:customStyle="1" w:styleId="143">
    <w:name w:val="ASN1_Comment"/>
    <w:basedOn w:val="1"/>
    <w:uiPriority w:val="0"/>
    <w:pPr>
      <w:widowControl/>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jc w:val="left"/>
      <w:textAlignment w:val="baseline"/>
    </w:pPr>
    <w:rPr>
      <w:i/>
      <w:kern w:val="0"/>
      <w:sz w:val="20"/>
      <w:szCs w:val="20"/>
      <w:lang w:val="en-GB" w:eastAsia="en-US"/>
    </w:rPr>
  </w:style>
  <w:style w:type="paragraph" w:customStyle="1" w:styleId="144">
    <w:name w:val="table header center"/>
    <w:basedOn w:val="142"/>
    <w:uiPriority w:val="0"/>
    <w:pPr>
      <w:spacing w:before="60" w:after="60"/>
      <w:ind w:left="0" w:right="0"/>
      <w:jc w:val="center"/>
    </w:pPr>
    <w:rPr>
      <w:b/>
    </w:rPr>
  </w:style>
  <w:style w:type="paragraph" w:customStyle="1" w:styleId="145">
    <w:name w:val="table center"/>
    <w:basedOn w:val="142"/>
    <w:uiPriority w:val="0"/>
    <w:pPr>
      <w:ind w:left="0" w:right="0"/>
      <w:jc w:val="center"/>
    </w:pPr>
  </w:style>
  <w:style w:type="paragraph" w:customStyle="1" w:styleId="146">
    <w:name w:val="首页脚注"/>
    <w:basedOn w:val="31"/>
    <w:uiPriority w:val="0"/>
    <w:pPr>
      <w:tabs>
        <w:tab w:val="left" w:pos="57"/>
        <w:tab w:val="clear" w:pos="4153"/>
        <w:tab w:val="clear" w:pos="8306"/>
      </w:tabs>
      <w:snapToGrid/>
      <w:spacing w:line="318" w:lineRule="atLeast"/>
      <w:ind w:right="0" w:rightChars="0" w:firstLine="510"/>
      <w:jc w:val="center"/>
    </w:pPr>
    <w:rPr>
      <w:rFonts w:ascii="黑体" w:eastAsia="黑体"/>
      <w:spacing w:val="-35"/>
      <w:kern w:val="0"/>
      <w:sz w:val="21"/>
      <w:szCs w:val="20"/>
    </w:rPr>
  </w:style>
  <w:style w:type="paragraph" w:customStyle="1" w:styleId="147">
    <w:name w:val="首页篇眉"/>
    <w:basedOn w:val="33"/>
    <w:uiPriority w:val="0"/>
    <w:pPr>
      <w:tabs>
        <w:tab w:val="left" w:pos="57"/>
        <w:tab w:val="clear" w:pos="4153"/>
        <w:tab w:val="clear" w:pos="8306"/>
      </w:tabs>
      <w:snapToGrid/>
      <w:spacing w:line="318" w:lineRule="atLeast"/>
    </w:pPr>
    <w:rPr>
      <w:rFonts w:ascii="宋体"/>
      <w:kern w:val="0"/>
      <w:sz w:val="21"/>
      <w:szCs w:val="20"/>
    </w:rPr>
  </w:style>
  <w:style w:type="paragraph" w:customStyle="1" w:styleId="148">
    <w:name w:val="Normal short"/>
    <w:basedOn w:val="1"/>
    <w:next w:val="149"/>
    <w:uiPriority w:val="0"/>
    <w:pPr>
      <w:keepNext/>
      <w:widowControl/>
      <w:spacing w:after="160"/>
      <w:ind w:left="1440"/>
    </w:pPr>
    <w:rPr>
      <w:rFonts w:ascii="Times" w:hAnsi="Times"/>
      <w:kern w:val="0"/>
      <w:sz w:val="20"/>
      <w:szCs w:val="20"/>
    </w:rPr>
  </w:style>
  <w:style w:type="paragraph" w:customStyle="1" w:styleId="149">
    <w:name w:val="figure narrow"/>
    <w:basedOn w:val="148"/>
    <w:uiPriority w:val="0"/>
    <w:pPr>
      <w:pBdr>
        <w:top w:val="single" w:color="auto" w:sz="6" w:space="3"/>
        <w:left w:val="single" w:color="auto" w:sz="6" w:space="3"/>
        <w:bottom w:val="single" w:color="auto" w:sz="6" w:space="3"/>
        <w:right w:val="single" w:color="auto" w:sz="6" w:space="3"/>
      </w:pBdr>
      <w:ind w:left="2060" w:right="180" w:hanging="260"/>
    </w:pPr>
  </w:style>
  <w:style w:type="paragraph" w:customStyle="1" w:styleId="150">
    <w:name w:val="figure"/>
    <w:basedOn w:val="1"/>
    <w:uiPriority w:val="0"/>
    <w:pPr>
      <w:keepNext/>
      <w:widowControl/>
      <w:pBdr>
        <w:top w:val="single" w:color="auto" w:sz="6" w:space="3"/>
        <w:left w:val="single" w:color="auto" w:sz="6" w:space="3"/>
        <w:bottom w:val="single" w:color="auto" w:sz="6" w:space="3"/>
        <w:right w:val="single" w:color="auto" w:sz="6" w:space="3"/>
      </w:pBdr>
      <w:ind w:left="187" w:right="101"/>
      <w:jc w:val="center"/>
    </w:pPr>
    <w:rPr>
      <w:rFonts w:ascii="Times" w:hAnsi="Times"/>
      <w:kern w:val="0"/>
      <w:sz w:val="20"/>
      <w:szCs w:val="20"/>
    </w:rPr>
  </w:style>
  <w:style w:type="paragraph" w:customStyle="1" w:styleId="151">
    <w:name w:val="Scenario step"/>
    <w:basedOn w:val="1"/>
    <w:uiPriority w:val="0"/>
    <w:pPr>
      <w:widowControl/>
      <w:spacing w:before="80" w:after="80"/>
      <w:ind w:left="1880" w:hanging="440"/>
    </w:pPr>
    <w:rPr>
      <w:rFonts w:ascii="Times" w:hAnsi="Times"/>
      <w:kern w:val="0"/>
      <w:sz w:val="20"/>
      <w:szCs w:val="20"/>
    </w:rPr>
  </w:style>
  <w:style w:type="paragraph" w:customStyle="1" w:styleId="152">
    <w:name w:val="Table header"/>
    <w:basedOn w:val="153"/>
    <w:uiPriority w:val="0"/>
    <w:pPr>
      <w:spacing w:before="60" w:after="60"/>
      <w:ind w:left="0" w:firstLine="0"/>
      <w:jc w:val="left"/>
    </w:pPr>
    <w:rPr>
      <w:rFonts w:ascii="Helvetica" w:hAnsi="Helvetica"/>
      <w:sz w:val="18"/>
    </w:rPr>
  </w:style>
  <w:style w:type="paragraph" w:customStyle="1" w:styleId="153">
    <w:name w:val="list 1"/>
    <w:basedOn w:val="1"/>
    <w:uiPriority w:val="0"/>
    <w:pPr>
      <w:keepNext/>
      <w:widowControl/>
      <w:spacing w:after="160"/>
      <w:ind w:left="2160" w:hanging="360"/>
    </w:pPr>
    <w:rPr>
      <w:rFonts w:ascii="Times" w:hAnsi="Times"/>
      <w:kern w:val="0"/>
      <w:sz w:val="20"/>
      <w:szCs w:val="20"/>
    </w:rPr>
  </w:style>
  <w:style w:type="paragraph" w:customStyle="1" w:styleId="154">
    <w:name w:val="Table entry"/>
    <w:basedOn w:val="153"/>
    <w:uiPriority w:val="0"/>
    <w:pPr>
      <w:tabs>
        <w:tab w:val="left" w:pos="180"/>
      </w:tabs>
      <w:spacing w:before="60" w:after="60"/>
      <w:ind w:left="260" w:hanging="260"/>
      <w:jc w:val="left"/>
    </w:pPr>
    <w:rPr>
      <w:sz w:val="18"/>
    </w:rPr>
  </w:style>
  <w:style w:type="paragraph" w:customStyle="1" w:styleId="155">
    <w:name w:val="Unnamed Style"/>
    <w:basedOn w:val="1"/>
    <w:next w:val="1"/>
    <w:uiPriority w:val="0"/>
    <w:pPr>
      <w:widowControl/>
      <w:ind w:left="80" w:right="100"/>
    </w:pPr>
    <w:rPr>
      <w:rFonts w:ascii="Courier" w:hAnsi="Courier"/>
      <w:vanish/>
      <w:kern w:val="0"/>
      <w:sz w:val="20"/>
      <w:szCs w:val="20"/>
    </w:rPr>
  </w:style>
  <w:style w:type="paragraph" w:customStyle="1" w:styleId="156">
    <w:name w:val="table center middle"/>
    <w:basedOn w:val="145"/>
    <w:uiPriority w:val="0"/>
    <w:pPr>
      <w:keepNext w:val="0"/>
      <w:spacing w:after="0" w:line="20" w:lineRule="exact"/>
    </w:pPr>
  </w:style>
  <w:style w:type="paragraph" w:customStyle="1" w:styleId="157">
    <w:name w:val="Encoding entry"/>
    <w:basedOn w:val="1"/>
    <w:uiPriority w:val="0"/>
    <w:pPr>
      <w:keepNext/>
      <w:keepLines/>
      <w:widowControl/>
      <w:pBdr>
        <w:left w:val="single" w:color="auto" w:sz="2" w:space="3"/>
        <w:right w:val="single" w:color="auto" w:sz="2" w:space="3"/>
      </w:pBdr>
      <w:tabs>
        <w:tab w:val="center" w:pos="2160"/>
        <w:tab w:val="center" w:pos="2420"/>
        <w:tab w:val="center" w:pos="2700"/>
        <w:tab w:val="center" w:pos="2960"/>
        <w:tab w:val="center" w:pos="3240"/>
        <w:tab w:val="center" w:pos="3500"/>
        <w:tab w:val="center" w:pos="3780"/>
        <w:tab w:val="center" w:pos="4040"/>
        <w:tab w:val="center" w:pos="4580"/>
        <w:tab w:val="left" w:pos="5220"/>
      </w:tabs>
      <w:ind w:left="5040" w:right="72" w:hanging="3571"/>
    </w:pPr>
    <w:rPr>
      <w:rFonts w:ascii="Times" w:hAnsi="Times"/>
      <w:kern w:val="0"/>
      <w:sz w:val="18"/>
      <w:szCs w:val="20"/>
    </w:rPr>
  </w:style>
  <w:style w:type="paragraph" w:customStyle="1" w:styleId="158">
    <w:name w:val="header even"/>
    <w:basedOn w:val="33"/>
    <w:uiPriority w:val="0"/>
    <w:pPr>
      <w:widowControl/>
      <w:pBdr>
        <w:bottom w:val="none" w:color="auto" w:sz="0" w:space="0"/>
      </w:pBdr>
      <w:tabs>
        <w:tab w:val="right" w:pos="8640"/>
        <w:tab w:val="clear" w:pos="4153"/>
        <w:tab w:val="clear" w:pos="8306"/>
      </w:tabs>
      <w:snapToGrid/>
      <w:jc w:val="left"/>
    </w:pPr>
    <w:rPr>
      <w:rFonts w:ascii="Helvetica" w:hAnsi="Helvetica"/>
      <w:kern w:val="0"/>
      <w:szCs w:val="20"/>
    </w:rPr>
  </w:style>
  <w:style w:type="paragraph" w:customStyle="1" w:styleId="159">
    <w:name w:val="footer even"/>
    <w:basedOn w:val="158"/>
    <w:uiPriority w:val="0"/>
    <w:pPr>
      <w:tabs>
        <w:tab w:val="center" w:pos="4320"/>
      </w:tabs>
    </w:pPr>
  </w:style>
  <w:style w:type="paragraph" w:customStyle="1" w:styleId="160">
    <w:name w:val="列表 21"/>
    <w:basedOn w:val="153"/>
    <w:uiPriority w:val="0"/>
    <w:pPr>
      <w:ind w:left="2520"/>
    </w:pPr>
  </w:style>
  <w:style w:type="paragraph" w:customStyle="1" w:styleId="161">
    <w:name w:val="note"/>
    <w:basedOn w:val="1"/>
    <w:uiPriority w:val="0"/>
    <w:pPr>
      <w:keepNext/>
      <w:widowControl/>
      <w:pBdr>
        <w:top w:val="double" w:color="auto" w:sz="6" w:space="5"/>
        <w:left w:val="double" w:color="auto" w:sz="6" w:space="5"/>
        <w:bottom w:val="double" w:color="auto" w:sz="6" w:space="5"/>
        <w:right w:val="double" w:color="auto" w:sz="6" w:space="5"/>
      </w:pBdr>
      <w:shd w:val="pct5" w:color="auto" w:fill="auto"/>
      <w:spacing w:after="200"/>
      <w:ind w:left="1620" w:right="180"/>
    </w:pPr>
    <w:rPr>
      <w:rFonts w:ascii="Times" w:hAnsi="Times"/>
      <w:kern w:val="0"/>
      <w:sz w:val="20"/>
      <w:szCs w:val="20"/>
    </w:rPr>
  </w:style>
  <w:style w:type="paragraph" w:customStyle="1" w:styleId="162">
    <w:name w:val="Encoding entry meaning"/>
    <w:basedOn w:val="157"/>
    <w:uiPriority w:val="0"/>
    <w:pPr>
      <w:keepLines w:val="0"/>
      <w:pBdr>
        <w:left w:val="none" w:color="auto" w:sz="0" w:space="0"/>
        <w:right w:val="none" w:color="auto" w:sz="0" w:space="0"/>
      </w:pBdr>
      <w:tabs>
        <w:tab w:val="clear" w:pos="2160"/>
        <w:tab w:val="clear" w:pos="2420"/>
        <w:tab w:val="clear" w:pos="2700"/>
        <w:tab w:val="clear" w:pos="2960"/>
        <w:tab w:val="clear" w:pos="3240"/>
        <w:tab w:val="clear" w:pos="3500"/>
        <w:tab w:val="clear" w:pos="3780"/>
        <w:tab w:val="clear" w:pos="4040"/>
        <w:tab w:val="clear" w:pos="4580"/>
        <w:tab w:val="clear" w:pos="5220"/>
      </w:tabs>
      <w:spacing w:before="20" w:after="20"/>
      <w:ind w:left="0" w:firstLine="0"/>
    </w:pPr>
  </w:style>
  <w:style w:type="paragraph" w:customStyle="1" w:styleId="163">
    <w:name w:val="Encoding table lead"/>
    <w:basedOn w:val="157"/>
    <w:uiPriority w:val="0"/>
    <w:pPr>
      <w:spacing w:line="160" w:lineRule="exact"/>
    </w:pPr>
  </w:style>
  <w:style w:type="paragraph" w:customStyle="1" w:styleId="164">
    <w:name w:val="Encoding box top"/>
    <w:basedOn w:val="165"/>
    <w:uiPriority w:val="0"/>
    <w:pPr>
      <w:pBdr>
        <w:top w:val="single" w:color="auto" w:sz="2" w:space="0"/>
      </w:pBdr>
      <w:spacing w:before="0" w:after="0" w:line="20" w:lineRule="exact"/>
    </w:pPr>
    <w:rPr>
      <w:sz w:val="8"/>
    </w:rPr>
  </w:style>
  <w:style w:type="paragraph" w:customStyle="1" w:styleId="165">
    <w:name w:val="Encoding title"/>
    <w:basedOn w:val="1"/>
    <w:uiPriority w:val="0"/>
    <w:pPr>
      <w:keepNext/>
      <w:widowControl/>
      <w:pBdr>
        <w:left w:val="single" w:color="auto" w:sz="2" w:space="3"/>
        <w:right w:val="single" w:color="auto" w:sz="2" w:space="3"/>
      </w:pBdr>
      <w:spacing w:before="160" w:after="80"/>
      <w:ind w:left="5040" w:right="72" w:hanging="3571"/>
    </w:pPr>
    <w:rPr>
      <w:rFonts w:ascii="Times" w:hAnsi="Times"/>
      <w:i/>
      <w:kern w:val="0"/>
      <w:sz w:val="20"/>
      <w:szCs w:val="20"/>
    </w:rPr>
  </w:style>
  <w:style w:type="paragraph" w:customStyle="1" w:styleId="166">
    <w:name w:val="Encoding box bottom"/>
    <w:basedOn w:val="164"/>
    <w:uiPriority w:val="0"/>
    <w:pPr>
      <w:keepNext w:val="0"/>
      <w:pBdr>
        <w:top w:val="none" w:color="auto" w:sz="0" w:space="0"/>
        <w:bottom w:val="single" w:color="auto" w:sz="2" w:space="0"/>
      </w:pBdr>
      <w:spacing w:before="40" w:after="160"/>
    </w:pPr>
  </w:style>
  <w:style w:type="paragraph" w:customStyle="1" w:styleId="167">
    <w:name w:val="index"/>
    <w:basedOn w:val="1"/>
    <w:uiPriority w:val="0"/>
    <w:pPr>
      <w:keepNext/>
      <w:widowControl/>
      <w:ind w:left="360" w:right="100" w:hanging="360"/>
      <w:jc w:val="left"/>
    </w:pPr>
    <w:rPr>
      <w:rFonts w:ascii="Courier" w:hAnsi="Courier"/>
      <w:vanish/>
      <w:kern w:val="0"/>
      <w:sz w:val="20"/>
      <w:szCs w:val="20"/>
    </w:rPr>
  </w:style>
  <w:style w:type="paragraph" w:customStyle="1" w:styleId="168">
    <w:name w:val="Encoding entry elipse"/>
    <w:basedOn w:val="1"/>
    <w:uiPriority w:val="0"/>
    <w:pPr>
      <w:keepNext/>
      <w:widowControl/>
      <w:tabs>
        <w:tab w:val="center" w:pos="1742"/>
        <w:tab w:val="center" w:pos="3220"/>
      </w:tabs>
      <w:spacing w:before="20" w:after="20"/>
    </w:pPr>
    <w:rPr>
      <w:rFonts w:ascii="Times" w:hAnsi="Times"/>
      <w:kern w:val="0"/>
      <w:sz w:val="18"/>
      <w:szCs w:val="20"/>
    </w:rPr>
  </w:style>
  <w:style w:type="paragraph" w:customStyle="1" w:styleId="169">
    <w:name w:val="table right"/>
    <w:basedOn w:val="142"/>
    <w:uiPriority w:val="0"/>
    <w:pPr>
      <w:jc w:val="right"/>
    </w:pPr>
  </w:style>
  <w:style w:type="paragraph" w:customStyle="1" w:styleId="170">
    <w:name w:val="列表 41"/>
    <w:basedOn w:val="171"/>
    <w:uiPriority w:val="0"/>
    <w:pPr>
      <w:spacing w:after="80"/>
      <w:ind w:hanging="1397"/>
    </w:pPr>
  </w:style>
  <w:style w:type="paragraph" w:customStyle="1" w:styleId="171">
    <w:name w:val="列表 31"/>
    <w:basedOn w:val="160"/>
    <w:uiPriority w:val="0"/>
    <w:pPr>
      <w:keepNext w:val="0"/>
      <w:ind w:left="2880"/>
    </w:pPr>
  </w:style>
  <w:style w:type="paragraph" w:customStyle="1" w:styleId="172">
    <w:name w:val="boxed note"/>
    <w:basedOn w:val="1"/>
    <w:uiPriority w:val="0"/>
    <w:pPr>
      <w:widowControl/>
      <w:pBdr>
        <w:top w:val="double" w:color="auto" w:sz="6" w:space="5"/>
        <w:left w:val="double" w:color="auto" w:sz="6" w:space="5"/>
        <w:bottom w:val="double" w:color="auto" w:sz="6" w:space="5"/>
        <w:right w:val="double" w:color="auto" w:sz="6" w:space="5"/>
      </w:pBdr>
      <w:shd w:val="pct5" w:color="auto" w:fill="auto"/>
      <w:spacing w:before="100" w:after="100"/>
      <w:ind w:left="360" w:right="360"/>
    </w:pPr>
    <w:rPr>
      <w:rFonts w:ascii="New York" w:hAnsi="New York"/>
      <w:kern w:val="0"/>
      <w:sz w:val="20"/>
      <w:szCs w:val="20"/>
    </w:rPr>
  </w:style>
  <w:style w:type="paragraph" w:customStyle="1" w:styleId="173">
    <w:name w:val="big figure"/>
    <w:basedOn w:val="1"/>
    <w:next w:val="10"/>
    <w:uiPriority w:val="0"/>
    <w:pPr>
      <w:keepNext/>
      <w:widowControl/>
      <w:pBdr>
        <w:top w:val="single" w:color="auto" w:sz="6" w:space="4"/>
        <w:left w:val="single" w:color="auto" w:sz="6" w:space="4"/>
        <w:bottom w:val="single" w:color="auto" w:sz="6" w:space="4"/>
        <w:right w:val="single" w:color="auto" w:sz="6" w:space="4"/>
      </w:pBdr>
      <w:ind w:left="187" w:right="101"/>
      <w:jc w:val="center"/>
    </w:pPr>
    <w:rPr>
      <w:rFonts w:ascii="Times" w:hAnsi="Times"/>
      <w:kern w:val="0"/>
      <w:sz w:val="20"/>
      <w:szCs w:val="20"/>
    </w:rPr>
  </w:style>
  <w:style w:type="paragraph" w:customStyle="1" w:styleId="174">
    <w:name w:val="Encoding entry list"/>
    <w:basedOn w:val="157"/>
    <w:uiPriority w:val="0"/>
    <w:pPr>
      <w:tabs>
        <w:tab w:val="right" w:pos="3420"/>
        <w:tab w:val="clear" w:pos="2160"/>
        <w:tab w:val="clear" w:pos="2420"/>
        <w:tab w:val="clear" w:pos="2700"/>
        <w:tab w:val="clear" w:pos="2960"/>
        <w:tab w:val="clear" w:pos="3240"/>
        <w:tab w:val="clear" w:pos="3500"/>
        <w:tab w:val="clear" w:pos="3780"/>
        <w:tab w:val="clear" w:pos="4040"/>
        <w:tab w:val="clear" w:pos="4580"/>
        <w:tab w:val="clear" w:pos="5220"/>
      </w:tabs>
    </w:pPr>
  </w:style>
  <w:style w:type="paragraph" w:customStyle="1" w:styleId="175">
    <w:name w:val="table filler"/>
    <w:basedOn w:val="142"/>
    <w:uiPriority w:val="0"/>
    <w:pPr>
      <w:spacing w:before="0" w:after="0" w:line="40" w:lineRule="exact"/>
      <w:ind w:left="0" w:right="86"/>
    </w:pPr>
    <w:rPr>
      <w:sz w:val="8"/>
    </w:rPr>
  </w:style>
  <w:style w:type="paragraph" w:customStyle="1" w:styleId="176">
    <w:name w:val="table continued"/>
    <w:basedOn w:val="10"/>
    <w:uiPriority w:val="0"/>
    <w:pPr>
      <w:keepNext w:val="0"/>
      <w:keepLines w:val="0"/>
      <w:widowControl/>
      <w:spacing w:before="40" w:after="0" w:line="240" w:lineRule="auto"/>
      <w:ind w:left="1160" w:hanging="1160"/>
      <w:jc w:val="right"/>
    </w:pPr>
    <w:rPr>
      <w:rFonts w:ascii="Helvetica" w:hAnsi="Helvetica" w:eastAsia="宋体"/>
      <w:b/>
      <w:kern w:val="0"/>
      <w:sz w:val="20"/>
      <w:szCs w:val="20"/>
    </w:rPr>
  </w:style>
  <w:style w:type="paragraph" w:customStyle="1" w:styleId="177">
    <w:name w:val="table header right"/>
    <w:basedOn w:val="144"/>
    <w:uiPriority w:val="0"/>
    <w:pPr>
      <w:spacing w:before="100" w:after="100"/>
      <w:ind w:left="-80" w:right="-80"/>
      <w:jc w:val="right"/>
    </w:pPr>
    <w:rPr>
      <w:b w:val="0"/>
      <w:vanish/>
      <w:sz w:val="16"/>
    </w:rPr>
  </w:style>
  <w:style w:type="paragraph" w:customStyle="1" w:styleId="178">
    <w:name w:val="heading"/>
    <w:basedOn w:val="2"/>
    <w:next w:val="1"/>
    <w:uiPriority w:val="0"/>
    <w:pPr>
      <w:keepLines w:val="0"/>
      <w:pageBreakBefore/>
      <w:widowControl/>
      <w:pBdr>
        <w:bottom w:val="single" w:color="auto" w:sz="2" w:space="2"/>
      </w:pBdr>
      <w:tabs>
        <w:tab w:val="bar" w:pos="8900"/>
      </w:tabs>
      <w:spacing w:before="160" w:after="160" w:line="240" w:lineRule="auto"/>
      <w:ind w:left="440" w:hanging="440"/>
      <w:jc w:val="left"/>
    </w:pPr>
    <w:rPr>
      <w:rFonts w:ascii="Helvetica" w:hAnsi="Helvetica"/>
      <w:bCs w:val="0"/>
      <w:kern w:val="0"/>
      <w:sz w:val="36"/>
      <w:szCs w:val="20"/>
    </w:rPr>
  </w:style>
  <w:style w:type="paragraph" w:customStyle="1" w:styleId="179">
    <w:name w:val="table header left"/>
    <w:basedOn w:val="142"/>
    <w:uiPriority w:val="0"/>
    <w:pPr>
      <w:spacing w:before="20" w:after="20"/>
      <w:ind w:left="80" w:right="86"/>
    </w:pPr>
    <w:rPr>
      <w:b/>
    </w:rPr>
  </w:style>
  <w:style w:type="paragraph" w:customStyle="1" w:styleId="180">
    <w:name w:val="list 1 long"/>
    <w:basedOn w:val="153"/>
    <w:uiPriority w:val="0"/>
    <w:pPr>
      <w:keepNext w:val="0"/>
      <w:spacing w:after="320"/>
    </w:pPr>
  </w:style>
  <w:style w:type="paragraph" w:customStyle="1" w:styleId="181">
    <w:name w:val="code"/>
    <w:basedOn w:val="1"/>
    <w:uiPriority w:val="0"/>
    <w:pPr>
      <w:keepNext/>
      <w:widowControl/>
      <w:tabs>
        <w:tab w:val="left" w:pos="1613"/>
        <w:tab w:val="left" w:pos="2419"/>
        <w:tab w:val="left" w:pos="3211"/>
        <w:tab w:val="left" w:pos="4003"/>
        <w:tab w:val="left" w:pos="4804"/>
        <w:tab w:val="left" w:pos="5602"/>
        <w:tab w:val="left" w:pos="6405"/>
        <w:tab w:val="left" w:pos="7200"/>
        <w:tab w:val="left" w:pos="8000"/>
      </w:tabs>
      <w:ind w:left="3694" w:right="360" w:hanging="814"/>
      <w:jc w:val="left"/>
    </w:pPr>
    <w:rPr>
      <w:rFonts w:ascii="Courier" w:hAnsi="Courier"/>
      <w:kern w:val="0"/>
      <w:sz w:val="18"/>
      <w:szCs w:val="20"/>
    </w:rPr>
  </w:style>
  <w:style w:type="paragraph" w:customStyle="1" w:styleId="182">
    <w:name w:val="numbers right"/>
    <w:uiPriority w:val="0"/>
    <w:pPr>
      <w:spacing w:line="220" w:lineRule="exact"/>
      <w:ind w:left="-720" w:right="-720"/>
      <w:jc w:val="right"/>
    </w:pPr>
    <w:rPr>
      <w:rFonts w:ascii="Helvetica" w:hAnsi="Helvetica"/>
      <w:sz w:val="12"/>
      <w:lang w:val="en-US" w:eastAsia="zh-CN" w:bidi="ar-SA"/>
    </w:rPr>
  </w:style>
  <w:style w:type="paragraph" w:customStyle="1" w:styleId="183">
    <w:name w:val="numbers left"/>
    <w:basedOn w:val="182"/>
    <w:uiPriority w:val="0"/>
    <w:pPr>
      <w:ind w:left="-1160" w:right="9540"/>
    </w:pPr>
  </w:style>
  <w:style w:type="paragraph" w:customStyle="1" w:styleId="184">
    <w:name w:val="notes"/>
    <w:basedOn w:val="1"/>
    <w:uiPriority w:val="0"/>
    <w:pPr>
      <w:keepNext/>
      <w:widowControl/>
      <w:spacing w:before="160" w:after="80"/>
      <w:ind w:left="1440"/>
    </w:pPr>
    <w:rPr>
      <w:rFonts w:ascii="Times" w:hAnsi="Times"/>
      <w:kern w:val="0"/>
      <w:sz w:val="20"/>
      <w:szCs w:val="20"/>
    </w:rPr>
  </w:style>
  <w:style w:type="paragraph" w:customStyle="1" w:styleId="185">
    <w:name w:val="Encoding header"/>
    <w:basedOn w:val="1"/>
    <w:uiPriority w:val="0"/>
    <w:pPr>
      <w:keepNext/>
      <w:widowControl/>
      <w:pBdr>
        <w:left w:val="single" w:color="auto" w:sz="2" w:space="3"/>
        <w:right w:val="single" w:color="auto" w:sz="2" w:space="3"/>
      </w:pBdr>
      <w:tabs>
        <w:tab w:val="left" w:pos="1620"/>
        <w:tab w:val="center" w:pos="2160"/>
        <w:tab w:val="center" w:pos="2420"/>
        <w:tab w:val="center" w:pos="2700"/>
        <w:tab w:val="center" w:pos="2960"/>
        <w:tab w:val="center" w:pos="3240"/>
        <w:tab w:val="center" w:pos="3500"/>
        <w:tab w:val="center" w:pos="3780"/>
        <w:tab w:val="center" w:pos="4040"/>
        <w:tab w:val="center" w:pos="4580"/>
      </w:tabs>
      <w:spacing w:after="160"/>
      <w:ind w:left="5040" w:right="72" w:hanging="3571"/>
    </w:pPr>
    <w:rPr>
      <w:rFonts w:ascii="Helvetica" w:hAnsi="Helvetica"/>
      <w:kern w:val="0"/>
      <w:sz w:val="18"/>
      <w:szCs w:val="20"/>
    </w:rPr>
  </w:style>
  <w:style w:type="paragraph" w:customStyle="1" w:styleId="186">
    <w:name w:val="table title continued"/>
    <w:basedOn w:val="10"/>
    <w:uiPriority w:val="0"/>
    <w:pPr>
      <w:keepLines w:val="0"/>
      <w:widowControl/>
      <w:tabs>
        <w:tab w:val="left" w:pos="2520"/>
      </w:tabs>
      <w:spacing w:before="120" w:after="60" w:line="240" w:lineRule="auto"/>
      <w:ind w:left="1440"/>
      <w:jc w:val="center"/>
    </w:pPr>
    <w:rPr>
      <w:rFonts w:ascii="Helvetica" w:hAnsi="Helvetica" w:eastAsia="宋体"/>
      <w:b/>
      <w:kern w:val="0"/>
      <w:sz w:val="20"/>
      <w:szCs w:val="20"/>
    </w:rPr>
  </w:style>
  <w:style w:type="paragraph" w:customStyle="1" w:styleId="187">
    <w:name w:val="heading 8 no TOC"/>
    <w:basedOn w:val="9"/>
    <w:uiPriority w:val="0"/>
    <w:pPr>
      <w:keepLines w:val="0"/>
      <w:widowControl/>
      <w:spacing w:before="0" w:after="40" w:line="240" w:lineRule="auto"/>
      <w:ind w:left="1440"/>
      <w:jc w:val="center"/>
    </w:pPr>
    <w:rPr>
      <w:rFonts w:ascii="Helvetica" w:hAnsi="Helvetica" w:eastAsia="宋体"/>
      <w:b/>
      <w:kern w:val="0"/>
      <w:sz w:val="20"/>
      <w:szCs w:val="20"/>
    </w:rPr>
  </w:style>
  <w:style w:type="paragraph" w:customStyle="1" w:styleId="188">
    <w:name w:val="EQ"/>
    <w:basedOn w:val="1"/>
    <w:next w:val="1"/>
    <w:uiPriority w:val="0"/>
    <w:pPr>
      <w:keepLines/>
      <w:widowControl/>
      <w:tabs>
        <w:tab w:val="center" w:pos="4536"/>
        <w:tab w:val="right" w:pos="9072"/>
      </w:tabs>
      <w:overflowPunct w:val="0"/>
      <w:autoSpaceDE w:val="0"/>
      <w:autoSpaceDN w:val="0"/>
      <w:adjustRightInd w:val="0"/>
      <w:spacing w:after="180"/>
      <w:jc w:val="left"/>
      <w:textAlignment w:val="baseline"/>
    </w:pPr>
    <w:rPr>
      <w:kern w:val="0"/>
      <w:sz w:val="20"/>
      <w:szCs w:val="20"/>
      <w:lang w:val="en-GB"/>
    </w:rPr>
  </w:style>
  <w:style w:type="paragraph" w:customStyle="1" w:styleId="189">
    <w:name w:val="toc 0"/>
    <w:basedOn w:val="2"/>
    <w:uiPriority w:val="0"/>
    <w:pPr>
      <w:keepLines w:val="0"/>
      <w:widowControl/>
      <w:pBdr>
        <w:bottom w:val="single" w:color="auto" w:sz="2" w:space="2"/>
      </w:pBdr>
      <w:spacing w:before="160" w:after="160" w:line="240" w:lineRule="auto"/>
      <w:ind w:left="1080" w:hanging="1080"/>
      <w:jc w:val="left"/>
    </w:pPr>
    <w:rPr>
      <w:rFonts w:ascii="Helvetica" w:hAnsi="Helvetica"/>
      <w:bCs w:val="0"/>
      <w:kern w:val="0"/>
      <w:sz w:val="36"/>
      <w:szCs w:val="20"/>
    </w:rPr>
  </w:style>
  <w:style w:type="paragraph" w:customStyle="1" w:styleId="190">
    <w:name w:val="Table Title"/>
    <w:basedOn w:val="1"/>
    <w:uiPriority w:val="0"/>
    <w:pPr>
      <w:keepNext/>
      <w:widowControl/>
      <w:spacing w:before="100" w:after="100"/>
      <w:jc w:val="center"/>
    </w:pPr>
    <w:rPr>
      <w:rFonts w:ascii="Helvetica" w:hAnsi="Helvetica"/>
      <w:b/>
      <w:kern w:val="0"/>
      <w:sz w:val="18"/>
      <w:szCs w:val="20"/>
    </w:rPr>
  </w:style>
  <w:style w:type="paragraph" w:customStyle="1" w:styleId="191">
    <w:name w:val="Table 1"/>
    <w:basedOn w:val="153"/>
    <w:uiPriority w:val="0"/>
    <w:pPr>
      <w:spacing w:before="80" w:after="80"/>
      <w:ind w:left="0" w:firstLine="0"/>
      <w:jc w:val="center"/>
    </w:pPr>
  </w:style>
  <w:style w:type="paragraph" w:customStyle="1" w:styleId="192">
    <w:name w:val="Table 2"/>
    <w:basedOn w:val="153"/>
    <w:uiPriority w:val="0"/>
    <w:pPr>
      <w:spacing w:before="80" w:after="80"/>
      <w:ind w:left="0" w:firstLine="0"/>
      <w:jc w:val="center"/>
    </w:pPr>
  </w:style>
  <w:style w:type="paragraph" w:customStyle="1" w:styleId="193">
    <w:name w:val="Table 3"/>
    <w:basedOn w:val="153"/>
    <w:uiPriority w:val="0"/>
    <w:pPr>
      <w:spacing w:before="80" w:after="80"/>
      <w:ind w:left="0" w:firstLine="0"/>
      <w:jc w:val="center"/>
    </w:pPr>
  </w:style>
  <w:style w:type="paragraph" w:customStyle="1" w:styleId="194">
    <w:name w:val="索引标题1"/>
    <w:basedOn w:val="1"/>
    <w:next w:val="38"/>
    <w:uiPriority w:val="0"/>
    <w:pPr>
      <w:widowControl/>
      <w:jc w:val="left"/>
    </w:pPr>
    <w:rPr>
      <w:rFonts w:ascii="Times" w:hAnsi="Times"/>
      <w:kern w:val="0"/>
      <w:sz w:val="20"/>
      <w:szCs w:val="20"/>
    </w:rPr>
  </w:style>
  <w:style w:type="paragraph" w:customStyle="1" w:styleId="195">
    <w:name w:val="Normal1"/>
    <w:uiPriority w:val="0"/>
    <w:pPr>
      <w:widowControl w:val="0"/>
      <w:adjustRightInd w:val="0"/>
      <w:spacing w:line="360" w:lineRule="atLeast"/>
      <w:textAlignment w:val="baseline"/>
    </w:pPr>
    <w:rPr>
      <w:rFonts w:ascii="宋体"/>
      <w:sz w:val="34"/>
      <w:lang w:val="en-US" w:eastAsia="zh-CN" w:bidi="ar-SA"/>
    </w:rPr>
  </w:style>
  <w:style w:type="paragraph" w:customStyle="1" w:styleId="196">
    <w:name w:val="TAN"/>
    <w:basedOn w:val="1"/>
    <w:uiPriority w:val="0"/>
    <w:pPr>
      <w:keepNext/>
      <w:keepLines/>
      <w:widowControl/>
      <w:ind w:left="851" w:hanging="851"/>
      <w:jc w:val="left"/>
    </w:pPr>
    <w:rPr>
      <w:rFonts w:ascii="Arial" w:hAnsi="Arial"/>
      <w:kern w:val="0"/>
      <w:sz w:val="18"/>
      <w:szCs w:val="20"/>
      <w:lang w:val="en-GB" w:eastAsia="en-US"/>
    </w:rPr>
  </w:style>
  <w:style w:type="paragraph" w:customStyle="1" w:styleId="197">
    <w:name w:val="TF"/>
    <w:basedOn w:val="1"/>
    <w:uiPriority w:val="0"/>
    <w:pPr>
      <w:keepLines/>
      <w:widowControl/>
      <w:spacing w:after="240"/>
      <w:jc w:val="center"/>
    </w:pPr>
    <w:rPr>
      <w:rFonts w:ascii="Arial" w:hAnsi="Arial"/>
      <w:b/>
      <w:kern w:val="0"/>
      <w:sz w:val="20"/>
      <w:szCs w:val="20"/>
      <w:lang w:val="en-GB" w:eastAsia="en-US"/>
    </w:rPr>
  </w:style>
  <w:style w:type="paragraph" w:customStyle="1" w:styleId="198">
    <w:name w:val="样式1"/>
    <w:basedOn w:val="69"/>
    <w:uiPriority w:val="0"/>
  </w:style>
  <w:style w:type="paragraph" w:customStyle="1" w:styleId="199">
    <w:name w:val="样式2"/>
    <w:basedOn w:val="97"/>
    <w:uiPriority w:val="0"/>
  </w:style>
  <w:style w:type="paragraph" w:customStyle="1" w:styleId="200">
    <w:name w:val="样式 一级条标题 + 行距: 1.5 倍行距"/>
    <w:basedOn w:val="68"/>
    <w:uiPriority w:val="0"/>
    <w:pPr>
      <w:spacing w:beforeLines="0" w:afterLines="0" w:line="360" w:lineRule="auto"/>
      <w:ind w:left="525"/>
    </w:pPr>
    <w:rPr>
      <w:rFonts w:ascii="黑体" w:cs="宋体"/>
    </w:rPr>
  </w:style>
  <w:style w:type="paragraph" w:customStyle="1" w:styleId="201">
    <w:name w:val="a14"/>
    <w:basedOn w:val="1"/>
    <w:uiPriority w:val="0"/>
    <w:pPr>
      <w:widowControl/>
      <w:spacing w:before="100" w:beforeAutospacing="1" w:after="100" w:afterAutospacing="1" w:line="300" w:lineRule="atLeast"/>
      <w:ind w:firstLine="375"/>
      <w:jc w:val="left"/>
    </w:pPr>
    <w:rPr>
      <w:rFonts w:ascii="宋体" w:hAnsi="宋体" w:cs="宋体"/>
      <w:kern w:val="0"/>
      <w:szCs w:val="21"/>
    </w:rPr>
  </w:style>
  <w:style w:type="paragraph" w:customStyle="1" w:styleId="202">
    <w:name w:val="样式 章标题 + 左侧:  0 磅 段前: 0.5 行 段后: 0.5 行"/>
    <w:basedOn w:val="67"/>
    <w:uiPriority w:val="0"/>
    <w:pPr>
      <w:jc w:val="left"/>
    </w:pPr>
    <w:rPr>
      <w:rFonts w:ascii="黑体"/>
    </w:rPr>
  </w:style>
  <w:style w:type="paragraph" w:customStyle="1" w:styleId="203">
    <w:name w:val="正文 首行缩进"/>
    <w:basedOn w:val="1"/>
    <w:uiPriority w:val="0"/>
    <w:pPr>
      <w:autoSpaceDE w:val="0"/>
      <w:autoSpaceDN w:val="0"/>
      <w:adjustRightInd w:val="0"/>
      <w:spacing w:line="360" w:lineRule="auto"/>
      <w:ind w:firstLine="420"/>
      <w:jc w:val="left"/>
    </w:pPr>
    <w:rPr>
      <w:rFonts w:ascii="宋体" w:hAnsi="Arial Narrow" w:cs="宋体"/>
      <w:kern w:val="0"/>
      <w:szCs w:val="21"/>
    </w:rPr>
  </w:style>
  <w:style w:type="paragraph" w:customStyle="1" w:styleId="204">
    <w:name w:val="样式 一级条标题 + 段前: 0.5 行 段后: 0.5 行"/>
    <w:basedOn w:val="68"/>
    <w:uiPriority w:val="0"/>
    <w:rPr>
      <w:rFonts w:cs="宋体"/>
    </w:rPr>
  </w:style>
  <w:style w:type="paragraph" w:customStyle="1" w:styleId="205">
    <w:name w:val="Char Char Char Char Char Char Char Char Char Char Char Char Char Char Char Char"/>
    <w:basedOn w:val="1"/>
    <w:uiPriority w:val="0"/>
    <w:pPr>
      <w:tabs>
        <w:tab w:val="left" w:pos="360"/>
      </w:tabs>
    </w:pPr>
    <w:rPr>
      <w:sz w:val="24"/>
    </w:rPr>
  </w:style>
  <w:style w:type="paragraph" w:customStyle="1" w:styleId="206">
    <w:name w:val="Char"/>
    <w:basedOn w:val="1"/>
    <w:uiPriority w:val="0"/>
    <w:rPr>
      <w:rFonts w:ascii="Tahoma" w:hAnsi="Tahoma"/>
      <w:sz w:val="24"/>
      <w:szCs w:val="20"/>
    </w:rPr>
  </w:style>
  <w:style w:type="paragraph" w:customStyle="1" w:styleId="207">
    <w:name w:val="Char Char Char Char Char Char Char Char Char Char Char Char Char Char Char Char1"/>
    <w:basedOn w:val="1"/>
    <w:uiPriority w:val="0"/>
    <w:pPr>
      <w:tabs>
        <w:tab w:val="left" w:pos="360"/>
      </w:tabs>
    </w:pPr>
    <w:rPr>
      <w:sz w:val="24"/>
    </w:rPr>
  </w:style>
  <w:style w:type="paragraph" w:customStyle="1" w:styleId="208">
    <w:name w:val="样式 样式 首行缩进:  2 字符 Char + 黑色 Char"/>
    <w:basedOn w:val="1"/>
    <w:uiPriority w:val="0"/>
    <w:pPr>
      <w:spacing w:line="360" w:lineRule="auto"/>
      <w:ind w:firstLine="420"/>
    </w:pPr>
    <w:rPr>
      <w:color w:val="000000"/>
      <w:kern w:val="0"/>
      <w:szCs w:val="21"/>
    </w:rPr>
  </w:style>
  <w:style w:type="paragraph" w:customStyle="1" w:styleId="209">
    <w:name w:val="附录一级"/>
    <w:basedOn w:val="1"/>
    <w:uiPriority w:val="0"/>
    <w:pPr>
      <w:tabs>
        <w:tab w:val="left" w:pos="840"/>
      </w:tabs>
      <w:ind w:left="840" w:hanging="420"/>
    </w:pPr>
    <w:rPr>
      <w:sz w:val="24"/>
    </w:rPr>
  </w:style>
  <w:style w:type="paragraph" w:customStyle="1" w:styleId="210">
    <w:name w:val="6"/>
    <w:basedOn w:val="1"/>
    <w:next w:val="26"/>
    <w:uiPriority w:val="0"/>
    <w:pPr>
      <w:spacing w:after="120"/>
      <w:ind w:left="420" w:leftChars="200"/>
    </w:pPr>
  </w:style>
  <w:style w:type="paragraph" w:customStyle="1" w:styleId="211">
    <w:name w:val="样式 样式 样式 首行缩进:  2 字符 Char + 黑色 + Times New Roman 五号"/>
    <w:basedOn w:val="208"/>
    <w:uiPriority w:val="0"/>
    <w:rPr>
      <w:rFonts w:ascii="宋体" w:hAnsi="宋体"/>
      <w:color w:val="auto"/>
    </w:rPr>
  </w:style>
  <w:style w:type="paragraph" w:customStyle="1" w:styleId="212">
    <w:name w:val="标题1（章）"/>
    <w:basedOn w:val="2"/>
    <w:uiPriority w:val="0"/>
    <w:pPr>
      <w:tabs>
        <w:tab w:val="left" w:pos="360"/>
      </w:tabs>
      <w:spacing w:before="100" w:beforeAutospacing="1" w:after="100" w:afterAutospacing="1" w:line="240" w:lineRule="auto"/>
      <w:ind w:left="357" w:hanging="357"/>
    </w:pPr>
    <w:rPr>
      <w:rFonts w:ascii="宋体" w:hAnsi="宋体"/>
      <w:b w:val="0"/>
      <w:sz w:val="21"/>
      <w:szCs w:val="21"/>
      <w:lang w:eastAsia="en-US"/>
    </w:rPr>
  </w:style>
  <w:style w:type="paragraph" w:customStyle="1" w:styleId="213">
    <w:name w:val="Char Char Char Char Char Char"/>
    <w:basedOn w:val="1"/>
    <w:uiPriority w:val="0"/>
    <w:pPr>
      <w:widowControl/>
      <w:autoSpaceDE w:val="0"/>
      <w:autoSpaceDN w:val="0"/>
      <w:adjustRightInd w:val="0"/>
      <w:snapToGrid w:val="0"/>
      <w:spacing w:beforeLines="50" w:afterLines="50" w:line="360" w:lineRule="auto"/>
      <w:ind w:left="113" w:right="113"/>
      <w:jc w:val="center"/>
      <w:outlineLvl w:val="3"/>
    </w:pPr>
    <w:rPr>
      <w:rFonts w:ascii="黑体" w:hAnsi="Tahoma" w:eastAsia="黑体"/>
      <w:b/>
      <w:kern w:val="0"/>
      <w:szCs w:val="20"/>
    </w:rPr>
  </w:style>
  <w:style w:type="paragraph" w:customStyle="1" w:styleId="214">
    <w:name w:val="Char Char"/>
    <w:basedOn w:val="1"/>
    <w:uiPriority w:val="0"/>
    <w:rPr>
      <w:rFonts w:ascii="Tahoma" w:hAnsi="Tahoma"/>
      <w:sz w:val="24"/>
      <w:szCs w:val="20"/>
    </w:rPr>
  </w:style>
  <w:style w:type="paragraph" w:customStyle="1" w:styleId="215">
    <w:name w:val="样式 一级条标题 + 段前: 0.5 行 段后: 0.5 行1"/>
    <w:basedOn w:val="68"/>
    <w:uiPriority w:val="0"/>
    <w:pPr>
      <w:numPr>
        <w:ilvl w:val="1"/>
        <w:numId w:val="11"/>
      </w:numPr>
      <w:jc w:val="left"/>
      <w:outlineLvl w:val="1"/>
    </w:pPr>
    <w:rPr>
      <w:rFonts w:cs="宋体"/>
      <w:b/>
      <w:sz w:val="21"/>
      <w:szCs w:val="21"/>
    </w:rPr>
  </w:style>
  <w:style w:type="paragraph" w:customStyle="1" w:styleId="216">
    <w:name w:val="样式 一级条标题 + 段前: 0.5 行 段后: 0.5 行 行距: 1.5 倍行距"/>
    <w:basedOn w:val="68"/>
    <w:uiPriority w:val="0"/>
    <w:pPr>
      <w:spacing w:line="360" w:lineRule="auto"/>
      <w:outlineLvl w:val="1"/>
    </w:pPr>
    <w:rPr>
      <w:rFonts w:cs="宋体"/>
    </w:rPr>
  </w:style>
  <w:style w:type="paragraph" w:customStyle="1" w:styleId="217">
    <w:name w:val="一级标题条"/>
    <w:basedOn w:val="20"/>
    <w:next w:val="1"/>
    <w:uiPriority w:val="0"/>
    <w:pPr>
      <w:tabs>
        <w:tab w:val="left" w:pos="360"/>
      </w:tabs>
      <w:autoSpaceDE/>
      <w:autoSpaceDN/>
      <w:adjustRightInd/>
      <w:ind w:left="0" w:firstLine="420" w:firstLineChars="200"/>
    </w:pPr>
    <w:rPr>
      <w:kern w:val="2"/>
      <w:szCs w:val="24"/>
    </w:rPr>
  </w:style>
  <w:style w:type="paragraph" w:customStyle="1" w:styleId="218">
    <w:name w:val="列出段落1"/>
    <w:basedOn w:val="1"/>
    <w:uiPriority w:val="0"/>
    <w:pPr>
      <w:ind w:firstLine="420" w:firstLineChars="200"/>
    </w:pPr>
    <w:rPr>
      <w:rFonts w:ascii="Calibri" w:hAnsi="Calibri"/>
      <w:szCs w:val="22"/>
    </w:rPr>
  </w:style>
  <w:style w:type="paragraph" w:customStyle="1" w:styleId="219">
    <w:name w:val="Default"/>
    <w:uiPriority w:val="0"/>
    <w:pPr>
      <w:autoSpaceDE w:val="0"/>
      <w:autoSpaceDN w:val="0"/>
      <w:adjustRightInd w:val="0"/>
    </w:pPr>
    <w:rPr>
      <w:color w:val="000000"/>
      <w:sz w:val="24"/>
      <w:szCs w:val="24"/>
      <w:lang w:val="en-US" w:eastAsia="zh-CN" w:bidi="ar-SA"/>
    </w:rPr>
  </w:style>
  <w:style w:type="paragraph" w:customStyle="1" w:styleId="220">
    <w:name w:val="Char Char1"/>
    <w:basedOn w:val="1"/>
    <w:uiPriority w:val="0"/>
    <w:rPr>
      <w:rFonts w:ascii="Tahoma" w:hAnsi="Tahoma"/>
      <w:sz w:val="24"/>
      <w:szCs w:val="20"/>
    </w:rPr>
  </w:style>
  <w:style w:type="paragraph" w:customStyle="1" w:styleId="221">
    <w:name w:val="列出段落2"/>
    <w:basedOn w:val="1"/>
    <w:uiPriority w:val="0"/>
    <w:pPr>
      <w:ind w:firstLine="420" w:firstLineChars="200"/>
    </w:pPr>
    <w:rPr>
      <w:rFonts w:ascii="Calibri" w:hAnsi="Calibri"/>
      <w:szCs w:val="22"/>
    </w:rPr>
  </w:style>
  <w:style w:type="paragraph" w:customStyle="1" w:styleId="222">
    <w:name w:val="Char2"/>
    <w:basedOn w:val="1"/>
    <w:uiPriority w:val="0"/>
    <w:rPr>
      <w:rFonts w:ascii="Tahoma" w:hAnsi="Tahoma"/>
      <w:sz w:val="24"/>
      <w:szCs w:val="20"/>
    </w:rPr>
  </w:style>
  <w:style w:type="paragraph" w:customStyle="1" w:styleId="223">
    <w:name w:val="Char1"/>
    <w:basedOn w:val="1"/>
    <w:uiPriority w:val="0"/>
    <w:pPr>
      <w:tabs>
        <w:tab w:val="left" w:pos="360"/>
      </w:tabs>
    </w:pPr>
    <w:rPr>
      <w:sz w:val="24"/>
    </w:rPr>
  </w:style>
  <w:style w:type="paragraph" w:customStyle="1" w:styleId="224">
    <w:name w:val="TOC 标题1"/>
    <w:basedOn w:val="2"/>
    <w:next w:val="1"/>
    <w:uiPriority w:val="0"/>
    <w:pPr>
      <w:widowControl/>
      <w:spacing w:before="480" w:after="0" w:line="276" w:lineRule="auto"/>
      <w:jc w:val="left"/>
      <w:outlineLvl w:val="9"/>
    </w:pPr>
    <w:rPr>
      <w:rFonts w:ascii="Cambria" w:hAnsi="Cambria"/>
      <w:color w:val="365F91"/>
      <w:kern w:val="0"/>
      <w:sz w:val="28"/>
      <w:szCs w:val="28"/>
    </w:rPr>
  </w:style>
  <w:style w:type="paragraph" w:customStyle="1" w:styleId="225">
    <w:name w:val="a0"/>
    <w:basedOn w:val="1"/>
    <w:uiPriority w:val="0"/>
    <w:pPr>
      <w:widowControl/>
      <w:spacing w:before="100" w:beforeAutospacing="1" w:after="100" w:afterAutospacing="1"/>
      <w:jc w:val="left"/>
    </w:pPr>
    <w:rPr>
      <w:rFonts w:ascii="宋体" w:hAnsi="宋体" w:cs="宋体"/>
      <w:kern w:val="0"/>
      <w:sz w:val="24"/>
    </w:rPr>
  </w:style>
  <w:style w:type="paragraph" w:customStyle="1" w:styleId="226">
    <w:name w:val="修订1"/>
    <w:hidden/>
    <w:semiHidden/>
    <w:uiPriority w:val="0"/>
    <w:rPr>
      <w:kern w:val="2"/>
      <w:sz w:val="21"/>
      <w:szCs w:val="24"/>
      <w:lang w:val="en-US" w:eastAsia="zh-CN" w:bidi="ar-SA"/>
    </w:rPr>
  </w:style>
  <w:style w:type="paragraph" w:customStyle="1" w:styleId="227">
    <w:name w:val="样式3"/>
    <w:basedOn w:val="1"/>
    <w:uiPriority w:val="0"/>
    <w:pPr>
      <w:numPr>
        <w:ilvl w:val="0"/>
        <w:numId w:val="12"/>
      </w:numPr>
      <w:spacing w:line="288" w:lineRule="auto"/>
    </w:pPr>
    <w:rPr>
      <w:rFonts w:ascii="Arial" w:hAnsi="Arial"/>
      <w:kern w:val="0"/>
      <w:szCs w:val="21"/>
      <w:lang w:eastAsia="en-US"/>
    </w:rPr>
  </w:style>
  <w:style w:type="paragraph" w:customStyle="1" w:styleId="228">
    <w:name w:val="表格内文字"/>
    <w:basedOn w:val="1"/>
    <w:uiPriority w:val="0"/>
    <w:pPr>
      <w:spacing w:line="300" w:lineRule="atLeast"/>
      <w:ind w:firstLine="180" w:firstLineChars="100"/>
    </w:pPr>
    <w:rPr>
      <w:rFonts w:ascii="Arial" w:hAnsi="Arial"/>
      <w:sz w:val="18"/>
      <w:szCs w:val="20"/>
    </w:rPr>
  </w:style>
  <w:style w:type="paragraph" w:customStyle="1" w:styleId="229">
    <w:name w:val="List Paragraph"/>
    <w:basedOn w:val="1"/>
    <w:uiPriority w:val="0"/>
    <w:pPr>
      <w:ind w:firstLine="420" w:firstLineChars="200"/>
    </w:pPr>
  </w:style>
  <w:style w:type="character" w:customStyle="1" w:styleId="230">
    <w:name w:val="发布"/>
    <w:basedOn w:val="40"/>
    <w:uiPriority w:val="0"/>
    <w:rPr>
      <w:rFonts w:ascii="黑体" w:eastAsia="黑体" w:cs="Times New Roman"/>
      <w:spacing w:val="22"/>
      <w:w w:val="100"/>
      <w:position w:val="3"/>
      <w:sz w:val="28"/>
    </w:rPr>
  </w:style>
  <w:style w:type="character" w:customStyle="1" w:styleId="231">
    <w:name w:val="个人答复风格"/>
    <w:basedOn w:val="40"/>
    <w:uiPriority w:val="0"/>
    <w:rPr>
      <w:rFonts w:ascii="Arial" w:hAnsi="Arial" w:eastAsia="宋体" w:cs="Arial"/>
      <w:color w:val="auto"/>
      <w:sz w:val="20"/>
    </w:rPr>
  </w:style>
  <w:style w:type="character" w:customStyle="1" w:styleId="232">
    <w:name w:val="个人撰写风格"/>
    <w:basedOn w:val="40"/>
    <w:uiPriority w:val="0"/>
    <w:rPr>
      <w:rFonts w:ascii="Arial" w:hAnsi="Arial" w:eastAsia="宋体" w:cs="Arial"/>
      <w:color w:val="auto"/>
      <w:sz w:val="20"/>
    </w:rPr>
  </w:style>
  <w:style w:type="character" w:customStyle="1" w:styleId="233">
    <w:name w:val="已访问的超链接1"/>
    <w:basedOn w:val="40"/>
    <w:uiPriority w:val="0"/>
    <w:rPr>
      <w:rFonts w:cs="Times New Roman"/>
      <w:color w:val="800080"/>
      <w:u w:val="single"/>
    </w:rPr>
  </w:style>
  <w:style w:type="character" w:customStyle="1" w:styleId="234">
    <w:name w:val="样式 样式 首行缩进:  2 字符 Char + 黑色 Char3"/>
    <w:basedOn w:val="40"/>
    <w:uiPriority w:val="0"/>
    <w:rPr>
      <w:rFonts w:eastAsia="宋体" w:cs="宋体"/>
      <w:color w:val="000000"/>
      <w:kern w:val="2"/>
      <w:sz w:val="21"/>
      <w:szCs w:val="21"/>
      <w:lang w:val="en-US" w:eastAsia="zh-CN" w:bidi="ar-SA"/>
    </w:rPr>
  </w:style>
  <w:style w:type="character" w:customStyle="1" w:styleId="235">
    <w:name w:val="样式 一级条标题 + (中文) 楷体_GB2312 四号 Char"/>
    <w:basedOn w:val="40"/>
    <w:uiPriority w:val="0"/>
    <w:rPr>
      <w:rFonts w:ascii="黑体" w:eastAsia="宋体" w:cs="Times New Roman"/>
      <w:sz w:val="21"/>
      <w:szCs w:val="21"/>
      <w:lang w:val="en-US" w:eastAsia="zh-CN" w:bidi="ar-SA"/>
    </w:rPr>
  </w:style>
  <w:style w:type="character" w:customStyle="1" w:styleId="236">
    <w:name w:val="apple-style-span"/>
    <w:basedOn w:val="40"/>
    <w:uiPriority w:val="0"/>
    <w:rPr>
      <w:rFonts w:cs="Times New Roman"/>
    </w:rPr>
  </w:style>
  <w:style w:type="character" w:customStyle="1" w:styleId="237">
    <w:name w:val="段 Char"/>
    <w:basedOn w:val="40"/>
    <w:link w:val="66"/>
    <w:locked/>
    <w:uiPriority w:val="0"/>
    <w:rPr>
      <w:rFonts w:ascii="宋体" w:eastAsia="宋体"/>
      <w:sz w:val="21"/>
      <w:lang w:val="en-US" w:eastAsia="zh-CN" w:bidi="ar-SA"/>
    </w:rPr>
  </w:style>
  <w:style w:type="character" w:customStyle="1" w:styleId="238">
    <w:name w:val="Header Char"/>
    <w:basedOn w:val="40"/>
    <w:link w:val="33"/>
    <w:locked/>
    <w:uiPriority w:val="0"/>
    <w:rPr>
      <w:rFonts w:eastAsia="宋体"/>
      <w:kern w:val="2"/>
      <w:sz w:val="18"/>
      <w:szCs w:val="18"/>
      <w:lang w:val="en-US" w:eastAsia="zh-CN" w:bidi="ar-SA"/>
    </w:rPr>
  </w:style>
  <w:style w:type="character" w:customStyle="1" w:styleId="239">
    <w:name w:val="Footer Char"/>
    <w:basedOn w:val="40"/>
    <w:link w:val="31"/>
    <w:locked/>
    <w:uiPriority w:val="0"/>
    <w:rPr>
      <w:rFonts w:eastAsia="宋体"/>
      <w:kern w:val="2"/>
      <w:sz w:val="18"/>
      <w:szCs w:val="18"/>
      <w:lang w:val="en-US" w:eastAsia="zh-CN" w:bidi="ar-SA"/>
    </w:rPr>
  </w:style>
  <w:style w:type="character" w:customStyle="1" w:styleId="240">
    <w:name w:val="样式 小四"/>
    <w:uiPriority w:val="0"/>
    <w:rPr>
      <w:sz w:val="21"/>
    </w:rPr>
  </w:style>
  <w:style w:type="character" w:customStyle="1" w:styleId="241">
    <w:name w:val="Comment Text Char"/>
    <w:basedOn w:val="40"/>
    <w:link w:val="12"/>
    <w:semiHidden/>
    <w:locked/>
    <w:uiPriority w:val="0"/>
    <w:rPr>
      <w:rFonts w:eastAsia="宋体"/>
      <w:kern w:val="2"/>
      <w:sz w:val="21"/>
      <w:szCs w:val="24"/>
      <w:lang w:val="en-US" w:eastAsia="zh-CN" w:bidi="ar-SA"/>
    </w:rPr>
  </w:style>
  <w:style w:type="character" w:customStyle="1" w:styleId="242">
    <w:name w:val="Heading 1 Char"/>
    <w:basedOn w:val="40"/>
    <w:link w:val="2"/>
    <w:locked/>
    <w:uiPriority w:val="0"/>
    <w:rPr>
      <w:rFonts w:eastAsia="宋体"/>
      <w:b/>
      <w:bCs/>
      <w:kern w:val="44"/>
      <w:sz w:val="44"/>
      <w:szCs w:val="44"/>
      <w:lang w:val="en-US" w:eastAsia="zh-CN" w:bidi="ar-SA"/>
    </w:rPr>
  </w:style>
  <w:style w:type="character" w:customStyle="1" w:styleId="243">
    <w:name w:val="Heading 2 Char"/>
    <w:basedOn w:val="40"/>
    <w:link w:val="3"/>
    <w:locked/>
    <w:uiPriority w:val="0"/>
    <w:rPr>
      <w:rFonts w:ascii="Arial" w:hAnsi="Arial" w:eastAsia="黑体"/>
      <w:b/>
      <w:bCs/>
      <w:kern w:val="2"/>
      <w:sz w:val="32"/>
      <w:szCs w:val="32"/>
      <w:lang w:val="en-US" w:eastAsia="zh-CN" w:bidi="ar-SA"/>
    </w:rPr>
  </w:style>
  <w:style w:type="table" w:customStyle="1" w:styleId="244">
    <w:name w:val="网格型1"/>
    <w:uiPriority w:val="0"/>
    <w:pPr>
      <w:widowControl w:val="0"/>
      <w:jc w:val="both"/>
    </w:pPr>
    <w:rPr>
      <w:lang w:val="en-US" w:eastAsia="zh-CN" w:bidi="ar-SA"/>
    </w:rPr>
    <w:tblPr>
      <w:tblStyle w:val="5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wBefore w:w="0" w:type="dxa"/>
    </w:t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7"/>
    <customShpInfo spid="_x0000_s1026"/>
    <customShpInfo spid="_x0000_s1025"/>
    <customShpInfo spid="_x0000_s1030"/>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WWW.YlmF.CoM</Company>
  <Pages>1</Pages>
  <Words>2967</Words>
  <Characters>16917</Characters>
  <Lines>140</Lines>
  <Paragraphs>39</Paragraphs>
  <ScaleCrop>false</ScaleCrop>
  <LinksUpToDate>false</LinksUpToDate>
  <CharactersWithSpaces>19845</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2017-12-05T15:49:00Z</dcterms:created>
  <dc:creator>贾芳姝</dc:creator>
  <cp:lastModifiedBy>sugar</cp:lastModifiedBy>
  <dcterms:modified xsi:type="dcterms:W3CDTF">2020-02-04T17:46:08Z</dcterms:modified>
  <dc:title>报告编号：</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