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after="0" w:line="560" w:lineRule="exact"/>
        <w:ind w:left="0" w:firstLine="1320" w:firstLineChars="300"/>
        <w:rPr>
          <w:rFonts w:hint="eastAsia" w:ascii="方正小标宋简体" w:hAnsi="Arial" w:eastAsia="方正小标宋简体"/>
          <w:kern w:val="0"/>
          <w:sz w:val="44"/>
          <w:szCs w:val="44"/>
        </w:rPr>
      </w:pPr>
      <w:bookmarkStart w:id="39" w:name="_GoBack"/>
      <w:bookmarkEnd w:id="39"/>
    </w:p>
    <w:p>
      <w:pPr>
        <w:pStyle w:val="10"/>
        <w:spacing w:after="0" w:line="560" w:lineRule="exact"/>
        <w:ind w:left="0" w:firstLine="1320" w:firstLineChars="300"/>
        <w:rPr>
          <w:rFonts w:ascii="方正小标宋简体" w:hAnsi="Arial" w:eastAsia="方正小标宋简体"/>
          <w:kern w:val="0"/>
          <w:sz w:val="44"/>
          <w:szCs w:val="44"/>
        </w:rPr>
      </w:pPr>
    </w:p>
    <w:p>
      <w:pPr>
        <w:pStyle w:val="10"/>
        <w:spacing w:after="0" w:line="560" w:lineRule="exact"/>
        <w:ind w:left="0" w:firstLine="1320" w:firstLineChars="300"/>
        <w:rPr>
          <w:rFonts w:ascii="方正小标宋简体" w:hAnsi="Arial" w:eastAsia="方正小标宋简体"/>
          <w:kern w:val="0"/>
          <w:sz w:val="44"/>
          <w:szCs w:val="44"/>
        </w:rPr>
      </w:pPr>
    </w:p>
    <w:p>
      <w:pPr>
        <w:pStyle w:val="10"/>
        <w:spacing w:after="0" w:line="560" w:lineRule="exact"/>
        <w:ind w:left="0" w:firstLine="1320" w:firstLineChars="300"/>
        <w:rPr>
          <w:rFonts w:ascii="方正小标宋简体" w:hAnsi="Arial" w:eastAsia="方正小标宋简体"/>
          <w:kern w:val="0"/>
          <w:sz w:val="44"/>
          <w:szCs w:val="44"/>
        </w:rPr>
      </w:pPr>
    </w:p>
    <w:p>
      <w:pPr>
        <w:pStyle w:val="10"/>
        <w:spacing w:after="0" w:line="560" w:lineRule="exact"/>
        <w:ind w:left="0" w:firstLine="1320" w:firstLineChars="300"/>
        <w:rPr>
          <w:rFonts w:hAnsi="宋体"/>
          <w:b/>
          <w:sz w:val="44"/>
          <w:szCs w:val="44"/>
        </w:rPr>
      </w:pPr>
      <w:r>
        <w:rPr>
          <w:rFonts w:hint="eastAsia" w:ascii="方正小标宋简体" w:hAnsi="Arial" w:eastAsia="方正小标宋简体"/>
          <w:kern w:val="0"/>
          <w:sz w:val="44"/>
          <w:szCs w:val="44"/>
        </w:rPr>
        <w:t>中国电信互联网新业务安全评估报告</w:t>
      </w:r>
    </w:p>
    <w:p>
      <w:pPr>
        <w:spacing w:before="312" w:beforeLines="100" w:after="312" w:afterLines="100" w:line="480" w:lineRule="auto"/>
        <w:jc w:val="center"/>
        <w:rPr>
          <w:rFonts w:hAnsi="宋体"/>
          <w:b/>
          <w:sz w:val="32"/>
          <w:szCs w:val="44"/>
        </w:rPr>
      </w:pPr>
    </w:p>
    <w:p>
      <w:pPr>
        <w:spacing w:before="312" w:beforeLines="100" w:after="312" w:afterLines="100" w:line="480" w:lineRule="auto"/>
        <w:jc w:val="center"/>
        <w:rPr>
          <w:rFonts w:hAnsi="宋体"/>
          <w:b/>
          <w:sz w:val="32"/>
          <w:szCs w:val="44"/>
        </w:rPr>
      </w:pPr>
    </w:p>
    <w:p>
      <w:pPr>
        <w:spacing w:before="312" w:beforeLines="100" w:after="312" w:afterLines="100" w:line="480" w:lineRule="auto"/>
        <w:jc w:val="center"/>
        <w:rPr>
          <w:rFonts w:ascii="仿宋" w:hAnsi="仿宋" w:eastAsia="仿宋"/>
          <w:b/>
          <w:sz w:val="36"/>
          <w:szCs w:val="36"/>
        </w:rPr>
      </w:pPr>
      <w:r>
        <w:rPr>
          <w:rFonts w:hint="eastAsia" w:ascii="仿宋" w:hAnsi="仿宋" w:eastAsia="仿宋"/>
          <w:b/>
          <w:sz w:val="36"/>
          <w:szCs w:val="36"/>
        </w:rPr>
        <w:t>产品名称：</w:t>
      </w:r>
      <w:r>
        <w:rPr>
          <w:rFonts w:hint="eastAsia" w:ascii="仿宋" w:hAnsi="仿宋" w:eastAsia="仿宋"/>
          <w:b/>
          <w:sz w:val="32"/>
          <w:szCs w:val="44"/>
        </w:rPr>
        <w:t>短信营业厅</w:t>
      </w:r>
    </w:p>
    <w:p>
      <w:pPr>
        <w:spacing w:before="312" w:beforeLines="100" w:after="312" w:afterLines="100" w:line="480" w:lineRule="auto"/>
        <w:jc w:val="center"/>
        <w:rPr>
          <w:rFonts w:hAnsi="宋体"/>
          <w:b/>
          <w:sz w:val="36"/>
          <w:szCs w:val="36"/>
        </w:rPr>
      </w:pPr>
    </w:p>
    <w:p>
      <w:pPr>
        <w:spacing w:before="312" w:beforeLines="100" w:after="312" w:afterLines="100" w:line="480" w:lineRule="auto"/>
        <w:jc w:val="center"/>
        <w:rPr>
          <w:rFonts w:hAnsi="宋体"/>
          <w:b/>
          <w:sz w:val="36"/>
          <w:szCs w:val="36"/>
        </w:rPr>
      </w:pPr>
    </w:p>
    <w:p>
      <w:pPr>
        <w:spacing w:before="312" w:beforeLines="100" w:after="312" w:afterLines="100" w:line="480" w:lineRule="auto"/>
        <w:jc w:val="center"/>
        <w:rPr>
          <w:rFonts w:hAnsi="宋体"/>
          <w:b/>
          <w:sz w:val="36"/>
          <w:szCs w:val="36"/>
        </w:rPr>
      </w:pPr>
    </w:p>
    <w:p>
      <w:pPr>
        <w:jc w:val="center"/>
        <w:rPr>
          <w:rFonts w:ascii="仿宋" w:hAnsi="仿宋" w:eastAsia="仿宋"/>
          <w:b/>
          <w:sz w:val="36"/>
          <w:szCs w:val="36"/>
        </w:rPr>
      </w:pPr>
      <w:r>
        <w:rPr>
          <w:rFonts w:hint="eastAsia" w:ascii="仿宋" w:hAnsi="仿宋" w:eastAsia="仿宋"/>
          <w:b/>
          <w:sz w:val="36"/>
          <w:szCs w:val="36"/>
        </w:rPr>
        <w:t>评估单位：</w:t>
      </w:r>
      <w:r>
        <w:rPr>
          <w:rFonts w:hint="eastAsia" w:ascii="仿宋" w:hAnsi="仿宋" w:eastAsia="仿宋"/>
          <w:b/>
          <w:sz w:val="32"/>
          <w:szCs w:val="32"/>
        </w:rPr>
        <w:t>国家计算机网络与信息安全管理中心</w:t>
      </w:r>
    </w:p>
    <w:p>
      <w:pPr>
        <w:jc w:val="center"/>
        <w:rPr>
          <w:rFonts w:ascii="仿宋" w:hAnsi="仿宋" w:eastAsia="仿宋"/>
          <w:b/>
          <w:sz w:val="36"/>
          <w:szCs w:val="36"/>
        </w:rPr>
      </w:pPr>
      <w:r>
        <w:rPr>
          <w:rFonts w:ascii="仿宋" w:hAnsi="仿宋" w:eastAsia="仿宋"/>
          <w:b/>
          <w:sz w:val="36"/>
          <w:szCs w:val="36"/>
        </w:rPr>
        <w:t>201</w:t>
      </w:r>
      <w:r>
        <w:rPr>
          <w:rFonts w:hint="eastAsia" w:ascii="仿宋" w:hAnsi="仿宋" w:eastAsia="仿宋"/>
          <w:b/>
          <w:sz w:val="36"/>
          <w:szCs w:val="36"/>
        </w:rPr>
        <w:t>9年11月</w:t>
      </w:r>
    </w:p>
    <w:sdt>
      <w:sdtPr>
        <w:rPr>
          <w:rFonts w:ascii="Times New Roman" w:hAnsi="Times New Roman" w:eastAsia="宋体" w:cs="Times New Roman"/>
          <w:color w:val="auto"/>
          <w:kern w:val="2"/>
          <w:sz w:val="21"/>
          <w:szCs w:val="24"/>
          <w:lang w:val="zh-CN"/>
        </w:rPr>
        <w:id w:val="0"/>
      </w:sdtPr>
      <w:sdtEndPr>
        <w:rPr>
          <w:rFonts w:ascii="Times New Roman" w:hAnsi="Times New Roman" w:eastAsia="宋体" w:cs="Times New Roman"/>
          <w:b/>
          <w:bCs/>
          <w:color w:val="auto"/>
          <w:kern w:val="2"/>
          <w:sz w:val="21"/>
          <w:szCs w:val="24"/>
          <w:lang w:val="zh-CN"/>
        </w:rPr>
      </w:sdtEndPr>
      <w:sdtContent>
        <w:p>
          <w:pPr>
            <w:pStyle w:val="33"/>
            <w:pageBreakBefore/>
            <w:jc w:val="center"/>
            <w:rPr>
              <w:b/>
              <w:color w:val="auto"/>
              <w:sz w:val="40"/>
            </w:rPr>
          </w:pPr>
          <w:r>
            <w:rPr>
              <w:b/>
              <w:color w:val="auto"/>
              <w:sz w:val="40"/>
              <w:lang w:val="zh-CN"/>
            </w:rPr>
            <w:t>目录</w:t>
          </w:r>
        </w:p>
        <w:p>
          <w:pPr>
            <w:pStyle w:val="16"/>
            <w:tabs>
              <w:tab w:val="left" w:pos="420"/>
              <w:tab w:val="right" w:leader="dot" w:pos="8810"/>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"_Toc513621542" </w:instrText>
          </w:r>
          <w:r>
            <w:fldChar w:fldCharType="separate"/>
          </w:r>
          <w:r>
            <w:rPr>
              <w:rStyle w:val="21"/>
            </w:rPr>
            <w:t>1</w:t>
          </w:r>
          <w:r>
            <w:rPr>
              <w:rFonts w:asciiTheme="minorHAnsi" w:hAnsiTheme="minorHAnsi" w:eastAsiaTheme="minorEastAsia" w:cstheme="minorBidi"/>
              <w:szCs w:val="22"/>
            </w:rPr>
            <w:tab/>
          </w:r>
          <w:r>
            <w:rPr>
              <w:rStyle w:val="21"/>
              <w:rFonts w:hint="eastAsia"/>
            </w:rPr>
            <w:t>业务基本情况介绍</w:t>
          </w:r>
          <w:r>
            <w:tab/>
          </w:r>
          <w:r>
            <w:fldChar w:fldCharType="begin"/>
          </w:r>
          <w:r>
            <w:instrText xml:space="preserve"> PAGEREF _Toc513621542 \h </w:instrText>
          </w:r>
          <w:r>
            <w:fldChar w:fldCharType="separate"/>
          </w:r>
          <w:r>
            <w:t>3</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"_Toc513621543" </w:instrText>
          </w:r>
          <w:r>
            <w:fldChar w:fldCharType="separate"/>
          </w:r>
          <w:r>
            <w:rPr>
              <w:rStyle w:val="21"/>
            </w:rPr>
            <w:t>1.1</w:t>
          </w:r>
          <w:r>
            <w:rPr>
              <w:rFonts w:asciiTheme="minorHAnsi" w:hAnsiTheme="minorHAnsi" w:eastAsiaTheme="minorEastAsia" w:cstheme="minorBidi"/>
              <w:szCs w:val="22"/>
            </w:rPr>
            <w:tab/>
          </w:r>
          <w:r>
            <w:rPr>
              <w:rStyle w:val="21"/>
              <w:rFonts w:hint="eastAsia"/>
            </w:rPr>
            <w:t>业务名称</w:t>
          </w:r>
          <w:r>
            <w:tab/>
          </w:r>
          <w:r>
            <w:fldChar w:fldCharType="begin"/>
          </w:r>
          <w:r>
            <w:instrText xml:space="preserve"> PAGEREF _Toc513621543 \h </w:instrText>
          </w:r>
          <w:r>
            <w:fldChar w:fldCharType="separate"/>
          </w:r>
          <w:r>
            <w:t>3</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"_Toc513621544" </w:instrText>
          </w:r>
          <w:r>
            <w:fldChar w:fldCharType="separate"/>
          </w:r>
          <w:r>
            <w:rPr>
              <w:rStyle w:val="21"/>
            </w:rPr>
            <w:t>1.2</w:t>
          </w:r>
          <w:r>
            <w:rPr>
              <w:rFonts w:asciiTheme="minorHAnsi" w:hAnsiTheme="minorHAnsi" w:eastAsiaTheme="minorEastAsia" w:cstheme="minorBidi"/>
              <w:szCs w:val="22"/>
            </w:rPr>
            <w:tab/>
          </w:r>
          <w:r>
            <w:rPr>
              <w:rStyle w:val="21"/>
              <w:rFonts w:hint="eastAsia"/>
            </w:rPr>
            <w:t>业务功能介绍</w:t>
          </w:r>
          <w:r>
            <w:tab/>
          </w:r>
          <w:r>
            <w:fldChar w:fldCharType="begin"/>
          </w:r>
          <w:r>
            <w:instrText xml:space="preserve"> PAGEREF _Toc513621544 \h </w:instrText>
          </w:r>
          <w:r>
            <w:fldChar w:fldCharType="separate"/>
          </w:r>
          <w:r>
            <w:t>3</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"_Toc513621545" </w:instrText>
          </w:r>
          <w:r>
            <w:fldChar w:fldCharType="separate"/>
          </w:r>
          <w:r>
            <w:rPr>
              <w:rStyle w:val="21"/>
            </w:rPr>
            <w:t>1.3</w:t>
          </w:r>
          <w:r>
            <w:rPr>
              <w:rFonts w:asciiTheme="minorHAnsi" w:hAnsiTheme="minorHAnsi" w:eastAsiaTheme="minorEastAsia" w:cstheme="minorBidi"/>
              <w:szCs w:val="22"/>
            </w:rPr>
            <w:tab/>
          </w:r>
          <w:r>
            <w:rPr>
              <w:rStyle w:val="21"/>
              <w:rFonts w:hint="eastAsia"/>
            </w:rPr>
            <w:t>技术实现方式介绍</w:t>
          </w:r>
          <w:r>
            <w:tab/>
          </w:r>
          <w:r>
            <w:fldChar w:fldCharType="begin"/>
          </w:r>
          <w:r>
            <w:instrText xml:space="preserve"> PAGEREF _Toc513621545 \h </w:instrText>
          </w:r>
          <w:r>
            <w:fldChar w:fldCharType="separate"/>
          </w:r>
          <w:r>
            <w:t>3</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"_Toc513621546" </w:instrText>
          </w:r>
          <w:r>
            <w:fldChar w:fldCharType="separate"/>
          </w:r>
          <w:r>
            <w:rPr>
              <w:rStyle w:val="21"/>
            </w:rPr>
            <w:t>1.4</w:t>
          </w:r>
          <w:r>
            <w:rPr>
              <w:rFonts w:asciiTheme="minorHAnsi" w:hAnsiTheme="minorHAnsi" w:eastAsiaTheme="minorEastAsia" w:cstheme="minorBidi"/>
              <w:szCs w:val="22"/>
            </w:rPr>
            <w:tab/>
          </w:r>
          <w:r>
            <w:rPr>
              <w:rStyle w:val="21"/>
              <w:rFonts w:hint="eastAsia"/>
            </w:rPr>
            <w:t>（预期）用户规模</w:t>
          </w:r>
          <w:r>
            <w:tab/>
          </w:r>
          <w:r>
            <w:fldChar w:fldCharType="begin"/>
          </w:r>
          <w:r>
            <w:instrText xml:space="preserve"> PAGEREF _Toc513621546 \h </w:instrText>
          </w:r>
          <w:r>
            <w:fldChar w:fldCharType="separate"/>
          </w:r>
          <w:r>
            <w:t>5</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"_Toc513621547" </w:instrText>
          </w:r>
          <w:r>
            <w:fldChar w:fldCharType="separate"/>
          </w:r>
          <w:r>
            <w:rPr>
              <w:rStyle w:val="21"/>
            </w:rPr>
            <w:t>1.5</w:t>
          </w:r>
          <w:r>
            <w:rPr>
              <w:rFonts w:asciiTheme="minorHAnsi" w:hAnsiTheme="minorHAnsi" w:eastAsiaTheme="minorEastAsia" w:cstheme="minorBidi"/>
              <w:szCs w:val="22"/>
            </w:rPr>
            <w:tab/>
          </w:r>
          <w:r>
            <w:rPr>
              <w:rStyle w:val="21"/>
              <w:rFonts w:hint="eastAsia"/>
            </w:rPr>
            <w:t>市场发展情况</w:t>
          </w:r>
          <w:r>
            <w:tab/>
          </w:r>
          <w:r>
            <w:fldChar w:fldCharType="begin"/>
          </w:r>
          <w:r>
            <w:instrText xml:space="preserve"> PAGEREF _Toc513621547 \h </w:instrText>
          </w:r>
          <w:r>
            <w:fldChar w:fldCharType="separate"/>
          </w:r>
          <w:r>
            <w:t>5</w:t>
          </w:r>
          <w:r>
            <w:fldChar w:fldCharType="end"/>
          </w:r>
          <w:r>
            <w:fldChar w:fldCharType="end"/>
          </w:r>
        </w:p>
        <w:p>
          <w:pPr>
            <w:pStyle w:val="16"/>
            <w:tabs>
              <w:tab w:val="left" w:pos="420"/>
              <w:tab w:val="right" w:leader="dot" w:pos="8810"/>
            </w:tabs>
            <w:rPr>
              <w:rFonts w:asciiTheme="minorHAnsi" w:hAnsiTheme="minorHAnsi" w:eastAsiaTheme="minorEastAsia" w:cstheme="minorBidi"/>
              <w:szCs w:val="22"/>
            </w:rPr>
          </w:pPr>
          <w:r>
            <w:fldChar w:fldCharType="begin"/>
          </w:r>
          <w:r>
            <w:instrText xml:space="preserve"> HYPERLINK \l "_Toc513621548" </w:instrText>
          </w:r>
          <w:r>
            <w:fldChar w:fldCharType="separate"/>
          </w:r>
          <w:r>
            <w:rPr>
              <w:rStyle w:val="21"/>
            </w:rPr>
            <w:t>2</w:t>
          </w:r>
          <w:r>
            <w:rPr>
              <w:rFonts w:asciiTheme="minorHAnsi" w:hAnsiTheme="minorHAnsi" w:eastAsiaTheme="minorEastAsia" w:cstheme="minorBidi"/>
              <w:szCs w:val="22"/>
            </w:rPr>
            <w:tab/>
          </w:r>
          <w:r>
            <w:rPr>
              <w:rStyle w:val="21"/>
              <w:rFonts w:hint="eastAsia"/>
            </w:rPr>
            <w:t>安全评估情况</w:t>
          </w:r>
          <w:r>
            <w:tab/>
          </w:r>
          <w:r>
            <w:fldChar w:fldCharType="begin"/>
          </w:r>
          <w:r>
            <w:instrText xml:space="preserve"> PAGEREF _Toc513621548 \h </w:instrText>
          </w:r>
          <w:r>
            <w:fldChar w:fldCharType="separate"/>
          </w:r>
          <w:r>
            <w:t>5</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"_Toc513621549" </w:instrText>
          </w:r>
          <w:r>
            <w:fldChar w:fldCharType="separate"/>
          </w:r>
          <w:r>
            <w:rPr>
              <w:rStyle w:val="21"/>
            </w:rPr>
            <w:t>2.1</w:t>
          </w:r>
          <w:r>
            <w:rPr>
              <w:rFonts w:asciiTheme="minorHAnsi" w:hAnsiTheme="minorHAnsi" w:eastAsiaTheme="minorEastAsia" w:cstheme="minorBidi"/>
              <w:szCs w:val="22"/>
            </w:rPr>
            <w:tab/>
          </w:r>
          <w:r>
            <w:rPr>
              <w:rStyle w:val="21"/>
              <w:rFonts w:hint="eastAsia"/>
            </w:rPr>
            <w:t>安全评估情况概述</w:t>
          </w:r>
          <w:r>
            <w:tab/>
          </w:r>
          <w:r>
            <w:fldChar w:fldCharType="begin"/>
          </w:r>
          <w:r>
            <w:instrText xml:space="preserve"> PAGEREF _Toc513621549 \h </w:instrText>
          </w:r>
          <w:r>
            <w:fldChar w:fldCharType="separate"/>
          </w:r>
          <w:r>
            <w:t>5</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"_Toc513621550" </w:instrText>
          </w:r>
          <w:r>
            <w:fldChar w:fldCharType="separate"/>
          </w:r>
          <w:r>
            <w:rPr>
              <w:rStyle w:val="21"/>
            </w:rPr>
            <w:t>2.2</w:t>
          </w:r>
          <w:r>
            <w:rPr>
              <w:rFonts w:asciiTheme="minorHAnsi" w:hAnsiTheme="minorHAnsi" w:eastAsiaTheme="minorEastAsia" w:cstheme="minorBidi"/>
              <w:szCs w:val="22"/>
            </w:rPr>
            <w:tab/>
          </w:r>
          <w:r>
            <w:rPr>
              <w:rStyle w:val="21"/>
              <w:rFonts w:hint="eastAsia"/>
            </w:rPr>
            <w:t>评估人员组成</w:t>
          </w:r>
          <w:r>
            <w:tab/>
          </w:r>
          <w:r>
            <w:fldChar w:fldCharType="begin"/>
          </w:r>
          <w:r>
            <w:instrText xml:space="preserve"> PAGEREF _Toc513621550 \h </w:instrText>
          </w:r>
          <w:r>
            <w:fldChar w:fldCharType="separate"/>
          </w:r>
          <w:r>
            <w:t>6</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"_Toc513621551" </w:instrText>
          </w:r>
          <w:r>
            <w:fldChar w:fldCharType="separate"/>
          </w:r>
          <w:r>
            <w:rPr>
              <w:rStyle w:val="21"/>
            </w:rPr>
            <w:t>2.3</w:t>
          </w:r>
          <w:r>
            <w:rPr>
              <w:rFonts w:asciiTheme="minorHAnsi" w:hAnsiTheme="minorHAnsi" w:eastAsiaTheme="minorEastAsia" w:cstheme="minorBidi"/>
              <w:szCs w:val="22"/>
            </w:rPr>
            <w:tab/>
          </w:r>
          <w:r>
            <w:rPr>
              <w:rStyle w:val="21"/>
              <w:rFonts w:hint="eastAsia"/>
            </w:rPr>
            <w:t>评估实施流程</w:t>
          </w:r>
          <w:r>
            <w:tab/>
          </w:r>
          <w:r>
            <w:fldChar w:fldCharType="begin"/>
          </w:r>
          <w:r>
            <w:instrText xml:space="preserve"> PAGEREF _Toc513621551 \h </w:instrText>
          </w:r>
          <w:r>
            <w:fldChar w:fldCharType="separate"/>
          </w:r>
          <w:r>
            <w:t>7</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"_Toc513621552" </w:instrText>
          </w:r>
          <w:r>
            <w:fldChar w:fldCharType="separate"/>
          </w:r>
          <w:r>
            <w:rPr>
              <w:rStyle w:val="21"/>
            </w:rPr>
            <w:t>2.4</w:t>
          </w:r>
          <w:r>
            <w:rPr>
              <w:rFonts w:asciiTheme="minorHAnsi" w:hAnsiTheme="minorHAnsi" w:eastAsiaTheme="minorEastAsia" w:cstheme="minorBidi"/>
              <w:szCs w:val="22"/>
            </w:rPr>
            <w:tab/>
          </w:r>
          <w:r>
            <w:rPr>
              <w:rStyle w:val="21"/>
              <w:rFonts w:hint="eastAsia"/>
            </w:rPr>
            <w:t>业务风险识别分析</w:t>
          </w:r>
          <w:r>
            <w:tab/>
          </w:r>
          <w:r>
            <w:fldChar w:fldCharType="begin"/>
          </w:r>
          <w:r>
            <w:instrText xml:space="preserve"> PAGEREF _Toc513621552 \h </w:instrText>
          </w:r>
          <w:r>
            <w:fldChar w:fldCharType="separate"/>
          </w:r>
          <w:r>
            <w:t>8</w:t>
          </w:r>
          <w:r>
            <w:fldChar w:fldCharType="end"/>
          </w:r>
          <w:r>
            <w:fldChar w:fldCharType="end"/>
          </w:r>
        </w:p>
        <w:p>
          <w:pPr>
            <w:pStyle w:val="11"/>
            <w:tabs>
              <w:tab w:val="left" w:pos="1680"/>
              <w:tab w:val="right" w:leader="dot" w:pos="8810"/>
            </w:tabs>
            <w:rPr>
              <w:rFonts w:asciiTheme="minorHAnsi" w:hAnsiTheme="minorHAnsi" w:eastAsiaTheme="minorEastAsia" w:cstheme="minorBidi"/>
              <w:szCs w:val="22"/>
            </w:rPr>
          </w:pPr>
          <w:r>
            <w:fldChar w:fldCharType="begin"/>
          </w:r>
          <w:r>
            <w:instrText xml:space="preserve"> HYPERLINK \l "_Toc513621553" </w:instrText>
          </w:r>
          <w:r>
            <w:fldChar w:fldCharType="separate"/>
          </w:r>
          <w:r>
            <w:rPr>
              <w:rStyle w:val="21"/>
            </w:rPr>
            <w:t>2.4.1</w:t>
          </w:r>
          <w:r>
            <w:rPr>
              <w:rFonts w:asciiTheme="minorHAnsi" w:hAnsiTheme="minorHAnsi" w:eastAsiaTheme="minorEastAsia" w:cstheme="minorBidi"/>
              <w:szCs w:val="22"/>
            </w:rPr>
            <w:tab/>
          </w:r>
          <w:r>
            <w:rPr>
              <w:rStyle w:val="21"/>
              <w:rFonts w:hint="eastAsia"/>
            </w:rPr>
            <w:t>整体风险分析矩阵</w:t>
          </w:r>
          <w:r>
            <w:tab/>
          </w:r>
          <w:r>
            <w:fldChar w:fldCharType="begin"/>
          </w:r>
          <w:r>
            <w:instrText xml:space="preserve"> PAGEREF _Toc513621553 \h </w:instrText>
          </w:r>
          <w:r>
            <w:fldChar w:fldCharType="separate"/>
          </w:r>
          <w:r>
            <w:t>8</w:t>
          </w:r>
          <w:r>
            <w:fldChar w:fldCharType="end"/>
          </w:r>
          <w:r>
            <w:fldChar w:fldCharType="end"/>
          </w:r>
        </w:p>
        <w:p>
          <w:pPr>
            <w:pStyle w:val="11"/>
            <w:tabs>
              <w:tab w:val="left" w:pos="1680"/>
              <w:tab w:val="right" w:leader="dot" w:pos="8810"/>
            </w:tabs>
            <w:rPr>
              <w:rFonts w:asciiTheme="minorHAnsi" w:hAnsiTheme="minorHAnsi" w:eastAsiaTheme="minorEastAsia" w:cstheme="minorBidi"/>
              <w:szCs w:val="22"/>
            </w:rPr>
          </w:pPr>
          <w:r>
            <w:fldChar w:fldCharType="begin"/>
          </w:r>
          <w:r>
            <w:instrText xml:space="preserve"> HYPERLINK \l "_Toc513621554" </w:instrText>
          </w:r>
          <w:r>
            <w:fldChar w:fldCharType="separate"/>
          </w:r>
          <w:r>
            <w:rPr>
              <w:rStyle w:val="21"/>
            </w:rPr>
            <w:t>2.4.2</w:t>
          </w:r>
          <w:r>
            <w:rPr>
              <w:rFonts w:asciiTheme="minorHAnsi" w:hAnsiTheme="minorHAnsi" w:eastAsiaTheme="minorEastAsia" w:cstheme="minorBidi"/>
              <w:szCs w:val="22"/>
            </w:rPr>
            <w:tab/>
          </w:r>
          <w:r>
            <w:rPr>
              <w:rStyle w:val="21"/>
              <w:rFonts w:hint="eastAsia"/>
            </w:rPr>
            <w:t>高风险识别分析说明</w:t>
          </w:r>
          <w:r>
            <w:tab/>
          </w:r>
          <w:r>
            <w:fldChar w:fldCharType="begin"/>
          </w:r>
          <w:r>
            <w:instrText xml:space="preserve"> PAGEREF _Toc513621554 \h </w:instrText>
          </w:r>
          <w:r>
            <w:fldChar w:fldCharType="separate"/>
          </w:r>
          <w:r>
            <w:t>17</w:t>
          </w:r>
          <w:r>
            <w:fldChar w:fldCharType="end"/>
          </w:r>
          <w:r>
            <w:fldChar w:fldCharType="end"/>
          </w:r>
        </w:p>
        <w:p>
          <w:pPr>
            <w:pStyle w:val="11"/>
            <w:tabs>
              <w:tab w:val="left" w:pos="1680"/>
              <w:tab w:val="right" w:leader="dot" w:pos="8810"/>
            </w:tabs>
            <w:rPr>
              <w:rFonts w:asciiTheme="minorHAnsi" w:hAnsiTheme="minorHAnsi" w:eastAsiaTheme="minorEastAsia" w:cstheme="minorBidi"/>
              <w:szCs w:val="22"/>
            </w:rPr>
          </w:pPr>
          <w:r>
            <w:fldChar w:fldCharType="begin"/>
          </w:r>
          <w:r>
            <w:instrText xml:space="preserve"> HYPERLINK \l "_Toc513621555" </w:instrText>
          </w:r>
          <w:r>
            <w:fldChar w:fldCharType="separate"/>
          </w:r>
          <w:r>
            <w:rPr>
              <w:rStyle w:val="21"/>
            </w:rPr>
            <w:t>2.4.3</w:t>
          </w:r>
          <w:r>
            <w:rPr>
              <w:rFonts w:asciiTheme="minorHAnsi" w:hAnsiTheme="minorHAnsi" w:eastAsiaTheme="minorEastAsia" w:cstheme="minorBidi"/>
              <w:szCs w:val="22"/>
            </w:rPr>
            <w:tab/>
          </w:r>
          <w:r>
            <w:rPr>
              <w:rStyle w:val="21"/>
              <w:rFonts w:hint="eastAsia"/>
            </w:rPr>
            <w:t>配套安全管理措施</w:t>
          </w:r>
          <w:r>
            <w:tab/>
          </w:r>
          <w:r>
            <w:fldChar w:fldCharType="begin"/>
          </w:r>
          <w:r>
            <w:instrText xml:space="preserve"> PAGEREF _Toc513621555 \h </w:instrText>
          </w:r>
          <w:r>
            <w:fldChar w:fldCharType="separate"/>
          </w:r>
          <w:r>
            <w:t>17</w:t>
          </w:r>
          <w:r>
            <w:fldChar w:fldCharType="end"/>
          </w:r>
          <w:r>
            <w:fldChar w:fldCharType="end"/>
          </w:r>
        </w:p>
        <w:p>
          <w:pPr>
            <w:pStyle w:val="16"/>
            <w:tabs>
              <w:tab w:val="left" w:pos="420"/>
              <w:tab w:val="right" w:leader="dot" w:pos="8810"/>
            </w:tabs>
            <w:rPr>
              <w:rFonts w:asciiTheme="minorHAnsi" w:hAnsiTheme="minorHAnsi" w:eastAsiaTheme="minorEastAsia" w:cstheme="minorBidi"/>
              <w:szCs w:val="22"/>
            </w:rPr>
          </w:pPr>
          <w:r>
            <w:fldChar w:fldCharType="begin"/>
          </w:r>
          <w:r>
            <w:instrText xml:space="preserve"> HYPERLINK \l "_Toc513621556" </w:instrText>
          </w:r>
          <w:r>
            <w:fldChar w:fldCharType="separate"/>
          </w:r>
          <w:r>
            <w:rPr>
              <w:rStyle w:val="21"/>
            </w:rPr>
            <w:t>3</w:t>
          </w:r>
          <w:r>
            <w:rPr>
              <w:rFonts w:asciiTheme="minorHAnsi" w:hAnsiTheme="minorHAnsi" w:eastAsiaTheme="minorEastAsia" w:cstheme="minorBidi"/>
              <w:szCs w:val="22"/>
            </w:rPr>
            <w:tab/>
          </w:r>
          <w:r>
            <w:rPr>
              <w:rStyle w:val="21"/>
              <w:rFonts w:hint="eastAsia"/>
            </w:rPr>
            <w:t>安全评估结论意见</w:t>
          </w:r>
          <w:r>
            <w:tab/>
          </w:r>
          <w:r>
            <w:fldChar w:fldCharType="begin"/>
          </w:r>
          <w:r>
            <w:instrText xml:space="preserve"> PAGEREF _Toc513621556 \h </w:instrText>
          </w:r>
          <w:r>
            <w:fldChar w:fldCharType="separate"/>
          </w:r>
          <w:r>
            <w:t>25</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"_Toc513621557" </w:instrText>
          </w:r>
          <w:r>
            <w:fldChar w:fldCharType="separate"/>
          </w:r>
          <w:r>
            <w:rPr>
              <w:rStyle w:val="21"/>
            </w:rPr>
            <w:t>3.1</w:t>
          </w:r>
          <w:r>
            <w:rPr>
              <w:rFonts w:asciiTheme="minorHAnsi" w:hAnsiTheme="minorHAnsi" w:eastAsiaTheme="minorEastAsia" w:cstheme="minorBidi"/>
              <w:szCs w:val="22"/>
            </w:rPr>
            <w:tab/>
          </w:r>
          <w:r>
            <w:rPr>
              <w:rStyle w:val="21"/>
              <w:rFonts w:hint="eastAsia"/>
            </w:rPr>
            <w:t>匹配性分析</w:t>
          </w:r>
          <w:r>
            <w:tab/>
          </w:r>
          <w:r>
            <w:fldChar w:fldCharType="begin"/>
          </w:r>
          <w:r>
            <w:instrText xml:space="preserve"> PAGEREF _Toc513621557 \h </w:instrText>
          </w:r>
          <w:r>
            <w:fldChar w:fldCharType="separate"/>
          </w:r>
          <w:r>
            <w:t>25</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"_Toc513621558" </w:instrText>
          </w:r>
          <w:r>
            <w:fldChar w:fldCharType="separate"/>
          </w:r>
          <w:r>
            <w:rPr>
              <w:rStyle w:val="21"/>
            </w:rPr>
            <w:t>3.2</w:t>
          </w:r>
          <w:r>
            <w:rPr>
              <w:rFonts w:asciiTheme="minorHAnsi" w:hAnsiTheme="minorHAnsi" w:eastAsiaTheme="minorEastAsia" w:cstheme="minorBidi"/>
              <w:szCs w:val="22"/>
            </w:rPr>
            <w:tab/>
          </w:r>
          <w:r>
            <w:rPr>
              <w:rStyle w:val="21"/>
              <w:rFonts w:hint="eastAsia"/>
            </w:rPr>
            <w:t>企业整改建议及落实情况</w:t>
          </w:r>
          <w:r>
            <w:tab/>
          </w:r>
          <w:r>
            <w:fldChar w:fldCharType="begin"/>
          </w:r>
          <w:r>
            <w:instrText xml:space="preserve"> PAGEREF _Toc513621558 \h </w:instrText>
          </w:r>
          <w:r>
            <w:fldChar w:fldCharType="separate"/>
          </w:r>
          <w:r>
            <w:t>27</w:t>
          </w:r>
          <w:r>
            <w:fldChar w:fldCharType="end"/>
          </w:r>
          <w:r>
            <w:fldChar w:fldCharType="end"/>
          </w:r>
        </w:p>
        <w:p>
          <w:pPr>
            <w:pStyle w:val="11"/>
            <w:tabs>
              <w:tab w:val="left" w:pos="1680"/>
              <w:tab w:val="right" w:leader="dot" w:pos="8810"/>
            </w:tabs>
            <w:rPr>
              <w:rFonts w:asciiTheme="minorHAnsi" w:hAnsiTheme="minorHAnsi" w:eastAsiaTheme="minorEastAsia" w:cstheme="minorBidi"/>
              <w:szCs w:val="22"/>
            </w:rPr>
          </w:pPr>
          <w:r>
            <w:fldChar w:fldCharType="begin"/>
          </w:r>
          <w:r>
            <w:instrText xml:space="preserve"> HYPERLINK \l "_Toc513621559" </w:instrText>
          </w:r>
          <w:r>
            <w:fldChar w:fldCharType="separate"/>
          </w:r>
          <w:r>
            <w:rPr>
              <w:rStyle w:val="21"/>
            </w:rPr>
            <w:t>3.2.1</w:t>
          </w:r>
          <w:r>
            <w:rPr>
              <w:rFonts w:asciiTheme="minorHAnsi" w:hAnsiTheme="minorHAnsi" w:eastAsiaTheme="minorEastAsia" w:cstheme="minorBidi"/>
              <w:szCs w:val="22"/>
            </w:rPr>
            <w:tab/>
          </w:r>
          <w:r>
            <w:rPr>
              <w:rStyle w:val="21"/>
              <w:rFonts w:hint="eastAsia"/>
            </w:rPr>
            <w:t>整改建议</w:t>
          </w:r>
          <w:r>
            <w:tab/>
          </w:r>
          <w:r>
            <w:fldChar w:fldCharType="begin"/>
          </w:r>
          <w:r>
            <w:instrText xml:space="preserve"> PAGEREF _Toc513621559 \h </w:instrText>
          </w:r>
          <w:r>
            <w:fldChar w:fldCharType="separate"/>
          </w:r>
          <w:r>
            <w:t>27</w:t>
          </w:r>
          <w:r>
            <w:fldChar w:fldCharType="end"/>
          </w:r>
          <w:r>
            <w:fldChar w:fldCharType="end"/>
          </w:r>
        </w:p>
        <w:p>
          <w:pPr>
            <w:pStyle w:val="11"/>
            <w:tabs>
              <w:tab w:val="left" w:pos="1680"/>
              <w:tab w:val="right" w:leader="dot" w:pos="8810"/>
            </w:tabs>
            <w:rPr>
              <w:rFonts w:asciiTheme="minorHAnsi" w:hAnsiTheme="minorHAnsi" w:eastAsiaTheme="minorEastAsia" w:cstheme="minorBidi"/>
              <w:szCs w:val="22"/>
            </w:rPr>
          </w:pPr>
          <w:r>
            <w:fldChar w:fldCharType="begin"/>
          </w:r>
          <w:r>
            <w:instrText xml:space="preserve"> HYPERLINK \l "_Toc513621560" </w:instrText>
          </w:r>
          <w:r>
            <w:fldChar w:fldCharType="separate"/>
          </w:r>
          <w:r>
            <w:rPr>
              <w:rStyle w:val="21"/>
            </w:rPr>
            <w:t>3.2.2</w:t>
          </w:r>
          <w:r>
            <w:rPr>
              <w:rFonts w:asciiTheme="minorHAnsi" w:hAnsiTheme="minorHAnsi" w:eastAsiaTheme="minorEastAsia" w:cstheme="minorBidi"/>
              <w:szCs w:val="22"/>
            </w:rPr>
            <w:tab/>
          </w:r>
          <w:r>
            <w:rPr>
              <w:rStyle w:val="21"/>
              <w:rFonts w:hint="eastAsia"/>
            </w:rPr>
            <w:t>整改落实情况</w:t>
          </w:r>
          <w:r>
            <w:tab/>
          </w:r>
          <w:r>
            <w:fldChar w:fldCharType="begin"/>
          </w:r>
          <w:r>
            <w:instrText xml:space="preserve"> PAGEREF _Toc513621560 \h </w:instrText>
          </w:r>
          <w:r>
            <w:fldChar w:fldCharType="separate"/>
          </w:r>
          <w:r>
            <w:t>27</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"_Toc513621561" </w:instrText>
          </w:r>
          <w:r>
            <w:fldChar w:fldCharType="separate"/>
          </w:r>
          <w:r>
            <w:rPr>
              <w:rStyle w:val="21"/>
            </w:rPr>
            <w:t>3.3</w:t>
          </w:r>
          <w:r>
            <w:rPr>
              <w:rFonts w:asciiTheme="minorHAnsi" w:hAnsiTheme="minorHAnsi" w:eastAsiaTheme="minorEastAsia" w:cstheme="minorBidi"/>
              <w:szCs w:val="22"/>
            </w:rPr>
            <w:tab/>
          </w:r>
          <w:r>
            <w:rPr>
              <w:rStyle w:val="21"/>
              <w:rFonts w:hint="eastAsia"/>
            </w:rPr>
            <w:t>安全评估结论</w:t>
          </w:r>
          <w:r>
            <w:tab/>
          </w:r>
          <w:r>
            <w:fldChar w:fldCharType="begin"/>
          </w:r>
          <w:r>
            <w:instrText xml:space="preserve"> PAGEREF _Toc513621561 \h </w:instrText>
          </w:r>
          <w:r>
            <w:fldChar w:fldCharType="separate"/>
          </w:r>
          <w:r>
            <w:t>27</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"_Toc513621562" </w:instrText>
          </w:r>
          <w:r>
            <w:fldChar w:fldCharType="separate"/>
          </w:r>
          <w:r>
            <w:rPr>
              <w:rStyle w:val="21"/>
            </w:rPr>
            <w:t>3.4</w:t>
          </w:r>
          <w:r>
            <w:rPr>
              <w:rFonts w:asciiTheme="minorHAnsi" w:hAnsiTheme="minorHAnsi" w:eastAsiaTheme="minorEastAsia" w:cstheme="minorBidi"/>
              <w:szCs w:val="22"/>
            </w:rPr>
            <w:tab/>
          </w:r>
          <w:r>
            <w:rPr>
              <w:rStyle w:val="21"/>
              <w:rFonts w:hint="eastAsia"/>
            </w:rPr>
            <w:t>同类业务的监管建议</w:t>
          </w:r>
          <w:r>
            <w:tab/>
          </w:r>
          <w:r>
            <w:fldChar w:fldCharType="begin"/>
          </w:r>
          <w:r>
            <w:instrText xml:space="preserve"> PAGEREF _Toc513621562 \h </w:instrText>
          </w:r>
          <w:r>
            <w:fldChar w:fldCharType="separate"/>
          </w:r>
          <w:r>
            <w:t>27</w:t>
          </w:r>
          <w:r>
            <w:fldChar w:fldCharType="end"/>
          </w:r>
          <w:r>
            <w:fldChar w:fldCharType="end"/>
          </w:r>
        </w:p>
        <w:p>
          <w:pPr>
            <w:pStyle w:val="17"/>
            <w:tabs>
              <w:tab w:val="left" w:pos="1050"/>
              <w:tab w:val="right" w:leader="dot" w:pos="8810"/>
            </w:tabs>
            <w:rPr>
              <w:rFonts w:asciiTheme="minorHAnsi" w:hAnsiTheme="minorHAnsi" w:eastAsiaTheme="minorEastAsia" w:cstheme="minorBidi"/>
              <w:szCs w:val="22"/>
            </w:rPr>
          </w:pPr>
          <w:r>
            <w:fldChar w:fldCharType="begin"/>
          </w:r>
          <w:r>
            <w:instrText xml:space="preserve"> HYPERLINK \l "_Toc513621563" </w:instrText>
          </w:r>
          <w:r>
            <w:fldChar w:fldCharType="separate"/>
          </w:r>
          <w:r>
            <w:rPr>
              <w:rStyle w:val="21"/>
            </w:rPr>
            <w:t>3.5</w:t>
          </w:r>
          <w:r>
            <w:rPr>
              <w:rFonts w:asciiTheme="minorHAnsi" w:hAnsiTheme="minorHAnsi" w:eastAsiaTheme="minorEastAsia" w:cstheme="minorBidi"/>
              <w:szCs w:val="22"/>
            </w:rPr>
            <w:tab/>
          </w:r>
          <w:r>
            <w:rPr>
              <w:rStyle w:val="21"/>
              <w:rFonts w:hint="eastAsia"/>
            </w:rPr>
            <w:t>评估结果签字确认</w:t>
          </w:r>
          <w:r>
            <w:tab/>
          </w:r>
          <w:r>
            <w:fldChar w:fldCharType="begin"/>
          </w:r>
          <w:r>
            <w:instrText xml:space="preserve"> PAGEREF _Toc513621563 \h </w:instrText>
          </w:r>
          <w:r>
            <w:fldChar w:fldCharType="separate"/>
          </w:r>
          <w:r>
            <w:t>28</w:t>
          </w:r>
          <w:r>
            <w:fldChar w:fldCharType="end"/>
          </w:r>
          <w:r>
            <w:fldChar w:fldCharType="end"/>
          </w:r>
        </w:p>
        <w:p>
          <w:r>
            <w:rPr>
              <w:b/>
              <w:bCs/>
              <w:lang w:val="zh-CN"/>
            </w:rPr>
            <w:fldChar w:fldCharType="end"/>
          </w:r>
        </w:p>
      </w:sdtContent>
    </w:sdt>
    <w:p>
      <w:pPr>
        <w:rPr>
          <w:rFonts w:ascii="仿宋" w:hAnsi="仿宋" w:eastAsia="仿宋"/>
          <w:b/>
          <w:sz w:val="32"/>
          <w:szCs w:val="32"/>
        </w:rPr>
      </w:pPr>
    </w:p>
    <w:p>
      <w:pPr>
        <w:rPr>
          <w:rFonts w:ascii="仿宋" w:hAnsi="仿宋" w:eastAsia="仿宋"/>
          <w:b/>
          <w:sz w:val="32"/>
          <w:szCs w:val="32"/>
        </w:rPr>
      </w:pPr>
    </w:p>
    <w:p>
      <w:pPr>
        <w:pStyle w:val="35"/>
        <w:ind w:firstLine="0" w:firstLineChars="0"/>
      </w:pPr>
      <w:bookmarkStart w:id="0" w:name="_Toc486836676"/>
      <w:bookmarkStart w:id="1" w:name="_Toc473104540"/>
    </w:p>
    <w:p>
      <w:pPr>
        <w:pStyle w:val="2"/>
        <w:pageBreakBefore/>
        <w:widowControl/>
        <w:numPr>
          <w:ilvl w:val="0"/>
          <w:numId w:val="1"/>
        </w:numPr>
      </w:pPr>
      <w:bookmarkStart w:id="2" w:name="_Toc513621542"/>
      <w:r>
        <w:rPr>
          <w:rFonts w:hint="eastAsia"/>
        </w:rPr>
        <w:t>业务基本情况介绍</w:t>
      </w:r>
      <w:bookmarkEnd w:id="0"/>
      <w:bookmarkEnd w:id="2"/>
    </w:p>
    <w:p>
      <w:pPr>
        <w:pStyle w:val="3"/>
        <w:numPr>
          <w:ilvl w:val="1"/>
          <w:numId w:val="1"/>
        </w:numPr>
      </w:pPr>
      <w:bookmarkStart w:id="3" w:name="_Toc513621543"/>
      <w:bookmarkStart w:id="4" w:name="_Toc486836677"/>
      <w:r>
        <w:rPr>
          <w:rFonts w:hint="eastAsia"/>
        </w:rPr>
        <w:t>业务名称</w:t>
      </w:r>
      <w:bookmarkEnd w:id="3"/>
      <w:bookmarkEnd w:id="4"/>
    </w:p>
    <w:p>
      <w:pPr>
        <w:tabs>
          <w:tab w:val="left" w:pos="851"/>
        </w:tabs>
        <w:autoSpaceDE w:val="0"/>
        <w:autoSpaceDN w:val="0"/>
        <w:adjustRightInd w:val="0"/>
        <w:spacing w:line="360" w:lineRule="auto"/>
        <w:ind w:firstLine="640" w:firstLineChars="200"/>
        <w:jc w:val="left"/>
        <w:rPr>
          <w:rFonts w:asciiTheme="majorEastAsia" w:hAnsiTheme="majorEastAsia" w:eastAsiaTheme="majorEastAsia"/>
          <w:color w:val="FF0000"/>
          <w:sz w:val="24"/>
          <w:szCs w:val="28"/>
        </w:rPr>
      </w:pPr>
      <w:r>
        <w:rPr>
          <w:rFonts w:hint="eastAsia" w:ascii="仿宋_GB2312" w:hAnsi="Calibri" w:eastAsia="仿宋_GB2312"/>
          <w:sz w:val="32"/>
          <w:szCs w:val="32"/>
        </w:rPr>
        <w:t>河南电信</w:t>
      </w:r>
      <w:r>
        <w:rPr>
          <w:rFonts w:ascii="仿宋_GB2312" w:hAnsi="Calibri" w:eastAsia="仿宋_GB2312"/>
          <w:sz w:val="32"/>
          <w:szCs w:val="32"/>
        </w:rPr>
        <w:t>-</w:t>
      </w:r>
      <w:r>
        <w:rPr>
          <w:rFonts w:hint="eastAsia" w:ascii="仿宋_GB2312" w:hAnsi="Calibri" w:eastAsia="仿宋_GB2312"/>
          <w:sz w:val="32"/>
          <w:szCs w:val="32"/>
        </w:rPr>
        <w:t>短信营业厅</w:t>
      </w:r>
    </w:p>
    <w:p>
      <w:pPr>
        <w:pStyle w:val="3"/>
        <w:numPr>
          <w:ilvl w:val="1"/>
          <w:numId w:val="1"/>
        </w:numPr>
      </w:pPr>
      <w:bookmarkStart w:id="5" w:name="_Toc513621544"/>
      <w:bookmarkStart w:id="6" w:name="_Toc486836678"/>
      <w:r>
        <w:rPr>
          <w:rFonts w:hint="eastAsia"/>
        </w:rPr>
        <w:t>业务功能介绍</w:t>
      </w:r>
      <w:bookmarkEnd w:id="5"/>
      <w:bookmarkEnd w:id="6"/>
    </w:p>
    <w:p>
      <w:pPr>
        <w:tabs>
          <w:tab w:val="left" w:pos="851"/>
        </w:tabs>
        <w:autoSpaceDE w:val="0"/>
        <w:autoSpaceDN w:val="0"/>
        <w:adjustRightInd w:val="0"/>
        <w:spacing w:line="360" w:lineRule="auto"/>
        <w:ind w:firstLine="640" w:firstLineChars="200"/>
        <w:jc w:val="left"/>
        <w:rPr>
          <w:rFonts w:asciiTheme="majorEastAsia" w:hAnsiTheme="majorEastAsia" w:eastAsiaTheme="majorEastAsia"/>
          <w:b/>
          <w:i/>
          <w:sz w:val="24"/>
          <w:szCs w:val="28"/>
        </w:rPr>
      </w:pPr>
      <w:r>
        <w:rPr>
          <w:rFonts w:hint="eastAsia" w:ascii="仿宋_GB2312" w:hAnsi="Calibri" w:eastAsia="仿宋_GB2312"/>
          <w:sz w:val="32"/>
          <w:szCs w:val="32"/>
        </w:rPr>
        <w:t>河南电信</w:t>
      </w:r>
      <w:r>
        <w:rPr>
          <w:rFonts w:ascii="仿宋_GB2312" w:hAnsi="Calibri" w:eastAsia="仿宋_GB2312"/>
          <w:sz w:val="32"/>
          <w:szCs w:val="32"/>
        </w:rPr>
        <w:t>-</w:t>
      </w:r>
      <w:r>
        <w:rPr>
          <w:rFonts w:hint="eastAsia" w:ascii="仿宋_GB2312" w:hAnsi="Calibri" w:eastAsia="仿宋_GB2312"/>
          <w:sz w:val="32"/>
          <w:szCs w:val="32"/>
        </w:rPr>
        <w:t>短信营业厅是电子渠道的重要组成部分，通过短信方式向客户提供自有及合作产品营销服务，并为其他渠道提供回复、确认、提醒等渠道协同服务，既是重要的服务窗口，也是重要的营销渠道。</w:t>
      </w:r>
    </w:p>
    <w:p>
      <w:pPr>
        <w:pStyle w:val="3"/>
        <w:numPr>
          <w:ilvl w:val="1"/>
          <w:numId w:val="1"/>
        </w:numPr>
      </w:pPr>
      <w:bookmarkStart w:id="7" w:name="_Toc486836679"/>
      <w:bookmarkStart w:id="8" w:name="_Toc513621545"/>
      <w:r>
        <w:rPr>
          <w:rFonts w:hint="eastAsia"/>
        </w:rPr>
        <w:t>技术实现方式介绍</w:t>
      </w:r>
      <w:bookmarkEnd w:id="7"/>
      <w:bookmarkEnd w:id="8"/>
    </w:p>
    <w:p>
      <w:pPr>
        <w:ind w:firstLine="640" w:firstLineChars="200"/>
        <w:rPr>
          <w:rFonts w:ascii="仿宋_GB2312" w:hAnsi="Calibri" w:eastAsia="仿宋_GB2312"/>
          <w:sz w:val="32"/>
          <w:szCs w:val="32"/>
        </w:rPr>
      </w:pPr>
      <w:r>
        <w:rPr>
          <w:rFonts w:hint="eastAsia" w:ascii="仿宋_GB2312" w:hAnsi="Calibri" w:eastAsia="仿宋_GB2312"/>
          <w:sz w:val="32"/>
          <w:szCs w:val="32"/>
        </w:rPr>
        <w:t>短信作为电子渠道的一部分，其功能主要为渠道管理功能、客户服务功能和营销执行功能，贯穿渠道管理功能域、客户服务功能域、订单和服务请求功能域以及营销管理功能域等。如下图所示，短信营业厅系统主要包含业务功能和系统功能两个部分。</w:t>
      </w:r>
    </w:p>
    <w:p>
      <w:pPr>
        <w:ind w:firstLine="640" w:firstLineChars="200"/>
        <w:rPr>
          <w:rFonts w:ascii="仿宋_GB2312" w:hAnsi="Calibri" w:eastAsia="仿宋_GB2312"/>
          <w:sz w:val="32"/>
          <w:szCs w:val="32"/>
        </w:rPr>
      </w:pPr>
      <w:r>
        <w:rPr>
          <w:rFonts w:hint="eastAsia" w:ascii="仿宋_GB2312" w:hAnsi="Calibri" w:eastAsia="仿宋_GB2312"/>
          <w:sz w:val="32"/>
          <w:szCs w:val="32"/>
        </w:rPr>
        <w:t>业务功能包括个人业务和渠道业务。个人业务包括订单受理类业务、服务请求类业务、积分服务、密码服务、缴费服务、投诉建议、主动营销和主动服务；渠道业务包括代销商的店员积分服务和空中充值服务。其中，短信综合渠道面向个人客户和销售渠道代销商服务，交互方式有菜单交互方式、编码点播方式。</w:t>
      </w:r>
    </w:p>
    <w:p>
      <w:pPr>
        <w:tabs>
          <w:tab w:val="left" w:pos="851"/>
        </w:tabs>
        <w:autoSpaceDE w:val="0"/>
        <w:autoSpaceDN w:val="0"/>
        <w:adjustRightInd w:val="0"/>
        <w:spacing w:line="360" w:lineRule="auto"/>
        <w:ind w:firstLine="640" w:firstLineChars="200"/>
        <w:jc w:val="left"/>
        <w:rPr>
          <w:rFonts w:asciiTheme="majorEastAsia" w:hAnsiTheme="majorEastAsia" w:eastAsiaTheme="majorEastAsia"/>
          <w:b/>
          <w:i/>
          <w:color w:val="FF0000"/>
          <w:sz w:val="24"/>
          <w:szCs w:val="28"/>
        </w:rPr>
      </w:pPr>
      <w:r>
        <w:rPr>
          <w:rFonts w:hint="eastAsia" w:ascii="仿宋_GB2312" w:hAnsi="Calibri" w:eastAsia="仿宋_GB2312"/>
          <w:sz w:val="32"/>
          <w:szCs w:val="32"/>
        </w:rPr>
        <w:t>系统功能包括会话管理、菜单管理、功能指令管理、回复内容管理等基础管理功能和短信处理功能。短信处理功能包括短信收发、内容解析、业务处理引擎、信息封装、解析规则、封装规则等。其中，基础的会话管理、菜单管理、功能指令管理、回复内容管理支撑短信处理功能；短信处理功能支撑业务功能。</w:t>
      </w:r>
    </w:p>
    <w:p>
      <w:pPr>
        <w:tabs>
          <w:tab w:val="left" w:pos="851"/>
        </w:tabs>
        <w:autoSpaceDE w:val="0"/>
        <w:autoSpaceDN w:val="0"/>
        <w:adjustRightInd w:val="0"/>
        <w:spacing w:line="360" w:lineRule="auto"/>
        <w:ind w:firstLine="420" w:firstLineChars="200"/>
        <w:jc w:val="center"/>
        <w:rPr>
          <w:rFonts w:asciiTheme="majorEastAsia" w:hAnsiTheme="majorEastAsia" w:eastAsiaTheme="majorEastAsia"/>
          <w:b/>
          <w:i/>
          <w:color w:val="FF0000"/>
          <w:sz w:val="24"/>
          <w:szCs w:val="28"/>
        </w:rPr>
      </w:pPr>
      <w:r>
        <w:object>
          <v:shape id="_x0000_i1025" o:spt="75" type="#_x0000_t75" style="height:208.25pt;width:279.35pt;" o:ole="t" filled="f" o:preferrelative="t" stroked="f" coordsize="21600,21600">
            <v:path/>
            <v:fill on="f" focussize="0,0"/>
            <v:stroke on="f" joinstyle="miter"/>
            <v:imagedata r:id="rId7" o:title=""/>
            <o:lock v:ext="edit" aspectratio="t"/>
            <w10:wrap type="none"/>
            <w10:anchorlock/>
          </v:shape>
          <o:OLEObject Type="Embed" ProgID="Visio.Drawing.11" ShapeID="_x0000_i1025" DrawAspect="Content" ObjectID="_1468075725" r:id="rId6">
            <o:LockedField>false</o:LockedField>
          </o:OLEObject>
        </w:object>
      </w:r>
    </w:p>
    <w:p>
      <w:pPr>
        <w:spacing w:before="156" w:beforeLines="50" w:line="360" w:lineRule="auto"/>
        <w:ind w:firstLine="640" w:firstLineChars="200"/>
        <w:rPr>
          <w:rFonts w:ascii="仿宋_GB2312" w:hAnsi="Calibri" w:eastAsia="仿宋_GB2312"/>
          <w:sz w:val="32"/>
          <w:szCs w:val="32"/>
        </w:rPr>
      </w:pPr>
      <w:r>
        <w:rPr>
          <w:rFonts w:hint="eastAsia" w:ascii="仿宋_GB2312" w:hAnsi="Calibri" w:eastAsia="仿宋_GB2312"/>
          <w:sz w:val="32"/>
          <w:szCs w:val="32"/>
        </w:rPr>
        <w:t>短信营业厅平台主要由数据库服务器、应用服务器两个主要部分组成，可以通过防火墙对外访问。用户可以通过发短信到网关，网关在送到短信营业厅。短信营业厅处理完成在发送给短信网关，短信网关在把处理结果短信发送给用户。</w:t>
      </w:r>
    </w:p>
    <w:p>
      <w:pPr>
        <w:tabs>
          <w:tab w:val="left" w:pos="851"/>
        </w:tabs>
        <w:autoSpaceDE w:val="0"/>
        <w:autoSpaceDN w:val="0"/>
        <w:adjustRightInd w:val="0"/>
        <w:spacing w:line="360" w:lineRule="auto"/>
        <w:ind w:firstLine="640" w:firstLineChars="200"/>
        <w:jc w:val="center"/>
        <w:rPr>
          <w:rFonts w:asciiTheme="majorEastAsia" w:hAnsiTheme="majorEastAsia" w:eastAsiaTheme="majorEastAsia"/>
          <w:b/>
          <w:i/>
          <w:color w:val="FF0000"/>
          <w:sz w:val="24"/>
          <w:szCs w:val="28"/>
        </w:rPr>
      </w:pPr>
      <w:r>
        <w:rPr>
          <w:rFonts w:ascii="仿宋_GB2312" w:hAnsi="Calibri" w:eastAsia="仿宋_GB2312"/>
          <w:sz w:val="32"/>
          <w:szCs w:val="32"/>
        </w:rPr>
        <w:drawing>
          <wp:inline distT="0" distB="0" distL="114300" distR="114300">
            <wp:extent cx="3124200" cy="2543175"/>
            <wp:effectExtent l="0" t="0" r="0" b="9525"/>
            <wp:docPr id="1" name="图片 2" descr="T3NLI_2P%662LVW74PLLH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T3NLI_2P%662LVW74PLLH3V"/>
                    <pic:cNvPicPr>
                      <a:picLocks noChangeAspect="1"/>
                    </pic:cNvPicPr>
                  </pic:nvPicPr>
                  <pic:blipFill>
                    <a:blip r:embed="rId8"/>
                    <a:stretch>
                      <a:fillRect/>
                    </a:stretch>
                  </pic:blipFill>
                  <pic:spPr>
                    <a:xfrm>
                      <a:off x="0" y="0"/>
                      <a:ext cx="3124200" cy="2543175"/>
                    </a:xfrm>
                    <a:prstGeom prst="rect">
                      <a:avLst/>
                    </a:prstGeom>
                    <a:noFill/>
                    <a:ln w="9525">
                      <a:noFill/>
                    </a:ln>
                  </pic:spPr>
                </pic:pic>
              </a:graphicData>
            </a:graphic>
          </wp:inline>
        </w:drawing>
      </w:r>
    </w:p>
    <w:p>
      <w:pPr>
        <w:pStyle w:val="3"/>
        <w:numPr>
          <w:ilvl w:val="1"/>
          <w:numId w:val="1"/>
        </w:numPr>
      </w:pPr>
      <w:bookmarkStart w:id="9" w:name="_Toc513621546"/>
      <w:bookmarkStart w:id="10" w:name="_Toc486836682"/>
      <w:r>
        <w:rPr>
          <w:rFonts w:hint="eastAsia"/>
        </w:rPr>
        <w:t>（预期）用户规模</w:t>
      </w:r>
      <w:bookmarkEnd w:id="9"/>
      <w:bookmarkEnd w:id="10"/>
    </w:p>
    <w:p>
      <w:pPr>
        <w:spacing w:before="156" w:beforeLines="50"/>
        <w:ind w:firstLine="640" w:firstLineChars="200"/>
        <w:rPr>
          <w:rFonts w:ascii="仿宋_GB2312" w:hAnsi="Calibri" w:eastAsia="仿宋_GB2312"/>
          <w:sz w:val="32"/>
          <w:szCs w:val="32"/>
        </w:rPr>
      </w:pPr>
      <w:r>
        <w:rPr>
          <w:rFonts w:hint="eastAsia" w:ascii="仿宋_GB2312" w:hAnsi="Calibri" w:eastAsia="仿宋_GB2312"/>
          <w:sz w:val="32"/>
          <w:szCs w:val="32"/>
        </w:rPr>
        <w:t>按照集团短信营业厅规划，仅限于河南省内电信用户使用，设计用户规模为千万以上级别。</w:t>
      </w:r>
    </w:p>
    <w:p>
      <w:pPr>
        <w:pStyle w:val="3"/>
        <w:numPr>
          <w:ilvl w:val="1"/>
          <w:numId w:val="1"/>
        </w:numPr>
      </w:pPr>
      <w:bookmarkStart w:id="11" w:name="_Toc513621547"/>
      <w:bookmarkStart w:id="12" w:name="_Toc486836683"/>
      <w:r>
        <w:rPr>
          <w:rFonts w:hint="eastAsia"/>
        </w:rPr>
        <w:t>市场发展情况</w:t>
      </w:r>
      <w:bookmarkEnd w:id="11"/>
      <w:bookmarkEnd w:id="12"/>
    </w:p>
    <w:p>
      <w:pPr>
        <w:ind w:firstLine="640" w:firstLineChars="200"/>
        <w:rPr>
          <w:rFonts w:ascii="仿宋_GB2312" w:hAnsi="Calibri" w:eastAsia="仿宋_GB2312"/>
          <w:sz w:val="32"/>
          <w:szCs w:val="32"/>
        </w:rPr>
      </w:pPr>
      <w:r>
        <w:rPr>
          <w:rFonts w:hint="eastAsia" w:ascii="仿宋_GB2312" w:hAnsi="Calibri" w:eastAsia="仿宋_GB2312"/>
          <w:sz w:val="32"/>
          <w:szCs w:val="32"/>
        </w:rPr>
        <w:t>随河南电信实际用户规模变化。</w:t>
      </w:r>
    </w:p>
    <w:p>
      <w:pPr>
        <w:pStyle w:val="2"/>
        <w:numPr>
          <w:ilvl w:val="0"/>
          <w:numId w:val="1"/>
        </w:numPr>
      </w:pPr>
      <w:bookmarkStart w:id="13" w:name="_Toc513621548"/>
      <w:bookmarkStart w:id="14" w:name="_Toc486836684"/>
      <w:r>
        <w:rPr>
          <w:rFonts w:hint="eastAsia"/>
        </w:rPr>
        <w:t>安全评估情况</w:t>
      </w:r>
      <w:bookmarkEnd w:id="13"/>
      <w:bookmarkEnd w:id="14"/>
    </w:p>
    <w:p>
      <w:pPr>
        <w:pStyle w:val="3"/>
        <w:numPr>
          <w:ilvl w:val="1"/>
          <w:numId w:val="1"/>
        </w:numPr>
      </w:pPr>
      <w:bookmarkStart w:id="15" w:name="_Toc513621549"/>
      <w:bookmarkStart w:id="16" w:name="_Toc486836685"/>
      <w:r>
        <w:rPr>
          <w:rFonts w:hint="eastAsia"/>
        </w:rPr>
        <w:t>安全评估情况概述</w:t>
      </w:r>
      <w:bookmarkEnd w:id="15"/>
      <w:bookmarkEnd w:id="16"/>
    </w:p>
    <w:p>
      <w:pPr>
        <w:spacing w:line="600" w:lineRule="exact"/>
        <w:ind w:firstLine="640" w:firstLineChars="200"/>
        <w:rPr>
          <w:rFonts w:eastAsia="仿宋_GB2312"/>
          <w:sz w:val="32"/>
          <w:szCs w:val="32"/>
        </w:rPr>
      </w:pPr>
      <w:r>
        <w:rPr>
          <w:rFonts w:hint="eastAsia" w:ascii="仿宋" w:hAnsi="仿宋" w:eastAsia="仿宋"/>
          <w:sz w:val="32"/>
          <w:szCs w:val="32"/>
        </w:rPr>
        <w:t>根据《中国电信〔2015〕348号关于印发中国电信新技术新业务信息安全评估管理办法（试行）的通知》的要求，结合“短信营业厅”产品情况，</w:t>
      </w:r>
      <w:r>
        <w:rPr>
          <w:rFonts w:hint="eastAsia" w:eastAsia="仿宋_GB2312"/>
          <w:sz w:val="32"/>
          <w:szCs w:val="32"/>
        </w:rPr>
        <w:t>国家计算机网络与信息安全管理中心对河南电信“短信营业厅”业务开展了新技术新业务信息安全现场评估工作。</w:t>
      </w:r>
    </w:p>
    <w:p>
      <w:pPr>
        <w:spacing w:line="360" w:lineRule="auto"/>
        <w:ind w:firstLine="640" w:firstLineChars="200"/>
        <w:jc w:val="left"/>
        <w:rPr>
          <w:rFonts w:ascii="仿宋" w:hAnsi="仿宋" w:eastAsia="仿宋"/>
          <w:sz w:val="32"/>
          <w:szCs w:val="32"/>
        </w:rPr>
      </w:pPr>
      <w:r>
        <w:rPr>
          <w:rFonts w:hint="eastAsia" w:ascii="仿宋_GB2312" w:hAnsi="仿宋" w:eastAsia="仿宋_GB2312"/>
          <w:sz w:val="32"/>
          <w:szCs w:val="28"/>
        </w:rPr>
        <w:t>本次评估使用《互联网新技术新业务安全评估指南》中规定的业务安全风险评估模型，并根据评估业务的具体情况识别业务对应于每个评估模块是否存在相应的信息安全风险。</w:t>
      </w:r>
      <w:r>
        <w:rPr>
          <w:rFonts w:hint="eastAsia" w:eastAsia="仿宋_GB2312"/>
          <w:sz w:val="32"/>
          <w:szCs w:val="32"/>
        </w:rPr>
        <w:t>评估主要内容包括管理体系评估、业务风险评估和信息安全保障能力评估三个部分。评估方法包括人员访谈、制度文档核实、业务功能验证、内容安全测试、数据安全检测等</w:t>
      </w:r>
      <w:r>
        <w:rPr>
          <w:rFonts w:hint="eastAsia" w:ascii="仿宋" w:hAnsi="仿宋" w:eastAsia="仿宋"/>
          <w:sz w:val="32"/>
          <w:szCs w:val="32"/>
        </w:rPr>
        <w:t>。</w:t>
      </w:r>
    </w:p>
    <w:p>
      <w:pPr>
        <w:pStyle w:val="3"/>
        <w:numPr>
          <w:ilvl w:val="1"/>
          <w:numId w:val="1"/>
        </w:numPr>
        <w:rPr>
          <w:highlight w:val="yellow"/>
        </w:rPr>
      </w:pPr>
      <w:bookmarkStart w:id="17" w:name="_Toc513621550"/>
      <w:bookmarkStart w:id="18" w:name="_Toc486836686"/>
      <w:r>
        <w:rPr>
          <w:rFonts w:hint="eastAsia"/>
          <w:highlight w:val="yellow"/>
        </w:rPr>
        <w:t>评估人员组成</w:t>
      </w:r>
      <w:bookmarkEnd w:id="17"/>
      <w:bookmarkEnd w:id="18"/>
    </w:p>
    <w:tbl>
      <w:tblPr>
        <w:tblStyle w:val="23"/>
        <w:tblW w:w="89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196"/>
        <w:gridCol w:w="3040"/>
        <w:gridCol w:w="2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tcPr>
          <w:p>
            <w:pPr>
              <w:jc w:val="center"/>
              <w:rPr>
                <w:rFonts w:ascii="仿宋" w:hAnsi="仿宋" w:eastAsia="仿宋"/>
                <w:b/>
                <w:sz w:val="32"/>
              </w:rPr>
            </w:pPr>
            <w:r>
              <w:rPr>
                <w:rFonts w:hint="eastAsia" w:ascii="仿宋" w:hAnsi="仿宋" w:eastAsia="仿宋"/>
                <w:b/>
                <w:sz w:val="32"/>
              </w:rPr>
              <w:t>姓名</w:t>
            </w:r>
          </w:p>
        </w:tc>
        <w:tc>
          <w:tcPr>
            <w:tcW w:w="2196" w:type="dxa"/>
            <w:shd w:val="clear" w:color="auto" w:fill="auto"/>
          </w:tcPr>
          <w:p>
            <w:pPr>
              <w:jc w:val="center"/>
              <w:rPr>
                <w:rFonts w:ascii="仿宋" w:hAnsi="仿宋" w:eastAsia="仿宋"/>
                <w:b/>
                <w:sz w:val="32"/>
              </w:rPr>
            </w:pPr>
            <w:r>
              <w:rPr>
                <w:rFonts w:hint="eastAsia" w:ascii="仿宋" w:hAnsi="仿宋" w:eastAsia="仿宋"/>
                <w:b/>
                <w:sz w:val="32"/>
              </w:rPr>
              <w:t>部门</w:t>
            </w:r>
          </w:p>
        </w:tc>
        <w:tc>
          <w:tcPr>
            <w:tcW w:w="3040" w:type="dxa"/>
            <w:shd w:val="clear" w:color="auto" w:fill="auto"/>
          </w:tcPr>
          <w:p>
            <w:pPr>
              <w:jc w:val="center"/>
              <w:rPr>
                <w:rFonts w:ascii="仿宋" w:hAnsi="仿宋" w:eastAsia="仿宋"/>
                <w:b/>
                <w:sz w:val="32"/>
              </w:rPr>
            </w:pPr>
            <w:r>
              <w:rPr>
                <w:rFonts w:hint="eastAsia" w:ascii="仿宋" w:hAnsi="仿宋" w:eastAsia="仿宋"/>
                <w:b/>
                <w:sz w:val="32"/>
              </w:rPr>
              <w:t>工作岗位</w:t>
            </w:r>
          </w:p>
        </w:tc>
        <w:tc>
          <w:tcPr>
            <w:tcW w:w="2024" w:type="dxa"/>
            <w:shd w:val="clear" w:color="auto" w:fill="auto"/>
          </w:tcPr>
          <w:p>
            <w:pPr>
              <w:jc w:val="center"/>
              <w:rPr>
                <w:rFonts w:ascii="仿宋" w:hAnsi="仿宋" w:eastAsia="仿宋"/>
                <w:b/>
                <w:sz w:val="32"/>
              </w:rPr>
            </w:pPr>
            <w:r>
              <w:rPr>
                <w:rFonts w:hint="eastAsia" w:ascii="仿宋" w:hAnsi="仿宋" w:eastAsia="仿宋"/>
                <w:b/>
                <w:sz w:val="32"/>
              </w:rPr>
              <w:t>联系</w:t>
            </w:r>
            <w:r>
              <w:rPr>
                <w:rFonts w:ascii="仿宋" w:hAnsi="仿宋" w:eastAsia="仿宋"/>
                <w:b/>
                <w:sz w:val="32"/>
              </w:rPr>
              <w:t>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tcPr>
          <w:p>
            <w:pPr>
              <w:jc w:val="center"/>
              <w:rPr>
                <w:rFonts w:ascii="仿宋" w:hAnsi="仿宋" w:eastAsia="仿宋"/>
                <w:sz w:val="30"/>
                <w:szCs w:val="30"/>
              </w:rPr>
            </w:pPr>
            <w:r>
              <w:rPr>
                <w:rFonts w:hint="eastAsia" w:ascii="仿宋" w:hAnsi="仿宋" w:eastAsia="仿宋"/>
                <w:sz w:val="32"/>
                <w:szCs w:val="32"/>
              </w:rPr>
              <w:t>马宏远</w:t>
            </w:r>
          </w:p>
        </w:tc>
        <w:tc>
          <w:tcPr>
            <w:tcW w:w="2196" w:type="dxa"/>
            <w:shd w:val="clear" w:color="auto" w:fill="auto"/>
          </w:tcPr>
          <w:p>
            <w:pPr>
              <w:jc w:val="center"/>
              <w:rPr>
                <w:rFonts w:ascii="仿宋" w:hAnsi="仿宋" w:eastAsia="仿宋"/>
                <w:sz w:val="30"/>
                <w:szCs w:val="30"/>
              </w:rPr>
            </w:pPr>
            <w:r>
              <w:rPr>
                <w:rFonts w:hint="eastAsia" w:ascii="仿宋" w:hAnsi="仿宋" w:eastAsia="仿宋"/>
                <w:sz w:val="32"/>
                <w:szCs w:val="32"/>
              </w:rPr>
              <w:t>国家计算机网络与信息安全管理中心</w:t>
            </w:r>
          </w:p>
        </w:tc>
        <w:tc>
          <w:tcPr>
            <w:tcW w:w="3040" w:type="dxa"/>
            <w:shd w:val="clear" w:color="auto" w:fill="auto"/>
          </w:tcPr>
          <w:p>
            <w:pPr>
              <w:jc w:val="center"/>
              <w:rPr>
                <w:rFonts w:ascii="仿宋" w:hAnsi="仿宋" w:eastAsia="仿宋"/>
                <w:sz w:val="32"/>
                <w:szCs w:val="32"/>
              </w:rPr>
            </w:pPr>
            <w:r>
              <w:rPr>
                <w:rFonts w:hint="eastAsia" w:ascii="仿宋" w:hAnsi="仿宋" w:eastAsia="仿宋"/>
                <w:sz w:val="32"/>
                <w:szCs w:val="32"/>
              </w:rPr>
              <w:t>信息安全评估</w:t>
            </w:r>
          </w:p>
          <w:p>
            <w:pPr>
              <w:jc w:val="center"/>
              <w:rPr>
                <w:rFonts w:ascii="仿宋" w:hAnsi="仿宋" w:eastAsia="仿宋"/>
                <w:sz w:val="30"/>
                <w:szCs w:val="30"/>
              </w:rPr>
            </w:pPr>
            <w:r>
              <w:rPr>
                <w:rFonts w:hint="eastAsia" w:ascii="仿宋" w:hAnsi="仿宋" w:eastAsia="仿宋"/>
                <w:sz w:val="32"/>
                <w:szCs w:val="32"/>
              </w:rPr>
              <w:t>组长</w:t>
            </w:r>
          </w:p>
        </w:tc>
        <w:tc>
          <w:tcPr>
            <w:tcW w:w="2024"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13910138904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姜淦卿</w:t>
            </w:r>
          </w:p>
        </w:tc>
        <w:tc>
          <w:tcPr>
            <w:tcW w:w="2196"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国家计算机网络与信息安全管理中心河南分中心</w:t>
            </w:r>
          </w:p>
        </w:tc>
        <w:tc>
          <w:tcPr>
            <w:tcW w:w="3040" w:type="dxa"/>
            <w:shd w:val="clear" w:color="auto" w:fill="auto"/>
          </w:tcPr>
          <w:p>
            <w:pPr>
              <w:jc w:val="center"/>
              <w:rPr>
                <w:rFonts w:ascii="仿宋" w:hAnsi="仿宋" w:eastAsia="仿宋"/>
                <w:sz w:val="32"/>
                <w:szCs w:val="32"/>
              </w:rPr>
            </w:pPr>
            <w:r>
              <w:rPr>
                <w:rFonts w:hint="eastAsia" w:ascii="仿宋" w:hAnsi="仿宋" w:eastAsia="仿宋"/>
                <w:sz w:val="32"/>
                <w:szCs w:val="32"/>
              </w:rPr>
              <w:t>信息安全评估</w:t>
            </w:r>
          </w:p>
          <w:p>
            <w:pPr>
              <w:jc w:val="center"/>
              <w:rPr>
                <w:rFonts w:ascii="仿宋" w:hAnsi="仿宋" w:eastAsia="仿宋"/>
                <w:sz w:val="30"/>
                <w:szCs w:val="30"/>
              </w:rPr>
            </w:pPr>
            <w:r>
              <w:rPr>
                <w:rFonts w:hint="eastAsia" w:ascii="仿宋" w:hAnsi="仿宋" w:eastAsia="仿宋"/>
                <w:sz w:val="32"/>
                <w:szCs w:val="32"/>
              </w:rPr>
              <w:t>工作人员</w:t>
            </w:r>
          </w:p>
        </w:tc>
        <w:tc>
          <w:tcPr>
            <w:tcW w:w="2024"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15838060425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tcPr>
          <w:p>
            <w:pPr>
              <w:jc w:val="center"/>
              <w:rPr>
                <w:rFonts w:ascii="仿宋" w:hAnsi="仿宋" w:eastAsia="仿宋"/>
                <w:sz w:val="30"/>
                <w:szCs w:val="30"/>
              </w:rPr>
            </w:pPr>
            <w:r>
              <w:rPr>
                <w:rFonts w:hint="eastAsia" w:ascii="仿宋" w:hAnsi="仿宋" w:eastAsia="仿宋"/>
                <w:sz w:val="30"/>
                <w:szCs w:val="30"/>
              </w:rPr>
              <w:t>宋乔</w:t>
            </w:r>
          </w:p>
        </w:tc>
        <w:tc>
          <w:tcPr>
            <w:tcW w:w="2196"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国家计算机网络与信息安全管理中心辽宁分中心</w:t>
            </w:r>
          </w:p>
        </w:tc>
        <w:tc>
          <w:tcPr>
            <w:tcW w:w="3040" w:type="dxa"/>
            <w:shd w:val="clear" w:color="auto" w:fill="auto"/>
          </w:tcPr>
          <w:p>
            <w:pPr>
              <w:jc w:val="center"/>
              <w:rPr>
                <w:rFonts w:ascii="仿宋" w:hAnsi="仿宋" w:eastAsia="仿宋"/>
                <w:sz w:val="32"/>
                <w:szCs w:val="32"/>
              </w:rPr>
            </w:pPr>
            <w:r>
              <w:rPr>
                <w:rFonts w:hint="eastAsia" w:ascii="仿宋" w:hAnsi="仿宋" w:eastAsia="仿宋"/>
                <w:sz w:val="32"/>
                <w:szCs w:val="32"/>
              </w:rPr>
              <w:t>信息安全评估</w:t>
            </w:r>
          </w:p>
          <w:p>
            <w:pPr>
              <w:jc w:val="center"/>
              <w:rPr>
                <w:rFonts w:ascii="仿宋" w:hAnsi="仿宋" w:eastAsia="仿宋"/>
                <w:sz w:val="30"/>
                <w:szCs w:val="30"/>
              </w:rPr>
            </w:pPr>
            <w:r>
              <w:rPr>
                <w:rFonts w:hint="eastAsia" w:ascii="仿宋" w:hAnsi="仿宋" w:eastAsia="仿宋"/>
                <w:sz w:val="32"/>
                <w:szCs w:val="32"/>
              </w:rPr>
              <w:t>工作人员</w:t>
            </w:r>
          </w:p>
        </w:tc>
        <w:tc>
          <w:tcPr>
            <w:tcW w:w="2024" w:type="dxa"/>
            <w:shd w:val="clear" w:color="auto" w:fill="auto"/>
            <w:vAlign w:val="center"/>
          </w:tcPr>
          <w:p>
            <w:pPr>
              <w:jc w:val="center"/>
              <w:rPr>
                <w:rFonts w:ascii="仿宋" w:hAnsi="仿宋" w:eastAsia="仿宋"/>
                <w:sz w:val="30"/>
                <w:szCs w:val="30"/>
              </w:rPr>
            </w:pPr>
            <w:r>
              <w:rPr>
                <w:rFonts w:hint="eastAsia" w:ascii="仿宋" w:hAnsi="仿宋" w:eastAsia="仿宋"/>
                <w:sz w:val="32"/>
                <w:szCs w:val="32"/>
              </w:rPr>
              <w:t>18840644109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tcPr>
          <w:p>
            <w:pPr>
              <w:jc w:val="center"/>
              <w:rPr>
                <w:rFonts w:ascii="仿宋" w:hAnsi="仿宋" w:eastAsia="仿宋"/>
                <w:sz w:val="30"/>
                <w:szCs w:val="30"/>
              </w:rPr>
            </w:pPr>
          </w:p>
        </w:tc>
        <w:tc>
          <w:tcPr>
            <w:tcW w:w="2196" w:type="dxa"/>
            <w:shd w:val="clear" w:color="auto" w:fill="auto"/>
          </w:tcPr>
          <w:p>
            <w:pPr>
              <w:jc w:val="center"/>
              <w:rPr>
                <w:rFonts w:ascii="仿宋" w:hAnsi="仿宋" w:eastAsia="仿宋"/>
                <w:sz w:val="30"/>
                <w:szCs w:val="30"/>
              </w:rPr>
            </w:pPr>
          </w:p>
        </w:tc>
        <w:tc>
          <w:tcPr>
            <w:tcW w:w="3040" w:type="dxa"/>
            <w:shd w:val="clear" w:color="auto" w:fill="auto"/>
          </w:tcPr>
          <w:p>
            <w:pPr>
              <w:jc w:val="center"/>
              <w:rPr>
                <w:rFonts w:ascii="仿宋" w:hAnsi="仿宋" w:eastAsia="仿宋"/>
                <w:sz w:val="30"/>
                <w:szCs w:val="30"/>
              </w:rPr>
            </w:pPr>
          </w:p>
        </w:tc>
        <w:tc>
          <w:tcPr>
            <w:tcW w:w="2024" w:type="dxa"/>
            <w:shd w:val="clear" w:color="auto" w:fill="auto"/>
          </w:tcPr>
          <w:p>
            <w:pPr>
              <w:jc w:val="center"/>
              <w:rPr>
                <w:rFonts w:ascii="仿宋" w:hAnsi="仿宋" w:eastAsia="仿宋"/>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05" w:type="dxa"/>
            <w:shd w:val="clear" w:color="auto" w:fill="auto"/>
          </w:tcPr>
          <w:p>
            <w:pPr>
              <w:jc w:val="center"/>
              <w:rPr>
                <w:rFonts w:ascii="仿宋" w:hAnsi="仿宋" w:eastAsia="仿宋"/>
                <w:sz w:val="30"/>
                <w:szCs w:val="30"/>
              </w:rPr>
            </w:pPr>
          </w:p>
        </w:tc>
        <w:tc>
          <w:tcPr>
            <w:tcW w:w="2196" w:type="dxa"/>
            <w:shd w:val="clear" w:color="auto" w:fill="auto"/>
          </w:tcPr>
          <w:p>
            <w:pPr>
              <w:jc w:val="center"/>
              <w:rPr>
                <w:rFonts w:ascii="仿宋" w:hAnsi="仿宋" w:eastAsia="仿宋"/>
                <w:sz w:val="30"/>
                <w:szCs w:val="30"/>
              </w:rPr>
            </w:pPr>
          </w:p>
        </w:tc>
        <w:tc>
          <w:tcPr>
            <w:tcW w:w="3040" w:type="dxa"/>
            <w:shd w:val="clear" w:color="auto" w:fill="auto"/>
          </w:tcPr>
          <w:p>
            <w:pPr>
              <w:jc w:val="center"/>
              <w:rPr>
                <w:rFonts w:ascii="仿宋" w:hAnsi="仿宋" w:eastAsia="仿宋"/>
                <w:sz w:val="30"/>
                <w:szCs w:val="30"/>
              </w:rPr>
            </w:pPr>
          </w:p>
        </w:tc>
        <w:tc>
          <w:tcPr>
            <w:tcW w:w="2024" w:type="dxa"/>
            <w:shd w:val="clear" w:color="auto" w:fill="auto"/>
          </w:tcPr>
          <w:p>
            <w:pPr>
              <w:jc w:val="center"/>
              <w:rPr>
                <w:rFonts w:ascii="仿宋" w:hAnsi="仿宋" w:eastAsia="仿宋"/>
                <w:sz w:val="30"/>
                <w:szCs w:val="30"/>
              </w:rPr>
            </w:pPr>
          </w:p>
        </w:tc>
      </w:tr>
    </w:tbl>
    <w:p>
      <w:pPr>
        <w:pStyle w:val="3"/>
        <w:numPr>
          <w:ilvl w:val="1"/>
          <w:numId w:val="1"/>
        </w:numPr>
      </w:pPr>
      <w:bookmarkStart w:id="19" w:name="_Toc486836687"/>
      <w:bookmarkStart w:id="20" w:name="_Toc513621551"/>
      <w:r>
        <w:rPr>
          <w:rFonts w:hint="eastAsia"/>
        </w:rPr>
        <w:t>评估实施流程</w:t>
      </w:r>
      <w:bookmarkEnd w:id="19"/>
      <w:bookmarkEnd w:id="20"/>
    </w:p>
    <w:p>
      <w:pPr>
        <w:ind w:firstLine="640" w:firstLineChars="200"/>
        <w:rPr>
          <w:rFonts w:ascii="仿宋" w:hAnsi="仿宋" w:eastAsia="仿宋"/>
          <w:sz w:val="32"/>
          <w:szCs w:val="32"/>
        </w:rPr>
      </w:pPr>
      <w:r>
        <w:rPr>
          <w:rFonts w:hint="eastAsia" w:ascii="仿宋" w:hAnsi="仿宋" w:eastAsia="仿宋"/>
          <w:sz w:val="32"/>
          <w:szCs w:val="32"/>
        </w:rPr>
        <w:t>本次业务</w:t>
      </w:r>
      <w:r>
        <w:rPr>
          <w:rFonts w:ascii="仿宋" w:hAnsi="仿宋" w:eastAsia="仿宋"/>
          <w:sz w:val="32"/>
          <w:szCs w:val="32"/>
        </w:rPr>
        <w:t>评估</w:t>
      </w:r>
      <w:r>
        <w:rPr>
          <w:rFonts w:hint="eastAsia" w:ascii="仿宋" w:hAnsi="仿宋" w:eastAsia="仿宋"/>
          <w:sz w:val="32"/>
          <w:szCs w:val="32"/>
        </w:rPr>
        <w:t>依据《互联网</w:t>
      </w:r>
      <w:r>
        <w:rPr>
          <w:rFonts w:ascii="仿宋" w:hAnsi="仿宋" w:eastAsia="仿宋"/>
          <w:sz w:val="32"/>
          <w:szCs w:val="32"/>
        </w:rPr>
        <w:t>新技术新业务安全评估</w:t>
      </w:r>
      <w:r>
        <w:rPr>
          <w:rFonts w:hint="eastAsia" w:ascii="仿宋" w:hAnsi="仿宋" w:eastAsia="仿宋"/>
          <w:sz w:val="32"/>
          <w:szCs w:val="32"/>
        </w:rPr>
        <w:t>指南</w:t>
      </w:r>
      <w:r>
        <w:rPr>
          <w:rFonts w:ascii="仿宋" w:hAnsi="仿宋" w:eastAsia="仿宋"/>
          <w:sz w:val="32"/>
          <w:szCs w:val="32"/>
        </w:rPr>
        <w:t>》相关要求，</w:t>
      </w:r>
      <w:r>
        <w:rPr>
          <w:rFonts w:hint="eastAsia" w:ascii="仿宋" w:hAnsi="仿宋" w:eastAsia="仿宋"/>
          <w:sz w:val="32"/>
          <w:szCs w:val="32"/>
        </w:rPr>
        <w:t>评估</w:t>
      </w:r>
      <w:r>
        <w:rPr>
          <w:rFonts w:ascii="仿宋" w:hAnsi="仿宋" w:eastAsia="仿宋"/>
          <w:sz w:val="32"/>
          <w:szCs w:val="32"/>
        </w:rPr>
        <w:t>实施流程包括</w:t>
      </w:r>
      <w:r>
        <w:rPr>
          <w:rFonts w:hint="eastAsia" w:ascii="仿宋" w:hAnsi="仿宋" w:eastAsia="仿宋"/>
          <w:sz w:val="32"/>
          <w:szCs w:val="32"/>
        </w:rPr>
        <w:t>评估</w:t>
      </w:r>
      <w:r>
        <w:rPr>
          <w:rFonts w:ascii="仿宋" w:hAnsi="仿宋" w:eastAsia="仿宋"/>
          <w:sz w:val="32"/>
          <w:szCs w:val="32"/>
        </w:rPr>
        <w:t>准备</w:t>
      </w:r>
      <w:r>
        <w:rPr>
          <w:rFonts w:hint="eastAsia" w:ascii="仿宋" w:hAnsi="仿宋" w:eastAsia="仿宋"/>
          <w:sz w:val="32"/>
          <w:szCs w:val="32"/>
        </w:rPr>
        <w:t>阶段、</w:t>
      </w:r>
      <w:r>
        <w:rPr>
          <w:rFonts w:ascii="仿宋" w:hAnsi="仿宋" w:eastAsia="仿宋"/>
          <w:sz w:val="32"/>
          <w:szCs w:val="32"/>
        </w:rPr>
        <w:t>评估实施阶段和评估总结阶段：</w:t>
      </w:r>
    </w:p>
    <w:p>
      <w:pPr>
        <w:ind w:firstLine="641" w:firstLineChars="200"/>
        <w:rPr>
          <w:rFonts w:ascii="仿宋_GB2312" w:eastAsia="仿宋_GB2312"/>
          <w:sz w:val="32"/>
          <w:szCs w:val="32"/>
        </w:rPr>
      </w:pPr>
      <w:r>
        <w:rPr>
          <w:rFonts w:ascii="仿宋" w:hAnsi="仿宋" w:eastAsia="仿宋"/>
          <w:b/>
          <w:sz w:val="32"/>
          <w:szCs w:val="32"/>
        </w:rPr>
        <w:t>评估</w:t>
      </w:r>
      <w:r>
        <w:rPr>
          <w:rFonts w:hint="eastAsia" w:ascii="仿宋" w:hAnsi="仿宋" w:eastAsia="仿宋"/>
          <w:b/>
          <w:sz w:val="32"/>
          <w:szCs w:val="32"/>
        </w:rPr>
        <w:t>准备</w:t>
      </w:r>
      <w:r>
        <w:rPr>
          <w:rFonts w:ascii="仿宋" w:hAnsi="仿宋" w:eastAsia="仿宋"/>
          <w:b/>
          <w:sz w:val="32"/>
          <w:szCs w:val="32"/>
        </w:rPr>
        <w:t>阶段：</w:t>
      </w:r>
      <w:r>
        <w:rPr>
          <w:rFonts w:hint="eastAsia" w:ascii="仿宋" w:hAnsi="仿宋" w:eastAsia="仿宋"/>
          <w:bCs/>
          <w:sz w:val="32"/>
          <w:szCs w:val="32"/>
          <w:highlight w:val="yellow"/>
        </w:rPr>
        <w:t>2019年1</w:t>
      </w:r>
      <w:r>
        <w:rPr>
          <w:rFonts w:ascii="仿宋" w:hAnsi="仿宋" w:eastAsia="仿宋"/>
          <w:bCs/>
          <w:sz w:val="32"/>
          <w:szCs w:val="32"/>
          <w:highlight w:val="yellow"/>
        </w:rPr>
        <w:t>1</w:t>
      </w:r>
      <w:r>
        <w:rPr>
          <w:rFonts w:hint="eastAsia" w:ascii="仿宋" w:hAnsi="仿宋" w:eastAsia="仿宋"/>
          <w:bCs/>
          <w:sz w:val="32"/>
          <w:szCs w:val="32"/>
          <w:highlight w:val="yellow"/>
        </w:rPr>
        <w:t>月16日</w:t>
      </w:r>
      <w:r>
        <w:rPr>
          <w:rFonts w:hint="eastAsia" w:ascii="仿宋" w:hAnsi="仿宋" w:eastAsia="仿宋"/>
          <w:bCs/>
          <w:sz w:val="32"/>
          <w:szCs w:val="32"/>
        </w:rPr>
        <w:t>，</w:t>
      </w:r>
      <w:r>
        <w:rPr>
          <w:rFonts w:hint="eastAsia" w:ascii="仿宋_GB2312" w:eastAsia="仿宋_GB2312"/>
          <w:sz w:val="32"/>
          <w:szCs w:val="32"/>
        </w:rPr>
        <w:t>成立信息安全评估小组，确定小组成员，向河南电信收集业务相关的管理文档和技术文档等资料，了解业务市场发展情况、业务自身情况以及业务使用流程等信息，根据业务情况与被评估方进行深入交流，明确评估重点。</w:t>
      </w:r>
    </w:p>
    <w:p>
      <w:pPr>
        <w:ind w:firstLine="641" w:firstLineChars="200"/>
        <w:rPr>
          <w:rFonts w:ascii="仿宋" w:hAnsi="仿宋" w:eastAsia="仿宋"/>
          <w:sz w:val="32"/>
          <w:szCs w:val="32"/>
        </w:rPr>
      </w:pPr>
      <w:r>
        <w:rPr>
          <w:rFonts w:ascii="仿宋" w:hAnsi="仿宋" w:eastAsia="仿宋"/>
          <w:b/>
          <w:sz w:val="32"/>
          <w:szCs w:val="32"/>
        </w:rPr>
        <w:t>评估实施阶段：</w:t>
      </w:r>
      <w:r>
        <w:rPr>
          <w:rFonts w:hint="eastAsia" w:ascii="仿宋" w:hAnsi="仿宋" w:eastAsia="仿宋"/>
          <w:sz w:val="32"/>
          <w:szCs w:val="32"/>
        </w:rPr>
        <w:t>2</w:t>
      </w:r>
      <w:r>
        <w:rPr>
          <w:rFonts w:ascii="仿宋" w:hAnsi="仿宋" w:eastAsia="仿宋"/>
          <w:sz w:val="32"/>
          <w:szCs w:val="32"/>
        </w:rPr>
        <w:t>019年</w:t>
      </w:r>
      <w:r>
        <w:rPr>
          <w:rFonts w:hint="eastAsia" w:ascii="仿宋" w:hAnsi="仿宋" w:eastAsia="仿宋"/>
          <w:sz w:val="32"/>
          <w:szCs w:val="32"/>
        </w:rPr>
        <w:t>1</w:t>
      </w:r>
      <w:r>
        <w:rPr>
          <w:rFonts w:ascii="仿宋" w:hAnsi="仿宋" w:eastAsia="仿宋"/>
          <w:sz w:val="32"/>
          <w:szCs w:val="32"/>
        </w:rPr>
        <w:t>1月28日</w:t>
      </w:r>
      <w:r>
        <w:rPr>
          <w:rFonts w:hint="eastAsia" w:ascii="仿宋" w:hAnsi="仿宋" w:eastAsia="仿宋"/>
          <w:sz w:val="32"/>
          <w:szCs w:val="32"/>
        </w:rPr>
        <w:t>，评估</w:t>
      </w:r>
      <w:r>
        <w:rPr>
          <w:rFonts w:ascii="仿宋" w:hAnsi="仿宋" w:eastAsia="仿宋"/>
          <w:sz w:val="32"/>
          <w:szCs w:val="32"/>
        </w:rPr>
        <w:t>人员</w:t>
      </w:r>
      <w:r>
        <w:rPr>
          <w:rFonts w:hint="eastAsia" w:ascii="仿宋" w:hAnsi="仿宋" w:eastAsia="仿宋"/>
          <w:sz w:val="32"/>
          <w:szCs w:val="32"/>
        </w:rPr>
        <w:t>对</w:t>
      </w:r>
      <w:r>
        <w:rPr>
          <w:rFonts w:ascii="仿宋" w:hAnsi="仿宋" w:eastAsia="仿宋"/>
          <w:sz w:val="32"/>
          <w:szCs w:val="32"/>
        </w:rPr>
        <w:t>业务相关人员进行</w:t>
      </w:r>
      <w:r>
        <w:rPr>
          <w:rFonts w:hint="eastAsia" w:ascii="仿宋" w:hAnsi="仿宋" w:eastAsia="仿宋"/>
          <w:sz w:val="32"/>
          <w:szCs w:val="32"/>
        </w:rPr>
        <w:t>了</w:t>
      </w:r>
      <w:r>
        <w:rPr>
          <w:rFonts w:ascii="仿宋" w:hAnsi="仿宋" w:eastAsia="仿宋"/>
          <w:sz w:val="32"/>
          <w:szCs w:val="32"/>
        </w:rPr>
        <w:t>实地调研</w:t>
      </w:r>
      <w:r>
        <w:rPr>
          <w:rFonts w:hint="eastAsia" w:ascii="仿宋" w:hAnsi="仿宋" w:eastAsia="仿宋"/>
          <w:sz w:val="32"/>
          <w:szCs w:val="32"/>
        </w:rPr>
        <w:t>，通过人员访谈、系统</w:t>
      </w:r>
      <w:r>
        <w:rPr>
          <w:rFonts w:ascii="仿宋" w:hAnsi="仿宋" w:eastAsia="仿宋"/>
          <w:sz w:val="32"/>
          <w:szCs w:val="32"/>
        </w:rPr>
        <w:t>查看、</w:t>
      </w:r>
      <w:r>
        <w:rPr>
          <w:rFonts w:hint="eastAsia" w:ascii="仿宋" w:hAnsi="仿宋" w:eastAsia="仿宋"/>
          <w:sz w:val="32"/>
          <w:szCs w:val="32"/>
        </w:rPr>
        <w:t>评测</w:t>
      </w:r>
      <w:r>
        <w:rPr>
          <w:rFonts w:ascii="仿宋" w:hAnsi="仿宋" w:eastAsia="仿宋"/>
          <w:sz w:val="32"/>
          <w:szCs w:val="32"/>
        </w:rPr>
        <w:t>验证等多种</w:t>
      </w:r>
      <w:r>
        <w:rPr>
          <w:rFonts w:hint="eastAsia" w:ascii="仿宋" w:hAnsi="仿宋" w:eastAsia="仿宋"/>
          <w:sz w:val="32"/>
          <w:szCs w:val="32"/>
        </w:rPr>
        <w:t>方式对</w:t>
      </w:r>
      <w:r>
        <w:rPr>
          <w:rFonts w:ascii="仿宋" w:hAnsi="仿宋" w:eastAsia="仿宋"/>
          <w:sz w:val="32"/>
          <w:szCs w:val="32"/>
        </w:rPr>
        <w:t>业务的安全风险以及企业的安全保障能力进行了核实验证。</w:t>
      </w:r>
    </w:p>
    <w:p>
      <w:pPr>
        <w:numPr>
          <w:ilvl w:val="0"/>
          <w:numId w:val="2"/>
        </w:numPr>
        <w:rPr>
          <w:rFonts w:ascii="仿宋" w:hAnsi="仿宋" w:eastAsia="仿宋"/>
          <w:sz w:val="32"/>
          <w:szCs w:val="32"/>
        </w:rPr>
      </w:pPr>
      <w:r>
        <w:rPr>
          <w:rFonts w:hint="eastAsia" w:ascii="仿宋" w:hAnsi="仿宋" w:eastAsia="仿宋"/>
          <w:sz w:val="32"/>
          <w:szCs w:val="32"/>
        </w:rPr>
        <w:t>文档</w:t>
      </w:r>
      <w:r>
        <w:rPr>
          <w:rFonts w:ascii="仿宋" w:hAnsi="仿宋" w:eastAsia="仿宋"/>
          <w:sz w:val="32"/>
          <w:szCs w:val="32"/>
        </w:rPr>
        <w:t>查阅：</w:t>
      </w:r>
      <w:r>
        <w:rPr>
          <w:rFonts w:hint="eastAsia" w:ascii="仿宋" w:hAnsi="仿宋" w:eastAsia="仿宋"/>
          <w:sz w:val="32"/>
          <w:szCs w:val="32"/>
        </w:rPr>
        <w:t>对照评估指标，评估人员提出业务安全保障相关的进一步制度文件需求，企业安排相关人员准备提供，评估人员进行</w:t>
      </w:r>
      <w:r>
        <w:rPr>
          <w:rFonts w:ascii="仿宋" w:hAnsi="仿宋" w:eastAsia="仿宋"/>
          <w:sz w:val="32"/>
          <w:szCs w:val="32"/>
        </w:rPr>
        <w:t>查阅</w:t>
      </w:r>
      <w:r>
        <w:rPr>
          <w:rFonts w:hint="eastAsia" w:ascii="仿宋" w:hAnsi="仿宋" w:eastAsia="仿宋"/>
          <w:sz w:val="32"/>
          <w:szCs w:val="32"/>
        </w:rPr>
        <w:t>。</w:t>
      </w:r>
    </w:p>
    <w:p>
      <w:pPr>
        <w:numPr>
          <w:ilvl w:val="0"/>
          <w:numId w:val="2"/>
        </w:numPr>
        <w:rPr>
          <w:rFonts w:ascii="仿宋" w:hAnsi="仿宋" w:eastAsia="仿宋"/>
          <w:sz w:val="32"/>
          <w:szCs w:val="32"/>
        </w:rPr>
      </w:pPr>
      <w:r>
        <w:rPr>
          <w:rFonts w:hint="eastAsia" w:ascii="仿宋" w:hAnsi="仿宋" w:eastAsia="仿宋"/>
          <w:sz w:val="32"/>
          <w:szCs w:val="32"/>
        </w:rPr>
        <w:t>系统</w:t>
      </w:r>
      <w:r>
        <w:rPr>
          <w:rFonts w:ascii="仿宋" w:hAnsi="仿宋" w:eastAsia="仿宋"/>
          <w:sz w:val="32"/>
          <w:szCs w:val="32"/>
        </w:rPr>
        <w:t>查看，</w:t>
      </w:r>
      <w:r>
        <w:rPr>
          <w:rFonts w:hint="eastAsia" w:ascii="仿宋" w:hAnsi="仿宋" w:eastAsia="仿宋"/>
          <w:sz w:val="32"/>
          <w:szCs w:val="32"/>
        </w:rPr>
        <w:t>对照评估指标，企业安排相关人员，对业务系统平台的日志记录</w:t>
      </w:r>
      <w:r>
        <w:rPr>
          <w:rFonts w:ascii="仿宋" w:hAnsi="仿宋" w:eastAsia="仿宋"/>
          <w:sz w:val="32"/>
          <w:szCs w:val="32"/>
        </w:rPr>
        <w:t>、内容安全保障技术手段</w:t>
      </w:r>
      <w:r>
        <w:rPr>
          <w:rFonts w:hint="eastAsia" w:ascii="仿宋" w:hAnsi="仿宋" w:eastAsia="仿宋"/>
          <w:sz w:val="32"/>
          <w:szCs w:val="32"/>
        </w:rPr>
        <w:t>等进行介绍展示</w:t>
      </w:r>
      <w:r>
        <w:rPr>
          <w:rFonts w:ascii="仿宋" w:hAnsi="仿宋" w:eastAsia="仿宋"/>
          <w:sz w:val="32"/>
          <w:szCs w:val="32"/>
        </w:rPr>
        <w:t>，</w:t>
      </w:r>
      <w:r>
        <w:rPr>
          <w:rFonts w:hint="eastAsia" w:ascii="仿宋" w:hAnsi="仿宋" w:eastAsia="仿宋"/>
          <w:sz w:val="32"/>
          <w:szCs w:val="32"/>
        </w:rPr>
        <w:t>评估人员进行核实确认并保留</w:t>
      </w:r>
      <w:r>
        <w:rPr>
          <w:rFonts w:ascii="仿宋" w:hAnsi="仿宋" w:eastAsia="仿宋"/>
          <w:sz w:val="32"/>
          <w:szCs w:val="32"/>
        </w:rPr>
        <w:t>截图记录</w:t>
      </w:r>
      <w:r>
        <w:rPr>
          <w:rFonts w:hint="eastAsia" w:ascii="仿宋" w:hAnsi="仿宋" w:eastAsia="仿宋"/>
          <w:sz w:val="32"/>
          <w:szCs w:val="32"/>
        </w:rPr>
        <w:t>。</w:t>
      </w:r>
    </w:p>
    <w:p>
      <w:pPr>
        <w:numPr>
          <w:ilvl w:val="0"/>
          <w:numId w:val="2"/>
        </w:numPr>
        <w:rPr>
          <w:rFonts w:ascii="仿宋" w:hAnsi="仿宋" w:eastAsia="仿宋"/>
          <w:sz w:val="32"/>
          <w:szCs w:val="32"/>
        </w:rPr>
      </w:pPr>
      <w:r>
        <w:rPr>
          <w:rFonts w:ascii="仿宋" w:hAnsi="仿宋" w:eastAsia="仿宋"/>
          <w:sz w:val="32"/>
          <w:szCs w:val="32"/>
        </w:rPr>
        <w:t>人员访谈：</w:t>
      </w:r>
      <w:r>
        <w:rPr>
          <w:rFonts w:hint="eastAsia" w:ascii="仿宋" w:hAnsi="仿宋" w:eastAsia="仿宋"/>
          <w:sz w:val="32"/>
          <w:szCs w:val="32"/>
        </w:rPr>
        <w:t>对照评估指标，企业安排网络信息安全部、业务部门以及业务</w:t>
      </w:r>
      <w:r>
        <w:rPr>
          <w:rFonts w:ascii="仿宋" w:hAnsi="仿宋" w:eastAsia="仿宋"/>
          <w:sz w:val="32"/>
          <w:szCs w:val="32"/>
        </w:rPr>
        <w:t>合作方</w:t>
      </w:r>
      <w:r>
        <w:rPr>
          <w:rFonts w:hint="eastAsia" w:ascii="仿宋" w:hAnsi="仿宋" w:eastAsia="仿宋"/>
          <w:sz w:val="32"/>
          <w:szCs w:val="32"/>
        </w:rPr>
        <w:t>相关人员，对评估人员提出的问题进行回应与讨论。</w:t>
      </w:r>
    </w:p>
    <w:p>
      <w:r>
        <w:rPr>
          <w:rFonts w:ascii="仿宋" w:hAnsi="仿宋" w:eastAsia="仿宋"/>
          <w:b/>
          <w:sz w:val="32"/>
          <w:szCs w:val="32"/>
        </w:rPr>
        <w:t>评估总结阶段：</w:t>
      </w:r>
      <w:r>
        <w:rPr>
          <w:rFonts w:hint="eastAsia" w:ascii="仿宋" w:hAnsi="仿宋" w:eastAsia="仿宋"/>
          <w:sz w:val="32"/>
          <w:szCs w:val="32"/>
        </w:rPr>
        <w:t>针对</w:t>
      </w:r>
      <w:r>
        <w:rPr>
          <w:rFonts w:ascii="仿宋" w:hAnsi="仿宋" w:eastAsia="仿宋"/>
          <w:sz w:val="32"/>
          <w:szCs w:val="32"/>
        </w:rPr>
        <w:t>业务</w:t>
      </w:r>
      <w:r>
        <w:rPr>
          <w:rFonts w:hint="eastAsia" w:ascii="仿宋" w:hAnsi="仿宋" w:eastAsia="仿宋"/>
          <w:sz w:val="32"/>
          <w:szCs w:val="32"/>
        </w:rPr>
        <w:t>安全</w:t>
      </w:r>
      <w:r>
        <w:rPr>
          <w:rFonts w:ascii="仿宋" w:hAnsi="仿宋" w:eastAsia="仿宋"/>
          <w:sz w:val="32"/>
          <w:szCs w:val="32"/>
        </w:rPr>
        <w:t>风险</w:t>
      </w:r>
      <w:r>
        <w:rPr>
          <w:rFonts w:hint="eastAsia" w:ascii="仿宋" w:hAnsi="仿宋" w:eastAsia="仿宋"/>
          <w:sz w:val="32"/>
          <w:szCs w:val="32"/>
        </w:rPr>
        <w:t>分析</w:t>
      </w:r>
      <w:r>
        <w:rPr>
          <w:rFonts w:ascii="仿宋" w:hAnsi="仿宋" w:eastAsia="仿宋"/>
          <w:sz w:val="32"/>
          <w:szCs w:val="32"/>
        </w:rPr>
        <w:t>以及安全保障能力评估结果，</w:t>
      </w:r>
      <w:r>
        <w:rPr>
          <w:rFonts w:hint="eastAsia" w:ascii="仿宋_GB2312" w:eastAsia="仿宋_GB2312"/>
          <w:sz w:val="32"/>
          <w:szCs w:val="32"/>
        </w:rPr>
        <w:t>撰写评估报告，形成评估结论，并提出合理化的</w:t>
      </w:r>
      <w:r>
        <w:rPr>
          <w:rFonts w:hint="eastAsia" w:ascii="仿宋" w:hAnsi="仿宋" w:eastAsia="仿宋"/>
          <w:sz w:val="32"/>
          <w:szCs w:val="32"/>
        </w:rPr>
        <w:t>企业</w:t>
      </w:r>
      <w:r>
        <w:rPr>
          <w:rFonts w:ascii="仿宋" w:hAnsi="仿宋" w:eastAsia="仿宋"/>
          <w:sz w:val="32"/>
          <w:szCs w:val="32"/>
        </w:rPr>
        <w:t>安全保障能力</w:t>
      </w:r>
      <w:r>
        <w:rPr>
          <w:rFonts w:hint="eastAsia" w:ascii="仿宋_GB2312" w:eastAsia="仿宋_GB2312"/>
          <w:sz w:val="32"/>
          <w:szCs w:val="32"/>
        </w:rPr>
        <w:t>整改建议</w:t>
      </w:r>
      <w:r>
        <w:rPr>
          <w:rFonts w:ascii="仿宋" w:hAnsi="仿宋" w:eastAsia="仿宋"/>
          <w:sz w:val="32"/>
          <w:szCs w:val="32"/>
        </w:rPr>
        <w:t>。</w:t>
      </w:r>
    </w:p>
    <w:bookmarkEnd w:id="1"/>
    <w:p>
      <w:pPr>
        <w:pStyle w:val="3"/>
        <w:numPr>
          <w:ilvl w:val="1"/>
          <w:numId w:val="1"/>
        </w:numPr>
      </w:pPr>
      <w:bookmarkStart w:id="21" w:name="_Toc513621552"/>
      <w:r>
        <w:rPr>
          <w:rFonts w:hint="eastAsia"/>
        </w:rPr>
        <w:t>业务风险识别分析</w:t>
      </w:r>
      <w:bookmarkEnd w:id="21"/>
    </w:p>
    <w:p>
      <w:pPr>
        <w:pStyle w:val="4"/>
        <w:numPr>
          <w:ilvl w:val="2"/>
          <w:numId w:val="1"/>
        </w:numPr>
      </w:pPr>
      <w:bookmarkStart w:id="22" w:name="_Toc513621553"/>
      <w:r>
        <w:rPr>
          <w:rFonts w:hint="eastAsia"/>
        </w:rPr>
        <w:t>整体风险分析矩阵</w:t>
      </w:r>
      <w:bookmarkEnd w:id="22"/>
    </w:p>
    <w:tbl>
      <w:tblPr>
        <w:tblStyle w:val="23"/>
        <w:tblW w:w="8830"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0" w:type="dxa"/>
          <w:bottom w:w="0" w:type="dxa"/>
          <w:right w:w="0" w:type="dxa"/>
        </w:tblCellMar>
      </w:tblPr>
      <w:tblGrid>
        <w:gridCol w:w="499"/>
        <w:gridCol w:w="636"/>
        <w:gridCol w:w="1040"/>
        <w:gridCol w:w="2838"/>
        <w:gridCol w:w="705"/>
        <w:gridCol w:w="808"/>
        <w:gridCol w:w="2304"/>
      </w:tblGrid>
      <w:tr>
        <w:trPr>
          <w:trHeight w:val="600" w:hRule="atLeast"/>
          <w:jc w:val="center"/>
        </w:trPr>
        <w:tc>
          <w:tcPr>
            <w:tcW w:w="499" w:type="dxa"/>
            <w:tcBorders>
              <w:tl2br w:val="nil"/>
              <w:tr2bl w:val="nil"/>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lang w:bidi="ar"/>
              </w:rPr>
              <w:t>评估事项</w:t>
            </w: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lang w:bidi="ar"/>
              </w:rPr>
              <w:t>评估模块</w:t>
            </w:r>
          </w:p>
        </w:tc>
        <w:tc>
          <w:tcPr>
            <w:tcW w:w="1040" w:type="dxa"/>
            <w:tcBorders>
              <w:tl2br w:val="nil"/>
              <w:tr2bl w:val="nil"/>
            </w:tcBorders>
            <w:shd w:val="clear" w:color="auto" w:fill="auto"/>
            <w:vAlign w:val="center"/>
          </w:tcPr>
          <w:p>
            <w:pPr>
              <w:widowControl/>
              <w:jc w:val="center"/>
              <w:textAlignment w:val="center"/>
              <w:rPr>
                <w:rFonts w:ascii="微软雅黑" w:hAnsi="微软雅黑" w:eastAsia="微软雅黑" w:cs="微软雅黑"/>
                <w:b/>
                <w:sz w:val="18"/>
                <w:szCs w:val="18"/>
              </w:rPr>
            </w:pPr>
            <w:r>
              <w:rPr>
                <w:rFonts w:hint="eastAsia" w:ascii="微软雅黑" w:hAnsi="微软雅黑" w:eastAsia="微软雅黑" w:cs="微软雅黑"/>
                <w:b/>
                <w:kern w:val="0"/>
                <w:sz w:val="18"/>
                <w:szCs w:val="18"/>
                <w:lang w:bidi="ar"/>
              </w:rPr>
              <w:t>评估指标</w:t>
            </w:r>
          </w:p>
        </w:tc>
        <w:tc>
          <w:tcPr>
            <w:tcW w:w="2838" w:type="dxa"/>
            <w:tcBorders>
              <w:tl2br w:val="nil"/>
              <w:tr2bl w:val="nil"/>
            </w:tcBorders>
            <w:shd w:val="clear" w:color="auto" w:fill="auto"/>
            <w:vAlign w:val="center"/>
          </w:tcPr>
          <w:p>
            <w:pPr>
              <w:widowControl/>
              <w:jc w:val="center"/>
              <w:textAlignment w:val="center"/>
              <w:rPr>
                <w:rFonts w:ascii="微软雅黑" w:hAnsi="微软雅黑" w:eastAsia="微软雅黑" w:cs="微软雅黑"/>
                <w:b/>
                <w:sz w:val="18"/>
                <w:szCs w:val="18"/>
              </w:rPr>
            </w:pPr>
            <w:r>
              <w:rPr>
                <w:rFonts w:hint="eastAsia" w:ascii="微软雅黑" w:hAnsi="微软雅黑" w:eastAsia="微软雅黑" w:cs="微软雅黑"/>
                <w:b/>
                <w:kern w:val="0"/>
                <w:sz w:val="18"/>
                <w:szCs w:val="18"/>
                <w:lang w:bidi="ar"/>
              </w:rPr>
              <w:t>评估内容</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lang w:bidi="ar"/>
              </w:rPr>
              <w:t>评估方法</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b/>
                <w:color w:val="000000"/>
                <w:sz w:val="18"/>
                <w:szCs w:val="18"/>
              </w:rPr>
            </w:pPr>
            <w:r>
              <w:rPr>
                <w:rFonts w:hint="eastAsia" w:ascii="微软雅黑" w:hAnsi="微软雅黑" w:eastAsia="微软雅黑" w:cs="微软雅黑"/>
                <w:b/>
                <w:color w:val="000000"/>
                <w:kern w:val="0"/>
                <w:sz w:val="18"/>
                <w:szCs w:val="18"/>
                <w:lang w:bidi="ar"/>
              </w:rPr>
              <w:t>评估意见</w:t>
            </w:r>
          </w:p>
        </w:tc>
        <w:tc>
          <w:tcPr>
            <w:tcW w:w="2304" w:type="dxa"/>
            <w:tcBorders>
              <w:tl2br w:val="nil"/>
              <w:tr2bl w:val="nil"/>
            </w:tcBorders>
            <w:shd w:val="clear" w:color="auto" w:fill="auto"/>
            <w:vAlign w:val="center"/>
          </w:tcPr>
          <w:p>
            <w:pPr>
              <w:widowControl/>
              <w:textAlignment w:val="center"/>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研判依据</w:t>
            </w:r>
          </w:p>
        </w:tc>
      </w:tr>
      <w:tr>
        <w:trPr>
          <w:trHeight w:val="1410" w:hRule="atLeast"/>
          <w:jc w:val="center"/>
        </w:trPr>
        <w:tc>
          <w:tcPr>
            <w:tcW w:w="499"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1.业务应用安全</w:t>
            </w: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1.1用户</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1.1.1用户规模</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用户规模主要关注使用业务的用户数量，数量越庞大，发生信息安全事件造成的影响范围越大，信息安全风险越高。</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人员访谈&amp;文档审查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9C0006"/>
                <w:sz w:val="18"/>
                <w:szCs w:val="18"/>
              </w:rPr>
            </w:pPr>
            <w:r>
              <w:rPr>
                <w:rFonts w:hint="eastAsia" w:ascii="微软雅黑" w:hAnsi="微软雅黑" w:eastAsia="微软雅黑" w:cs="微软雅黑"/>
                <w:color w:val="9C0006"/>
                <w:kern w:val="0"/>
                <w:sz w:val="18"/>
                <w:szCs w:val="18"/>
                <w:lang w:bidi="ar"/>
              </w:rPr>
              <w:t>安全风险较高</w:t>
            </w:r>
          </w:p>
        </w:tc>
        <w:tc>
          <w:tcPr>
            <w:tcW w:w="2304" w:type="dxa"/>
            <w:tcBorders>
              <w:tl2br w:val="nil"/>
              <w:tr2bl w:val="nil"/>
            </w:tcBorders>
            <w:shd w:val="clear" w:color="auto" w:fill="auto"/>
            <w:vAlign w:val="center"/>
          </w:tcPr>
          <w:p>
            <w:pPr>
              <w:widowControl/>
              <w:textAlignment w:val="center"/>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该业务用户规模为大于1000万</w:t>
            </w:r>
          </w:p>
        </w:tc>
      </w:tr>
      <w:tr>
        <w:trPr>
          <w:trHeight w:val="11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1.1.2用户类型</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用户类型主要关注使用业务的用户属性特点，包括用户类别（单位用户或个人用户）、年龄分布、地域分布等。</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9C0006"/>
                <w:sz w:val="18"/>
                <w:szCs w:val="18"/>
              </w:rPr>
            </w:pPr>
            <w:r>
              <w:rPr>
                <w:rFonts w:hint="eastAsia" w:ascii="微软雅黑" w:hAnsi="微软雅黑" w:eastAsia="微软雅黑" w:cs="微软雅黑"/>
                <w:color w:val="000000"/>
                <w:kern w:val="0"/>
                <w:sz w:val="18"/>
                <w:szCs w:val="18"/>
                <w:lang w:bidi="ar"/>
              </w:rPr>
              <w:t>安全风险较低</w:t>
            </w:r>
          </w:p>
        </w:tc>
        <w:tc>
          <w:tcPr>
            <w:tcW w:w="2304" w:type="dxa"/>
            <w:tcBorders>
              <w:tl2br w:val="nil"/>
              <w:tr2bl w:val="nil"/>
            </w:tcBorders>
            <w:shd w:val="clear" w:color="auto" w:fill="auto"/>
            <w:vAlign w:val="center"/>
          </w:tcPr>
          <w:p>
            <w:pPr>
              <w:widowControl/>
              <w:textAlignment w:val="center"/>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该业务为用户自主注册，未聚焦于特定人群。 低</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1.1.3用户相关性</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用户相关性反映了特定用户之间联系的紧密程度，若特定用户间紧密关系被用于传播违法信息，则信息的可流通性、可信赖性、被关注程度将提高，信息安全风险将有所增加。</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安全风险较低</w:t>
            </w:r>
          </w:p>
        </w:tc>
        <w:tc>
          <w:tcPr>
            <w:tcW w:w="2304" w:type="dxa"/>
            <w:tcBorders>
              <w:tl2br w:val="nil"/>
              <w:tr2bl w:val="nil"/>
            </w:tcBorders>
            <w:shd w:val="clear" w:color="auto" w:fill="auto"/>
            <w:vAlign w:val="center"/>
          </w:tcPr>
          <w:p>
            <w:pPr>
              <w:widowControl/>
              <w:textAlignment w:val="center"/>
              <w:rPr>
                <w:rFonts w:ascii="微软雅黑" w:hAnsi="微软雅黑" w:eastAsia="微软雅黑" w:cs="微软雅黑"/>
                <w:color w:val="000000"/>
                <w:kern w:val="0"/>
                <w:sz w:val="18"/>
                <w:szCs w:val="18"/>
                <w:lang w:bidi="ar"/>
              </w:rPr>
            </w:pPr>
            <w:r>
              <w:rPr>
                <w:rFonts w:hint="eastAsia" w:ascii="微软雅黑" w:hAnsi="微软雅黑" w:eastAsia="微软雅黑" w:cs="微软雅黑"/>
                <w:color w:val="000000"/>
                <w:kern w:val="0"/>
                <w:sz w:val="18"/>
                <w:szCs w:val="18"/>
                <w:lang w:bidi="ar"/>
              </w:rPr>
              <w:t>该业务为用户自主注册，用户线下不相识。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65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1.1.4用户实名核验</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用户实名核验关注的是用户使用业务时是否提供了真实身份信息或有助于识别真实身份的相关信息，如果未提供上述信息，将影响企业配合完成事后溯源工作的开展。</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该业务使用时不需要用户注册、登录。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266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1.1.5用户真实身份鉴别</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用户真实身份鉴别关注的是用户使用业务或应用过程中业务系统是否能够根据用户提供的必要证明凭证（如账号密码、业务验证信息等），判定其是否具有访问资源或者执行业务相关请求的必要权限，确保用户真实身份与业务应用使用行为的一致性；若业务系统不能对用户真实身份进行鉴别，可能导致用户账户信息被泄露、仿冒、盗取等严重安全事件。</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该业务使用时不需要用户注册、登录。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725"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1.2信息主题</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1.2.1信息主题多样性</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信息主题多样性主要指信息内容围绕主题类别多元，如微博客类业务的信息内容主题类别繁杂，数量庞大，从多元信息中识别处置违法信息的难度更大。</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bookmarkStart w:id="23" w:name="RANGE!E8"/>
            <w:r>
              <w:rPr>
                <w:rFonts w:hint="eastAsia" w:ascii="微软雅黑" w:hAnsi="微软雅黑" w:eastAsia="微软雅黑" w:cs="微软雅黑"/>
                <w:color w:val="000000"/>
                <w:kern w:val="0"/>
                <w:sz w:val="18"/>
                <w:szCs w:val="18"/>
                <w:lang w:bidi="ar"/>
              </w:rPr>
              <w:t>人员访谈&amp;测评验证</w:t>
            </w:r>
            <w:bookmarkEnd w:id="23"/>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该业务的信息主题单一。</w:t>
            </w:r>
          </w:p>
        </w:tc>
      </w:tr>
      <w:tr>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1.2.2信息主题相关性</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信息主题相关性反映信息内容围绕的主题之间联系是否紧密。若内容大多围绕一个或几个相近主题，且包含违法信息，则违法信息有可能在相关主题中大范围变种并快速传播。</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该业务无跟帖、转发功能。</w:t>
            </w:r>
          </w:p>
        </w:tc>
      </w:tr>
      <w:tr>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1.3信息载体</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1.3.1信息呈现方式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信息呈现的方式包括文本、图片、音视频、二维码等文件，考虑到目前图片、音频、视频等文件及流媒体的内容识别技术尚不成熟，此类信息存在传播违法信息的安全风险。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该业务仅包含文本信息。</w:t>
            </w:r>
          </w:p>
        </w:tc>
      </w:tr>
      <w:tr>
        <w:trPr>
          <w:trHeight w:val="11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1.3.2语言类型</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语言类型主要包括中文、英文及其他小语种等，考虑到目前小语种语言的内容识别技术尚不成熟，存在传播违法信息的安全风险。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该业务不包含小语种信息。</w:t>
            </w:r>
          </w:p>
        </w:tc>
      </w:tr>
      <w:tr>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1.4信息生成</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1.4.1信息源</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如果无法确保业务系统中生成的信息是来自经身份真实认证或鉴别的可信用户，例如信息是由被冒用或盗取的账号或渠道生成、发送，则大幅增加了违法有害信息处置难度。</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该业务不包含用户生成信息（UGC）。</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1.4.2信息产生方式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Style w:val="45"/>
                <w:rFonts w:hint="default"/>
                <w:color w:val="auto"/>
                <w:sz w:val="18"/>
                <w:szCs w:val="18"/>
                <w:lang w:bidi="ar"/>
              </w:rPr>
              <w:t>如果业务系统中生成的信息不由业务运营企业控制，例如</w:t>
            </w:r>
            <w:r>
              <w:rPr>
                <w:rStyle w:val="46"/>
                <w:rFonts w:hint="default"/>
                <w:sz w:val="18"/>
                <w:szCs w:val="18"/>
                <w:lang w:bidi="ar"/>
              </w:rPr>
              <w:t>用户生成信息（UGC）、第三方合作者提供信息等，则信息来源不唯一，对违法信息进行处置的工作难度将大幅增长。</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该业务不包含第三方合作者提供的信息。</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90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1.5信息传播</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1.5.1信息传播方式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传播方式包括了点对点、点对多点（如公众平台）、多点对多点（如群组聊天）以及链式网状传播（如微博客）等，点对多点、多点对多点、链式网状传播等传播方式扩大了单位时间内信息的传播范围，存在传播违法信息的信息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该业务信息传播方式为点对点传播。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90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1.5.2通信媒介</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通信媒介主要考虑网络类型、支持平台类型等，若业务具备跨平台、跨网络（如融合类业务中涉及电信网和互联网之间的传输切换）的信息流动能力，将导致信息传播链条复杂、多维，提高信息传播速度，增加违法信息快速识别和处置的工作难度。</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该业务信息内容不可分享至其他平台及跨网络传播。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1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1.5.3信息传递实时性</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信息传递实时性关注信息接收端用户能否实时读取信息，实时通信提高了信息读取概率，提高了信息传播速度，存在传播违法信息的信息安全风险。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该业务不向用户推送信息。</w:t>
            </w:r>
          </w:p>
        </w:tc>
      </w:tr>
      <w:tr>
        <w:trPr>
          <w:trHeight w:val="2205"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1.6信息接收</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1.6.1信息收取方式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接收环节主要关注信息收取方式等。信息收取方式主要包括信息主动推送、用户主动获取等方式，信息的主动推送提高了信息读取概率，间接提高了信息传播速度，扩大了信息传播范围，存在传播违法信息的信息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人员访谈&amp;测评验证</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该业务信息收取方式为用户主动获取。</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5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1.7信息留存</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1.7.1公共信息内容留存</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信息留存关注的是业务系统中传输的公共信息内容和用户使用业务行为的日志记录，如果企业未按相关法律法规要求保留日志信息，将会直接影响企业配合完成事后溯源、取证工作的开展。</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人员访谈&amp;演示查验</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该业务不涉及信息发布</w:t>
            </w:r>
          </w:p>
        </w:tc>
      </w:tr>
      <w:tr>
        <w:trPr>
          <w:trHeight w:val="1900" w:hRule="atLeast"/>
          <w:jc w:val="center"/>
        </w:trPr>
        <w:tc>
          <w:tcPr>
            <w:tcW w:w="499"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2.业务平台安全</w:t>
            </w: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2.1设备位置分布</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2.1.1服务器、机房、节点的地理位置</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设备位置分布是指承载业务的服务器、机房或节点的地理位置分布。如果业务的服务器、机房或节点在境内外均有分布，且境内外有数据传输，则可能存在因数据跨境流动引发的国家重要数据、个人隐私信息泄露的信息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安全风险较低</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该业务无境内外数据交互</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20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2.2资源调度方式</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2.2.1计算资源/云服务</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资源调度方式是指业务系统的计算资源、存储资源、带宽资源、IP地址及域名资源的调度方式。如果计算、存储、带宽资源采用了云化或虚拟化，则可能增加企业违法信息处置工作的难度。</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安全风险较低</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 xml:space="preserve">该业务未采用云计算业务或采购第三方云服务。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1515"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2.2.2存储资源/内容分发</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若业务IP地址及域名采取动态分配方式，则可能增加企业违法信息处置工作的难度。</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安全风险较低</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该业务未采用内容分发网络技术。</w:t>
            </w:r>
          </w:p>
        </w:tc>
      </w:tr>
      <w:tr>
        <w:trPr>
          <w:trHeight w:val="190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2.3业务合作</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2.3.1合作方式的合规性</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业务合作是指业务运营企业与其他企业开展任意形式的合作。企业需要对任何一种合作方式进行合规性评估（是否符合现行行业管理相关规定）。企业需要评估合作企业的信息安全管理工作及保障措施能否满足相关法律法规要求，能否保障业务的信息安全。</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该业务不涉及合作业务。</w:t>
            </w:r>
          </w:p>
        </w:tc>
      </w:tr>
      <w:tr>
        <w:trPr>
          <w:trHeight w:val="30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2.4开放接口</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2.4.1是否提供第三方API接口</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开放接口是指业务系统为第三方提供的标准API接口。第三方调用开放API接口的过程中，如果与业务系统之间产生了数据交互，可能增加业务系统发布、传输、存储违法信息的信息安全风险；如果业务系统开放的API接口未做好违法有害信息监测处置、权限管理、安全审计等，可能带来违法有害信息传播、直接影响业务系统自身安全、非法调用API接口（如实施通讯信息诈骗）等安全风险。</w:t>
            </w:r>
          </w:p>
        </w:tc>
        <w:tc>
          <w:tcPr>
            <w:tcW w:w="705"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 xml:space="preserve">人员访谈&amp;文件审查 </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该业务不对第三方提供API接口。</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950" w:hRule="atLeast"/>
          <w:jc w:val="center"/>
        </w:trPr>
        <w:tc>
          <w:tcPr>
            <w:tcW w:w="499"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3.业务运行安全</w:t>
            </w:r>
          </w:p>
        </w:tc>
        <w:tc>
          <w:tcPr>
            <w:tcW w:w="636"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3.1业务逻辑安全</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3.1.1业务规则、业务流程等存在安全漏洞可能带来的通讯信息诈骗安全风险的大小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业务逻辑安全的关注点主要集中在业务规则的合规性、业务流程的合理性及配套的技术保障措施的完善性等。如以一卡多号、短信营业厅、网上营业厅等为代表的电信业务，如果存在未实施二次确认机制、 必要的用户身份验证环节缺失、 短信验证码下发环节用户安全提醒不完善、业务登录提示不足、身份校验技术手段不完备等安全漏洞， 则有可能被诈骗分子利用设计各种诈骗场景，冒充用户实施诈骗。</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color w:val="C00000"/>
                <w:kern w:val="0"/>
                <w:sz w:val="18"/>
                <w:szCs w:val="18"/>
                <w:lang w:bidi="ar"/>
              </w:rPr>
              <w:t>安全风险较高</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涉及短信订购业务</w:t>
            </w:r>
          </w:p>
        </w:tc>
      </w:tr>
      <w:tr>
        <w:trPr>
          <w:trHeight w:val="46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3.2通讯信息管理安全</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3.2.1从业务功能看，业务涉及的码号资源、电信线路被用于通讯信息诈骗的可能性大小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 xml:space="preserve"> ①电信资源主要包括移动电话业务、 一卡多号、“400”、“一号通”、“商务总机”等电信业务涉及的电信网码号资源、电信线路等。如果存在用户实名登记信息不真实不准确、用户资质审核不严格、代理渠道管理薄弱、码号申请数量管理和台账管理未落实、业务落地号码管理不规范、违规为个人用户办理语音专线、“400”、“商务总机”业务、 利用语音专线进行超频、超时段外呼、利用其他码号等电信资源外呼行为管理不严格、 业务使用复核监测不足、异常行为用户监测管控不力等安全漏洞，则相关码号资源、电信线路有可能被诈骗分子利用实施通讯信息诈骗。 </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不涉及语音业务</w:t>
            </w:r>
          </w:p>
        </w:tc>
      </w:tr>
      <w:tr>
        <w:trPr>
          <w:trHeight w:val="462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3.2.2业务被用于违规传送号码的可能性大小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②在号码传送过程中，如果存在语音专线未实施主叫鉴权、语音专线呼叫转移管理不严、主叫隐藏功能未关闭、不良呼叫号码监测处置能力不足等安全漏洞，则相关漏洞有可能被诈骗分子利用，以修改主叫号码、设置主叫号码为空号或禁显、违规外呼、私自改变业务使用用途等方式实施通讯信息诈骗。</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 xml:space="preserve">不涉及语音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660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636" w:type="dxa"/>
            <w:vMerge w:val="continue"/>
            <w:tcBorders>
              <w:tl2br w:val="nil"/>
              <w:tr2bl w:val="nil"/>
            </w:tcBorders>
            <w:shd w:val="clear" w:color="auto" w:fill="auto"/>
            <w:vAlign w:val="center"/>
          </w:tcPr>
          <w:p>
            <w:pPr>
              <w:jc w:val="center"/>
              <w:rPr>
                <w:rFonts w:ascii="微软雅黑" w:hAnsi="微软雅黑" w:eastAsia="微软雅黑" w:cs="微软雅黑"/>
                <w:color w:val="000000"/>
                <w:sz w:val="18"/>
                <w:szCs w:val="18"/>
              </w:rPr>
            </w:pP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3.2.3从业务功能看，业务被用户传播通讯信息诈骗违法信息的可能性大小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 xml:space="preserve"> ③在信息传播方面，如果即时通信、搜索引擎、手机应用软件商城、电商平台、社交平台、网站等互联网业务的违法信息识别处置能力不足，则相关业务有可能成为不法分子贩卖个人信息和诈骗实施软件及工具（如改号软件、非法电话卡、非法银行卡、身份证识别设备破解软件、虚拟交易软件、“伪基站”等）的渠道途径。</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不涉及互联网业务</w:t>
            </w:r>
          </w:p>
        </w:tc>
      </w:tr>
      <w:tr>
        <w:trPr>
          <w:trHeight w:val="2660" w:hRule="atLeast"/>
          <w:jc w:val="center"/>
        </w:trPr>
        <w:tc>
          <w:tcPr>
            <w:tcW w:w="499" w:type="dxa"/>
            <w:vMerge w:val="restart"/>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4.数据安全</w:t>
            </w: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数据采集</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从业务角度查看数据采集过程存在被欺诈、诱骗、强迫个人提供信息的可能性大小。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Style w:val="46"/>
                <w:rFonts w:hint="default"/>
                <w:sz w:val="18"/>
                <w:szCs w:val="18"/>
                <w:lang w:bidi="ar"/>
              </w:rPr>
              <w:t>数据采集环节指数据获取和创建过程，数据采集环节主要从用户个人利益角度出发，如果企业在收集用户个人信息环节，未告知用户被收集的数据类型、使用目的，未经用户同意收集用户个人信息，</w:t>
            </w:r>
            <w:r>
              <w:rPr>
                <w:rStyle w:val="47"/>
                <w:rFonts w:hint="default"/>
                <w:color w:val="auto"/>
                <w:sz w:val="18"/>
                <w:szCs w:val="18"/>
                <w:lang w:bidi="ar"/>
              </w:rPr>
              <w:t>或存在欺诈、诱骗、强迫个人提供信息，非法渠道获取个人信息或收集法律法规明令禁止收集的个人信息，超范围收集用户个人信息等</w:t>
            </w:r>
            <w:r>
              <w:rPr>
                <w:rStyle w:val="45"/>
                <w:rFonts w:hint="default"/>
                <w:color w:val="auto"/>
                <w:sz w:val="18"/>
                <w:szCs w:val="18"/>
                <w:lang w:bidi="ar"/>
              </w:rPr>
              <w:t>，则涉及侵害用户合法权益风险。</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不涉及用户个人信息</w:t>
            </w:r>
          </w:p>
        </w:tc>
      </w:tr>
      <w:tr>
        <w:trPr>
          <w:trHeight w:val="49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数据存储</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从业务角度查看数据存储过程存在被窃取、篡改或销毁的可能性大小。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Style w:val="46"/>
                <w:rFonts w:hint="default"/>
                <w:sz w:val="18"/>
                <w:szCs w:val="18"/>
                <w:lang w:bidi="ar"/>
              </w:rPr>
              <w:t>数据存储环节指将数据持久保存在系统中，数据存储环节主要考虑数据存储环境安全及数据自身安全，如系统安全配置不当，未及时安装更新或补丁，使得操作系统存在漏洞，</w:t>
            </w:r>
            <w:r>
              <w:rPr>
                <w:rStyle w:val="47"/>
                <w:rFonts w:hint="default"/>
                <w:color w:val="auto"/>
                <w:sz w:val="18"/>
                <w:szCs w:val="18"/>
                <w:lang w:bidi="ar"/>
              </w:rPr>
              <w:t>或移动存储介质管理不善、移动办公设备（包括笔记本电脑、智能手机、平板电脑等）的数据存储保护不善、对数据的访问权限管理不到位，未按照数据的重要性、敏感性等因素进行相应的账号管理和权限分配管理、</w:t>
            </w:r>
            <w:r>
              <w:rPr>
                <w:rStyle w:val="45"/>
                <w:rFonts w:hint="default"/>
                <w:color w:val="auto"/>
                <w:sz w:val="18"/>
                <w:szCs w:val="18"/>
                <w:lang w:bidi="ar"/>
              </w:rPr>
              <w:t>对于重要或敏感数据未进行加密存储、重要数据未进行备份、企业内部人员管理不善、安全意识淡薄等，可能受到网络攻击、病毒木马等恶意代码攻击、黑客入侵、越权、社会工程、自然灾害等，导致存储数据被窃取、篡改或销毁风险。</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不涉及用户个人数据</w:t>
            </w:r>
          </w:p>
        </w:tc>
      </w:tr>
      <w:tr>
        <w:trPr>
          <w:trHeight w:val="228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数据传输</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从业务角度查看数据传输过程存在被拦截泄露、窃取或篡改，数据传输中断的可能性大小。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传输环节指数据在企业内外部流转过程，数据传输环节主要从数据传输链路安全方面出发，如数据通过互联网传输或数据传输链路安全保护不善，未采用加密传输技术活协议，未设置数据传输冗余链路等，则可能导致传输数据被拦截泄露、窃取或篡改，数据传输中断等风险。</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color w:val="9C0006"/>
                <w:sz w:val="18"/>
                <w:szCs w:val="18"/>
              </w:rPr>
            </w:pPr>
            <w:r>
              <w:rPr>
                <w:rFonts w:hint="eastAsia" w:ascii="微软雅黑" w:hAnsi="微软雅黑" w:eastAsia="微软雅黑" w:cs="微软雅黑"/>
                <w:kern w:val="0"/>
                <w:sz w:val="18"/>
                <w:szCs w:val="18"/>
                <w:lang w:bidi="ar"/>
              </w:rPr>
              <w:t>安全风险较低</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电信内部传输数据，符合安全要求。</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68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数据加工</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从业务角度看查看数据加工过程存在第三方企业违规访问、处理企业数据的安全隐患、用户个法权益受损或用户隐私泄露、国家重要数据泄露、引发社会恐慌或混乱的安全隐患的可能性大小。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Style w:val="46"/>
                <w:rFonts w:hint="default"/>
                <w:sz w:val="18"/>
                <w:szCs w:val="18"/>
                <w:lang w:bidi="ar"/>
              </w:rPr>
              <w:t>数据加工指对采集的原始数据进行计算分析，加工生成新的数据，数据加工环节主要从维护企业、个人、国家利益角度出发进行分析。①如企业采用公有云服务或其他第三方平台存储、处理数据后，第三方企业拥有企业数据的实际控制权，存在第三方企业违规访问、处理企业数据的安全隐患。②如企业未按照数据采集环节对用户的承诺，超范围使用用户数据进行挖掘分析，或在进行数据分析和挖掘的过程中，对个人敏感信息判定不准确、未进行数据脱敏或数据脱敏不彻底，可能导致用户个法权益受损或用户隐私泄露。③</w:t>
            </w:r>
            <w:r>
              <w:rPr>
                <w:rStyle w:val="47"/>
                <w:rFonts w:hint="default"/>
                <w:color w:val="auto"/>
                <w:sz w:val="18"/>
                <w:szCs w:val="18"/>
                <w:lang w:bidi="ar"/>
              </w:rPr>
              <w:t>如企业进行数据挖掘分析后形成的成果直接或者间接反映了国家军事、政治、经济、社会等现状或重要情报，如果企业未配套相应的安全保护措施，将导致国家重要数据泄露。④企业进行数据挖掘分析后形成的成果数据与公共事务相关，如地理、水文、气象、大气环境等，企业未经相关部门同意，擅自向公众发布这些成果数据，存在引发社会恐慌或混乱的安全隐患。</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不涉及数据加工</w:t>
            </w:r>
          </w:p>
        </w:tc>
      </w:tr>
      <w:tr>
        <w:trPr>
          <w:trHeight w:val="1682"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数据转移</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从业务角度查看数据转移过程存在数据转移后被窃取、篡改或销毁，以及转移数据超范围使用处理、违规二次转移，用户隐私及国家重要数据泄露的可能性大小。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Style w:val="46"/>
                <w:rFonts w:hint="default"/>
                <w:sz w:val="18"/>
                <w:szCs w:val="18"/>
                <w:lang w:bidi="ar"/>
              </w:rPr>
              <w:t>数据转移指将原始数据、加工过的数据等不同形式的数据分发给外部实体，数据转移环节主要从维护企业、个人和国家利益角度出发。①如企业将数据提供给第三方前，未对第三方的数据安全防护能力进行评估，未明确告知第三方数据使用权限，或未对第三方进行必要的安全监督管理，可能导致数据转移后被窃取、篡改或销毁，以及转移数据超范围使用处理、违规二次转移等安全风险；</w:t>
            </w:r>
            <w:r>
              <w:rPr>
                <w:rStyle w:val="47"/>
                <w:rFonts w:hint="default"/>
                <w:color w:val="auto"/>
                <w:sz w:val="18"/>
                <w:szCs w:val="18"/>
                <w:lang w:bidi="ar"/>
              </w:rPr>
              <w:t>②如企业将数据提供给第三方前，未对将要转移的数据的重要性、敏感性进行评估，未明确告知第三方数据使用权限，未对第三方进行必要的安全监督管理，可能导致用户隐私及国家重要数据的泄露。</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不涉及将数据转给第三方</w:t>
            </w:r>
          </w:p>
        </w:tc>
      </w:tr>
      <w:tr>
        <w:trPr>
          <w:trHeight w:val="228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数据删除</w:t>
            </w:r>
          </w:p>
        </w:tc>
        <w:tc>
          <w:tcPr>
            <w:tcW w:w="1040"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从业务角度查看数据删除过程存在侵害用户合法权益、剩余信息泄露的可能性大小。</w:t>
            </w:r>
          </w:p>
        </w:tc>
        <w:tc>
          <w:tcPr>
            <w:tcW w:w="2838" w:type="dxa"/>
            <w:tcBorders>
              <w:tl2br w:val="nil"/>
              <w:tr2bl w:val="nil"/>
            </w:tcBorders>
            <w:shd w:val="clear" w:color="auto" w:fill="auto"/>
            <w:vAlign w:val="center"/>
          </w:tcPr>
          <w:p>
            <w:pPr>
              <w:widowControl/>
              <w:jc w:val="left"/>
              <w:textAlignment w:val="center"/>
              <w:rPr>
                <w:rFonts w:ascii="微软雅黑" w:hAnsi="微软雅黑" w:eastAsia="微软雅黑" w:cs="微软雅黑"/>
                <w:sz w:val="18"/>
                <w:szCs w:val="18"/>
              </w:rPr>
            </w:pPr>
            <w:r>
              <w:rPr>
                <w:rStyle w:val="46"/>
                <w:rFonts w:hint="default"/>
                <w:sz w:val="18"/>
                <w:szCs w:val="18"/>
                <w:lang w:bidi="ar"/>
              </w:rPr>
              <w:t>数据删除指删除组织的数据及其副本。数据删除环节主要从用户个人利益角度出发。</w:t>
            </w:r>
            <w:r>
              <w:rPr>
                <w:rStyle w:val="47"/>
                <w:rFonts w:hint="default"/>
                <w:color w:val="auto"/>
                <w:sz w:val="18"/>
                <w:szCs w:val="18"/>
                <w:lang w:bidi="ar"/>
              </w:rPr>
              <w:t>①当用户终止使用服务后，符合法律法规留存基础上，如企业未按用户要求删除用户数据的，则涉及侵害用户合法权益风险。②如数据删除手段不当，可能导致剩余信息泄露风险。</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不涉及用户个人信息</w:t>
            </w:r>
          </w:p>
        </w:tc>
      </w:tr>
      <w:tr>
        <w:trPr>
          <w:trHeight w:val="6840" w:hRule="atLeast"/>
          <w:jc w:val="center"/>
        </w:trPr>
        <w:tc>
          <w:tcPr>
            <w:tcW w:w="499" w:type="dxa"/>
            <w:vMerge w:val="continue"/>
            <w:tcBorders>
              <w:tl2br w:val="nil"/>
              <w:tr2bl w:val="nil"/>
            </w:tcBorders>
            <w:shd w:val="clear" w:color="auto" w:fill="auto"/>
            <w:vAlign w:val="center"/>
          </w:tcPr>
          <w:p>
            <w:pPr>
              <w:jc w:val="center"/>
              <w:rPr>
                <w:rFonts w:ascii="微软雅黑" w:hAnsi="微软雅黑" w:eastAsia="微软雅黑" w:cs="微软雅黑"/>
                <w:sz w:val="18"/>
                <w:szCs w:val="18"/>
              </w:rPr>
            </w:pPr>
          </w:p>
        </w:tc>
        <w:tc>
          <w:tcPr>
            <w:tcW w:w="636" w:type="dxa"/>
            <w:tcBorders>
              <w:tl2br w:val="nil"/>
              <w:tr2bl w:val="nil"/>
            </w:tcBorders>
            <w:shd w:val="clear" w:color="auto" w:fill="auto"/>
            <w:vAlign w:val="center"/>
          </w:tcPr>
          <w:p>
            <w:pPr>
              <w:widowControl/>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个人信息安全</w:t>
            </w:r>
          </w:p>
        </w:tc>
        <w:tc>
          <w:tcPr>
            <w:tcW w:w="1040"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从业务角度查看个人信息是否被滥用、泄露、篡改、损毁的可能性大小</w:t>
            </w:r>
          </w:p>
        </w:tc>
        <w:tc>
          <w:tcPr>
            <w:tcW w:w="2838" w:type="dxa"/>
            <w:tcBorders>
              <w:tl2br w:val="nil"/>
              <w:tr2bl w:val="nil"/>
            </w:tcBorders>
            <w:shd w:val="clear" w:color="auto" w:fill="auto"/>
            <w:vAlign w:val="center"/>
          </w:tcPr>
          <w:p>
            <w:pPr>
              <w:widowControl/>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个人信息是指以电子或者其他方式记录的能够单独或者与其他信息结合识别特定自然人身份或者反映特定自然人活动情况的各种信息，包括但不限于用户姓名、出生日期、身份证件号码、个人生物识别信息、住址、通信通讯联系方式、通信记录和内容、账号密码、财产信息、征信信息、行踪轨迹、住宿信息、健康生理信息、交易信息等。</w:t>
            </w:r>
            <w:r>
              <w:rPr>
                <w:rFonts w:hint="eastAsia" w:ascii="微软雅黑" w:hAnsi="微软雅黑" w:eastAsia="微软雅黑" w:cs="微软雅黑"/>
                <w:kern w:val="0"/>
                <w:sz w:val="18"/>
                <w:szCs w:val="18"/>
                <w:lang w:bidi="ar"/>
              </w:rPr>
              <w:br w:type="textWrapping"/>
            </w:r>
            <w:r>
              <w:rPr>
                <w:rFonts w:hint="eastAsia" w:ascii="微软雅黑" w:hAnsi="微软雅黑" w:eastAsia="微软雅黑" w:cs="微软雅黑"/>
                <w:kern w:val="0"/>
                <w:sz w:val="18"/>
                <w:szCs w:val="18"/>
                <w:lang w:bidi="ar"/>
              </w:rPr>
              <w:t>个人信息安全风险是指，企业由于管理措施、技术手段等安全保障能力的不足或受到自然灾害、基础设施故障等环境危害，在个人信息采集、存储、管理、传输、加工、转移、删除等处理环节，造成个人信息泄露、损毁、篡改等安全事件，对个人隐私以及个人信息主体权益造成安全隐患的风险。个人信息安全风险的具体表现形式包括但不限于：个人信息滥用、个人信息泄露、个人信息篡改、个人信息损毁、个人信息主体权益保护不当、系统故障、网络流量监听、网络攻击、恶意代码、物理攻击、管理不到位、事件应对能力不足、人员安全失控和物理环境安全等。</w:t>
            </w:r>
          </w:p>
        </w:tc>
        <w:tc>
          <w:tcPr>
            <w:tcW w:w="705" w:type="dxa"/>
            <w:tcBorders>
              <w:tl2br w:val="nil"/>
              <w:tr2bl w:val="nil"/>
            </w:tcBorders>
            <w:shd w:val="clear" w:color="auto" w:fill="auto"/>
            <w:vAlign w:val="center"/>
          </w:tcPr>
          <w:p>
            <w:r>
              <w:rPr>
                <w:rFonts w:hint="eastAsia" w:ascii="微软雅黑" w:hAnsi="微软雅黑" w:eastAsia="微软雅黑" w:cs="微软雅黑"/>
                <w:color w:val="000000"/>
                <w:kern w:val="0"/>
                <w:sz w:val="18"/>
                <w:szCs w:val="18"/>
                <w:lang w:bidi="ar"/>
              </w:rPr>
              <w:t>人员访谈&amp;文件审查</w:t>
            </w:r>
          </w:p>
        </w:tc>
        <w:tc>
          <w:tcPr>
            <w:tcW w:w="808" w:type="dxa"/>
            <w:tcBorders>
              <w:tl2br w:val="nil"/>
              <w:tr2bl w:val="nil"/>
            </w:tcBorders>
            <w:shd w:val="clear" w:color="auto" w:fill="auto"/>
            <w:vAlign w:val="center"/>
          </w:tcPr>
          <w:p>
            <w:pPr>
              <w:widowControl/>
              <w:jc w:val="center"/>
              <w:textAlignment w:val="center"/>
              <w:rPr>
                <w:rFonts w:ascii="微软雅黑" w:hAnsi="微软雅黑" w:eastAsia="微软雅黑" w:cs="微软雅黑"/>
                <w:sz w:val="18"/>
                <w:szCs w:val="18"/>
              </w:rPr>
            </w:pPr>
            <w:r>
              <w:rPr>
                <w:rFonts w:hint="eastAsia" w:ascii="微软雅黑" w:hAnsi="微软雅黑" w:eastAsia="微软雅黑" w:cs="微软雅黑"/>
                <w:kern w:val="0"/>
                <w:sz w:val="18"/>
                <w:szCs w:val="18"/>
                <w:lang w:bidi="ar"/>
              </w:rPr>
              <w:t>不适用</w:t>
            </w:r>
          </w:p>
        </w:tc>
        <w:tc>
          <w:tcPr>
            <w:tcW w:w="2304" w:type="dxa"/>
            <w:tcBorders>
              <w:tl2br w:val="nil"/>
              <w:tr2bl w:val="nil"/>
            </w:tcBorders>
            <w:shd w:val="clear" w:color="auto" w:fill="auto"/>
            <w:vAlign w:val="center"/>
          </w:tcPr>
          <w:p>
            <w:pPr>
              <w:widowControl/>
              <w:jc w:val="left"/>
              <w:textAlignment w:val="center"/>
              <w:rPr>
                <w:rFonts w:ascii="微软雅黑" w:hAnsi="微软雅黑" w:eastAsia="微软雅黑" w:cs="微软雅黑"/>
                <w:color w:val="000000"/>
                <w:sz w:val="18"/>
                <w:szCs w:val="18"/>
              </w:rPr>
            </w:pPr>
            <w:r>
              <w:rPr>
                <w:rFonts w:hint="eastAsia" w:ascii="微软雅黑" w:hAnsi="微软雅黑" w:eastAsia="微软雅黑" w:cs="微软雅黑"/>
                <w:color w:val="000000"/>
                <w:kern w:val="0"/>
                <w:sz w:val="18"/>
                <w:szCs w:val="18"/>
                <w:lang w:bidi="ar"/>
              </w:rPr>
              <w:t>不涉及用户个人信息</w:t>
            </w:r>
          </w:p>
        </w:tc>
      </w:tr>
    </w:tbl>
    <w:p>
      <w:pPr>
        <w:rPr>
          <w:rFonts w:hint="eastAsia" w:ascii="inherit" w:hAnsi="inherit" w:cs="宋体"/>
          <w:b/>
          <w:color w:val="FF0000"/>
          <w:kern w:val="0"/>
          <w:sz w:val="24"/>
        </w:rPr>
      </w:pPr>
    </w:p>
    <w:p>
      <w:pPr>
        <w:pStyle w:val="4"/>
        <w:numPr>
          <w:ilvl w:val="2"/>
          <w:numId w:val="1"/>
        </w:numPr>
      </w:pPr>
      <w:bookmarkStart w:id="24" w:name="_Toc513621554"/>
      <w:bookmarkStart w:id="25" w:name="_Toc486836690"/>
      <w:r>
        <w:t>高风险识别分析说明</w:t>
      </w:r>
      <w:bookmarkEnd w:id="24"/>
    </w:p>
    <w:p>
      <w:pPr>
        <w:ind w:firstLine="640" w:firstLineChars="200"/>
        <w:rPr>
          <w:rFonts w:ascii="仿宋_GB2312" w:hAnsi="仿宋" w:eastAsia="仿宋_GB2312"/>
          <w:sz w:val="32"/>
          <w:szCs w:val="32"/>
        </w:rPr>
      </w:pPr>
      <w:r>
        <w:rPr>
          <w:rFonts w:hint="eastAsia" w:ascii="仿宋_GB2312" w:hAnsi="仿宋" w:eastAsia="仿宋_GB2312"/>
          <w:sz w:val="32"/>
          <w:szCs w:val="32"/>
        </w:rPr>
        <w:t>综合以上分析，“短信营业厅”业务在以下几个方面存在较高的信息安全风险：</w:t>
      </w:r>
    </w:p>
    <w:p>
      <w:pPr>
        <w:numPr>
          <w:ilvl w:val="0"/>
          <w:numId w:val="3"/>
        </w:numPr>
        <w:ind w:firstLine="640" w:firstLineChars="200"/>
        <w:rPr>
          <w:rFonts w:ascii="仿宋_GB2312" w:hAnsi="仿宋" w:eastAsia="仿宋_GB2312"/>
          <w:sz w:val="32"/>
          <w:szCs w:val="32"/>
        </w:rPr>
      </w:pPr>
      <w:r>
        <w:rPr>
          <w:rFonts w:hint="eastAsia" w:ascii="仿宋_GB2312" w:hAnsi="仿宋" w:eastAsia="仿宋_GB2312"/>
          <w:sz w:val="32"/>
          <w:szCs w:val="32"/>
        </w:rPr>
        <w:t>用户规模：目前，河南省内“短信营业厅”用户超过1000万，规模较大，信息安全风险较高。</w:t>
      </w:r>
    </w:p>
    <w:p>
      <w:pPr>
        <w:numPr>
          <w:ilvl w:val="0"/>
          <w:numId w:val="3"/>
        </w:numPr>
        <w:ind w:firstLine="640" w:firstLineChars="200"/>
        <w:rPr>
          <w:rFonts w:ascii="仿宋_GB2312" w:hAnsi="仿宋" w:eastAsia="仿宋_GB2312"/>
          <w:sz w:val="32"/>
          <w:szCs w:val="32"/>
        </w:rPr>
      </w:pPr>
      <w:r>
        <w:rPr>
          <w:rFonts w:hint="eastAsia" w:ascii="仿宋_GB2312" w:hAnsi="仿宋" w:eastAsia="仿宋_GB2312"/>
          <w:sz w:val="32"/>
          <w:szCs w:val="32"/>
        </w:rPr>
        <w:t>业务逻辑安全：采用短信实现业务订购，信息安全风险较高。</w:t>
      </w:r>
    </w:p>
    <w:p>
      <w:pPr>
        <w:pStyle w:val="4"/>
        <w:numPr>
          <w:ilvl w:val="2"/>
          <w:numId w:val="1"/>
        </w:numPr>
      </w:pPr>
      <w:bookmarkStart w:id="26" w:name="_Toc513621555"/>
      <w:r>
        <w:rPr>
          <w:rFonts w:hint="eastAsia"/>
        </w:rPr>
        <w:t>配套安全管理措施</w:t>
      </w:r>
      <w:bookmarkEnd w:id="25"/>
      <w:bookmarkEnd w:id="26"/>
    </w:p>
    <w:p>
      <w:pPr>
        <w:pStyle w:val="5"/>
        <w:numPr>
          <w:ilvl w:val="3"/>
          <w:numId w:val="1"/>
        </w:numPr>
        <w:ind w:left="850"/>
      </w:pPr>
      <w:r>
        <w:rPr>
          <w:rFonts w:hint="eastAsia"/>
        </w:rPr>
        <w:t>整体保障能力分析矩阵表</w:t>
      </w:r>
    </w:p>
    <w:tbl>
      <w:tblPr>
        <w:tblStyle w:val="23"/>
        <w:tblW w:w="5000" w:type="pct"/>
        <w:tblInd w:w="0" w:type="dxa"/>
        <w:tblLayout w:type="autofit"/>
        <w:tblCellMar>
          <w:top w:w="0" w:type="dxa"/>
          <w:left w:w="108" w:type="dxa"/>
          <w:bottom w:w="0" w:type="dxa"/>
          <w:right w:w="108" w:type="dxa"/>
        </w:tblCellMar>
      </w:tblPr>
      <w:tblGrid>
        <w:gridCol w:w="864"/>
        <w:gridCol w:w="1368"/>
        <w:gridCol w:w="1591"/>
        <w:gridCol w:w="1842"/>
        <w:gridCol w:w="781"/>
        <w:gridCol w:w="2590"/>
      </w:tblGrid>
      <w:tr>
        <w:trPr>
          <w:trHeight w:val="600" w:hRule="atLeast"/>
        </w:trPr>
        <w:tc>
          <w:tcPr>
            <w:tcW w:w="478" w:type="pct"/>
            <w:tcBorders>
              <w:top w:val="single" w:color="auto" w:sz="4" w:space="0"/>
              <w:left w:val="single" w:color="auto" w:sz="4" w:space="0"/>
              <w:bottom w:val="nil"/>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评估事项</w:t>
            </w:r>
          </w:p>
        </w:tc>
        <w:tc>
          <w:tcPr>
            <w:tcW w:w="757" w:type="pct"/>
            <w:tcBorders>
              <w:top w:val="single" w:color="auto" w:sz="4" w:space="0"/>
              <w:left w:val="nil"/>
              <w:bottom w:val="single" w:color="auto" w:sz="4" w:space="0"/>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评估模块</w:t>
            </w:r>
          </w:p>
        </w:tc>
        <w:tc>
          <w:tcPr>
            <w:tcW w:w="880" w:type="pct"/>
            <w:tcBorders>
              <w:top w:val="single" w:color="auto" w:sz="4" w:space="0"/>
              <w:left w:val="nil"/>
              <w:bottom w:val="single" w:color="auto" w:sz="4" w:space="0"/>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评估指标</w:t>
            </w:r>
          </w:p>
        </w:tc>
        <w:tc>
          <w:tcPr>
            <w:tcW w:w="1019" w:type="pct"/>
            <w:tcBorders>
              <w:top w:val="single" w:color="auto" w:sz="4" w:space="0"/>
              <w:left w:val="nil"/>
              <w:bottom w:val="single" w:color="auto" w:sz="4" w:space="0"/>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评估方法</w:t>
            </w:r>
          </w:p>
        </w:tc>
        <w:tc>
          <w:tcPr>
            <w:tcW w:w="432" w:type="pct"/>
            <w:tcBorders>
              <w:top w:val="single" w:color="auto" w:sz="4" w:space="0"/>
              <w:left w:val="nil"/>
              <w:bottom w:val="single" w:color="auto" w:sz="4" w:space="0"/>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评估意见</w:t>
            </w:r>
          </w:p>
        </w:tc>
        <w:tc>
          <w:tcPr>
            <w:tcW w:w="1433" w:type="pct"/>
            <w:tcBorders>
              <w:top w:val="single" w:color="auto" w:sz="4" w:space="0"/>
              <w:left w:val="nil"/>
              <w:bottom w:val="single" w:color="auto" w:sz="4" w:space="0"/>
              <w:right w:val="single" w:color="auto" w:sz="4" w:space="0"/>
            </w:tcBorders>
            <w:shd w:val="clear" w:color="000000" w:fill="EEECE1"/>
            <w:vAlign w:val="center"/>
          </w:tcPr>
          <w:p>
            <w:pPr>
              <w:widowControl/>
              <w:jc w:val="center"/>
              <w:rPr>
                <w:rFonts w:ascii="微软雅黑" w:hAnsi="微软雅黑" w:eastAsia="微软雅黑" w:cs="宋体"/>
                <w:b/>
                <w:bCs/>
                <w:color w:val="000000"/>
                <w:kern w:val="0"/>
                <w:sz w:val="18"/>
                <w:szCs w:val="18"/>
              </w:rPr>
            </w:pPr>
            <w:r>
              <w:rPr>
                <w:rFonts w:hint="eastAsia" w:ascii="微软雅黑" w:hAnsi="微软雅黑" w:eastAsia="微软雅黑" w:cs="宋体"/>
                <w:b/>
                <w:bCs/>
                <w:color w:val="000000"/>
                <w:kern w:val="0"/>
                <w:sz w:val="18"/>
                <w:szCs w:val="18"/>
              </w:rPr>
              <w:t>研判依据</w:t>
            </w:r>
          </w:p>
        </w:tc>
      </w:tr>
      <w:tr>
        <w:trPr>
          <w:trHeight w:val="600" w:hRule="atLeast"/>
        </w:trPr>
        <w:tc>
          <w:tcPr>
            <w:tcW w:w="47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业务应用安全保障基线</w:t>
            </w:r>
          </w:p>
        </w:tc>
        <w:tc>
          <w:tcPr>
            <w:tcW w:w="757" w:type="pct"/>
            <w:vMerge w:val="restar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1.普通账号身份验证</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该业务使用时不需要用户注册、登录。</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2.公众账号身份验证</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该业务无公众账号功能。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3.注册信息审核</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用户不可线上自主注册。</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4.用户真实身份鉴别</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该业务使用时不需要用户注册、登录。</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5.用户账号分级管理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该业务不包含用户生成信息（UGC）。</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6.用户投诉管理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该业务无信息发布功能。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信息内容管理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7.信息内容管理制度及技术手段</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该业务无信息发布功能。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信息搜索功能管理</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8.信息搜索功能管理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该业务无信息搜索功能。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信息发布递送功能管理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9.信息发布递送功能管理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该业务用户不可公开发布信息。</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信息社区平台功能管理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10.信息社区平台功能管理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该业务无转发、分享功能。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信息即时交互功能管理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11.群组功能管理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该业务无群组功能。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12.匿名发布功能管理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该业务无匿名发布功能。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13.转发功能管理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该业务无转发、分享功能。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14.信息销毁功能管理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该业务无信息销毁功能。</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安全规则张贴与主动提示</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15.安全规则张贴与主动提示</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人员访谈&amp;测评验证</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该业务使用时不需要用户注册、登录。</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溯源管理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16.用户身份信息变更留存</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用户不可变更身份信息。</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17.日志留存管理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留存相关日志，符合要求；</w:t>
            </w:r>
          </w:p>
        </w:tc>
      </w:tr>
      <w:tr>
        <w:trPr>
          <w:trHeight w:val="60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信息联动管理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18.信息联动管理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该业务无转发、分享功能。</w:t>
            </w:r>
          </w:p>
        </w:tc>
      </w:tr>
      <w:tr>
        <w:trPr>
          <w:trHeight w:val="1120" w:hRule="atLeast"/>
        </w:trPr>
        <w:tc>
          <w:tcPr>
            <w:tcW w:w="47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应急处置</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19.应急处置管理机制及技术手段</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满足应急处置管理制度</w:t>
            </w:r>
          </w:p>
        </w:tc>
      </w:tr>
      <w:tr>
        <w:trPr>
          <w:trHeight w:val="860" w:hRule="atLeast"/>
        </w:trPr>
        <w:tc>
          <w:tcPr>
            <w:tcW w:w="478"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业务平台安全保障基线</w:t>
            </w:r>
          </w:p>
        </w:tc>
        <w:tc>
          <w:tcPr>
            <w:tcW w:w="757" w:type="pct"/>
            <w:vMerge w:val="restar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业务平台部署</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20.平台设施信息备案</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满足信息备案要求</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21.设施境内外分布</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该业务无境内外数据交互。</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资源调度</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22.资源实时监控</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hint="eastAsia"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满足资源监控要求</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23.违法信息监测处置</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不涉及信息发布功能</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nil"/>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24.系统日志留存</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highlight w:val="yellow"/>
              </w:rPr>
            </w:pPr>
            <w:r>
              <w:rPr>
                <w:rFonts w:hint="eastAsia" w:ascii="微软雅黑" w:hAnsi="微软雅黑" w:eastAsia="微软雅黑" w:cs="宋体"/>
                <w:color w:val="000000"/>
                <w:kern w:val="0"/>
                <w:sz w:val="18"/>
                <w:szCs w:val="18"/>
              </w:rPr>
              <w:t>满足日志留存要求</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用户接入要求</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25.合作企业的安全能力</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该业务无合作方。</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26.资质审核</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该业务无用户接入。</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27.用户信息备案</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该业务无用户接入。</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28.应用分发平台功能管理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该业务无应用分发平台功能。</w:t>
            </w:r>
          </w:p>
        </w:tc>
      </w:tr>
      <w:tr>
        <w:trPr>
          <w:trHeight w:val="60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29.开放接口要求</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该业务无第三方API接口。</w:t>
            </w:r>
          </w:p>
        </w:tc>
      </w:tr>
      <w:tr>
        <w:trPr>
          <w:trHeight w:val="330" w:hRule="atLeast"/>
        </w:trPr>
        <w:tc>
          <w:tcPr>
            <w:tcW w:w="47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业务运行安全保障基线</w:t>
            </w:r>
          </w:p>
        </w:tc>
        <w:tc>
          <w:tcPr>
            <w:tcW w:w="757" w:type="pct"/>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重点电信业务管理</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30.管理制度建设</w:t>
            </w:r>
          </w:p>
        </w:tc>
        <w:tc>
          <w:tcPr>
            <w:tcW w:w="1019" w:type="pct"/>
            <w:tcBorders>
              <w:top w:val="nil"/>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31.申请主体资格管控</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32.办理渠道管理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33.用户实名信息核验登记留存</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34.码号申请数量管理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35.台账管理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36.业务落地号码管理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37.业务外呼管理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38.合同和协议责任约束</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39.重点电信业务使用复核监测</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40.移动电话业务使用管理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41.业务退出管理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42.定期检查</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43.号码核查与企业内部考核问责</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44.工作规程管理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该业务不涉及语音呼叫、话务转接功能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45.重点电信业务信息化管理手段</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存在相关手段</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46.用户安全提醒技术手段</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不涉及此类功能</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业务逻辑安全管理</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47.业务办理管理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kern w:val="0"/>
                <w:sz w:val="18"/>
                <w:szCs w:val="18"/>
              </w:rPr>
            </w:pPr>
            <w:r>
              <w:rPr>
                <w:rFonts w:hint="eastAsia" w:ascii="微软雅黑" w:hAnsi="微软雅黑" w:eastAsia="微软雅黑" w:cs="宋体"/>
                <w:color w:val="C00000"/>
                <w:kern w:val="0"/>
                <w:sz w:val="18"/>
                <w:szCs w:val="18"/>
              </w:rPr>
              <w:t>不满足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 w:val="18"/>
                <w:szCs w:val="18"/>
              </w:rPr>
            </w:pPr>
            <w:r>
              <w:rPr>
                <w:rFonts w:hint="eastAsia" w:ascii="微软雅黑" w:hAnsi="微软雅黑" w:eastAsia="微软雅黑" w:cs="宋体"/>
                <w:kern w:val="0"/>
                <w:sz w:val="18"/>
                <w:szCs w:val="18"/>
              </w:rPr>
              <w:t>短信中未添加签名</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48.业务登录管理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不涉及登陆</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49.业务使用管理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不涉及此类功能</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号码传送规范管理</w:t>
            </w: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50.语音专线主叫鉴权与呼叫转移管控</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不涉及语音呼叫等业务</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51.外呼白名单管理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不涉及外呼业务</w:t>
            </w:r>
          </w:p>
        </w:tc>
      </w:tr>
      <w:tr>
        <w:trPr>
          <w:trHeight w:val="33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52.号码传送管理</w:t>
            </w:r>
          </w:p>
        </w:tc>
        <w:tc>
          <w:tcPr>
            <w:tcW w:w="1019" w:type="pct"/>
            <w:tcBorders>
              <w:top w:val="single" w:color="auto" w:sz="4" w:space="0"/>
              <w:left w:val="nil"/>
              <w:bottom w:val="nil"/>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不涉及号码呼叫</w:t>
            </w:r>
          </w:p>
        </w:tc>
      </w:tr>
      <w:tr>
        <w:trPr>
          <w:trHeight w:val="660" w:hRule="atLeast"/>
        </w:trPr>
        <w:tc>
          <w:tcPr>
            <w:tcW w:w="478" w:type="pct"/>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000000" w:fill="FFFFFF"/>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53.不良呼叫号码监测处置系统</w:t>
            </w:r>
          </w:p>
        </w:tc>
        <w:tc>
          <w:tcPr>
            <w:tcW w:w="1019"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不涉及号码呼叫</w:t>
            </w:r>
          </w:p>
        </w:tc>
      </w:tr>
      <w:tr>
        <w:trPr>
          <w:trHeight w:val="330" w:hRule="atLeast"/>
        </w:trPr>
        <w:tc>
          <w:tcPr>
            <w:tcW w:w="478"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数据安全保障基线</w:t>
            </w: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组织机构和工作机制</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54.组织机构和工作机制</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highlight w:val="yellow"/>
              </w:rPr>
            </w:pPr>
            <w:r>
              <w:rPr>
                <w:rFonts w:hint="eastAsia" w:ascii="微软雅黑" w:hAnsi="微软雅黑" w:eastAsia="微软雅黑" w:cs="宋体"/>
                <w:color w:val="000000"/>
                <w:kern w:val="0"/>
                <w:sz w:val="18"/>
                <w:szCs w:val="18"/>
              </w:rPr>
              <w:t>建立相关制度及工作流程</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数据分级分类</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55.数据分级分类</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数据采集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56.数据采集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数据存储</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57.通用性数据存储保护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C00000"/>
                <w:kern w:val="0"/>
                <w:sz w:val="18"/>
                <w:szCs w:val="18"/>
              </w:rPr>
              <w:t>不满足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配置短信模板时，无相关审计机制，工作人员可直接独立完成短信配置。</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58.数据存储中的国家重要数据保护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不涉及重要数据</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数据传输</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59.通用性数据传输保护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电信内部传输数据，符合安全要求。</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60.数据传输中的国家重要数据保护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不涉及重要数据</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数据加工</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61.通用性数据加工保护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不涉及数据加工</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62.数据加工中的国家重要数据保护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不涉及数据加工</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数据转移</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63.通用性数据转移保护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不涉及数据第三方转移</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64.数据转移中的国家重要数据保护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不涉及数据第三方转移</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数据删除</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65.通用性数据删除保护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不涉及个人数据信息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66.数据删除中的国家重要数据保护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不涉及国家重要信息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个人信息的收集</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67.收集个人信息的合法性要求</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不涉及用户个人信息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68.收集个人信息的最小化要求</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69.收集个人信息时的授权同意</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70.征得授权同意的例外</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不涉及国家信息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71.收集个人敏感信息时的明示同意</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72.隐私政策的内容和发布</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个人信息的保存</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73.个人信息保存时间最小化</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74.去标识化处理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75.个人敏感信息的存储</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76.企业停止运营</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个人信息的使用</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77.个人信息访问控制措施</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78.个人信息的展示限制</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79.个人信息的使用限制</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个人信息的委托处理、共享、转让、公开披露</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80.委托处理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81.个人信息共享、转让</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82.收购、兼并、重组时的个人信息转让</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83.个人信息公开披露</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99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84.共享、转让、公开披露个人信息时事先征得授权同意的例外</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用户权益保障要求</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85.个人信息访问</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86.个人信息更正</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87.个人信息删除</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88.用户撤回同意</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89.用户注销账户 </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66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90.用户获取个人信息副本</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管理制度保障要求</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91.组织机构</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92.安全审计</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93.人员管理与培训</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94.应急处置</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不涉及个人信息数据</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95.申诉管理</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不涉及此类功能</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96.请求响应</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符合相关要求</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97.安全风险评估</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人员访谈&amp;文件审查</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满足</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符合相关要求，开展风险评估</w:t>
            </w:r>
          </w:p>
        </w:tc>
      </w:tr>
      <w:tr>
        <w:trPr>
          <w:trHeight w:val="330" w:hRule="atLeast"/>
        </w:trPr>
        <w:tc>
          <w:tcPr>
            <w:tcW w:w="478" w:type="pct"/>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000000"/>
                <w:kern w:val="0"/>
                <w:sz w:val="18"/>
                <w:szCs w:val="18"/>
              </w:rPr>
            </w:pPr>
          </w:p>
        </w:tc>
        <w:tc>
          <w:tcPr>
            <w:tcW w:w="757"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xml:space="preserve"> 技术手段保障要求</w:t>
            </w:r>
          </w:p>
        </w:tc>
        <w:tc>
          <w:tcPr>
            <w:tcW w:w="880"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98.技术手段保障要求</w:t>
            </w:r>
          </w:p>
        </w:tc>
        <w:tc>
          <w:tcPr>
            <w:tcW w:w="1019"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演示查验</w:t>
            </w:r>
          </w:p>
        </w:tc>
        <w:tc>
          <w:tcPr>
            <w:tcW w:w="432" w:type="pct"/>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不适用</w:t>
            </w:r>
          </w:p>
        </w:tc>
        <w:tc>
          <w:tcPr>
            <w:tcW w:w="1433" w:type="pct"/>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不涉及个人信息</w:t>
            </w:r>
          </w:p>
        </w:tc>
      </w:tr>
    </w:tbl>
    <w:p>
      <w:pPr>
        <w:rPr>
          <w:rFonts w:cs="宋体" w:asciiTheme="majorEastAsia" w:hAnsiTheme="majorEastAsia" w:eastAsiaTheme="majorEastAsia"/>
          <w:b/>
          <w:color w:val="FF0000"/>
          <w:kern w:val="0"/>
          <w:sz w:val="24"/>
        </w:rPr>
      </w:pPr>
    </w:p>
    <w:p>
      <w:pPr>
        <w:pStyle w:val="5"/>
        <w:numPr>
          <w:ilvl w:val="3"/>
          <w:numId w:val="1"/>
        </w:numPr>
        <w:ind w:left="850"/>
      </w:pPr>
      <w:r>
        <w:rPr>
          <w:rFonts w:hint="eastAsia"/>
        </w:rPr>
        <w:t>日常安全管理介绍</w:t>
      </w:r>
    </w:p>
    <w:p>
      <w:pPr>
        <w:ind w:firstLine="420" w:firstLineChars="200"/>
        <w:rPr>
          <w:rFonts w:ascii="仿宋_GB2312" w:hAnsi="仿宋" w:eastAsia="仿宋_GB2312"/>
          <w:sz w:val="32"/>
          <w:szCs w:val="32"/>
        </w:rPr>
      </w:pPr>
      <w:r>
        <w:rPr>
          <w:rFonts w:hint="eastAsia"/>
        </w:rPr>
        <w:t xml:space="preserve">  </w:t>
      </w:r>
      <w:r>
        <w:rPr>
          <w:rFonts w:ascii="仿宋_GB2312" w:hAnsi="仿宋" w:eastAsia="仿宋_GB2312"/>
          <w:sz w:val="32"/>
          <w:szCs w:val="32"/>
        </w:rPr>
        <w:t>1.</w:t>
      </w:r>
      <w:r>
        <w:rPr>
          <w:rFonts w:hint="eastAsia" w:ascii="仿宋_GB2312" w:hAnsi="仿宋" w:eastAsia="仿宋_GB2312"/>
          <w:sz w:val="32"/>
          <w:szCs w:val="32"/>
        </w:rPr>
        <w:t>总体管理情况</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成立信息安全领导小组，负责研究重大事件，落实方针政策和制定总体策略等。职责主要包括：根据国家和行业相关信息安全的政策、法律和法规，批准公司信息安全总体策略规划、管理规范和技术标准。</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河南电信成立了专门的信息安全管理部门：“网络与信息安全管理部”，配备专职人员5人。</w:t>
      </w:r>
    </w:p>
    <w:p>
      <w:pPr>
        <w:ind w:firstLine="640" w:firstLineChars="200"/>
        <w:rPr>
          <w:rFonts w:ascii="仿宋_GB2312" w:hAnsi="仿宋" w:eastAsia="仿宋_GB2312"/>
          <w:sz w:val="32"/>
          <w:szCs w:val="32"/>
        </w:rPr>
      </w:pPr>
      <w:r>
        <w:rPr>
          <w:rFonts w:hint="eastAsia" w:ascii="仿宋_GB2312" w:hAnsi="仿宋" w:eastAsia="仿宋_GB2312"/>
          <w:sz w:val="32"/>
          <w:szCs w:val="32"/>
        </w:rPr>
        <w:t xml:space="preserve">根据工信部有关规定，将评估过程设置为系统上线前的必要环节，并列入OA系统，同时加强全省范围的信息安全业务培训。 </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河南电信制定了以下网络与信息安全方面的管理制度：</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《中国电信河南公司新技术新业务信息安全评估管理办法（试行）》</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《中国电信河南公司用户个人信息安全管理办法（暂行）》</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《中国电信河南公司新技术新业务信息安全评估管理办法（试行）》</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《河南电信通信项目中网络安全“三同步”的规定（试行）》</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《河南省电信公司移动上网日志留存系统查询管理办法》</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《河南电信通信网络应急保障预案专项预案-数据专业》</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《河南电信增值业务平台安全管理办法》</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《中国电信河南公司IDC/ISP信息安全管理系统运行维护管理办法》</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《中国电信河南公司BSS工号及权限管理办法》</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《中国电信河南公司网络设备及系统平台账号口令管理办法》</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《河南电信业务平台应用软件安全技术规范》</w:t>
      </w:r>
    </w:p>
    <w:p>
      <w:pPr>
        <w:ind w:firstLine="640" w:firstLineChars="200"/>
        <w:rPr>
          <w:rFonts w:ascii="仿宋_GB2312" w:hAnsi="仿宋" w:eastAsia="仿宋_GB2312"/>
          <w:sz w:val="32"/>
          <w:szCs w:val="32"/>
        </w:rPr>
      </w:pPr>
      <w:r>
        <w:rPr>
          <w:rFonts w:hint="eastAsia" w:ascii="仿宋_GB2312" w:hAnsi="仿宋" w:eastAsia="仿宋_GB2312"/>
          <w:sz w:val="32"/>
          <w:szCs w:val="32"/>
        </w:rPr>
        <w:t>《河南电信业务平台分等级安全基线规范》</w:t>
      </w:r>
    </w:p>
    <w:p>
      <w:pPr>
        <w:ind w:firstLine="640" w:firstLineChars="200"/>
        <w:rPr>
          <w:rFonts w:ascii="仿宋_GB2312" w:hAnsi="仿宋" w:eastAsia="仿宋_GB2312"/>
          <w:sz w:val="32"/>
          <w:szCs w:val="32"/>
        </w:rPr>
      </w:pPr>
      <w:r>
        <w:rPr>
          <w:rFonts w:hint="eastAsia" w:ascii="仿宋_GB2312" w:hAnsi="仿宋" w:eastAsia="仿宋_GB2312"/>
          <w:sz w:val="32"/>
          <w:szCs w:val="32"/>
        </w:rPr>
        <w:t>《信息安全应急演练实施方案》</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《中国电信河南公司IDC/ISP信息安全管理系统管理办法（试行）》</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《中国电信河南公司移动上网日志留存管理办法（试行）》</w:t>
      </w:r>
    </w:p>
    <w:p>
      <w:pPr>
        <w:ind w:firstLine="640" w:firstLineChars="200"/>
        <w:rPr>
          <w:rFonts w:ascii="仿宋_GB2312" w:hAnsi="仿宋" w:eastAsia="仿宋_GB2312"/>
          <w:sz w:val="32"/>
          <w:szCs w:val="32"/>
        </w:rPr>
      </w:pPr>
      <w:r>
        <w:rPr>
          <w:rFonts w:hint="eastAsia" w:ascii="仿宋_GB2312" w:hAnsi="仿宋" w:eastAsia="仿宋_GB2312"/>
          <w:sz w:val="32"/>
          <w:szCs w:val="32"/>
        </w:rPr>
        <w:t>《中国电信河南公司互联网安全事件处理要求》</w:t>
      </w:r>
    </w:p>
    <w:p>
      <w:pPr>
        <w:ind w:firstLine="640" w:firstLineChars="200"/>
        <w:rPr>
          <w:rFonts w:ascii="仿宋_GB2312" w:hAnsi="仿宋" w:eastAsia="仿宋_GB2312"/>
          <w:sz w:val="32"/>
          <w:szCs w:val="32"/>
        </w:rPr>
      </w:pPr>
      <w:r>
        <w:rPr>
          <w:rFonts w:ascii="仿宋_GB2312" w:hAnsi="仿宋" w:eastAsia="仿宋_GB2312"/>
          <w:sz w:val="32"/>
          <w:szCs w:val="32"/>
        </w:rPr>
        <w:t>2.</w:t>
      </w:r>
      <w:r>
        <w:rPr>
          <w:rFonts w:hint="eastAsia" w:ascii="仿宋_GB2312" w:hAnsi="仿宋" w:eastAsia="仿宋_GB2312"/>
          <w:sz w:val="32"/>
          <w:szCs w:val="32"/>
        </w:rPr>
        <w:t>“短信营业厅”业务管理情况</w:t>
      </w:r>
    </w:p>
    <w:p>
      <w:pPr>
        <w:spacing w:line="600" w:lineRule="exact"/>
        <w:ind w:firstLine="640" w:firstLineChars="200"/>
        <w:rPr>
          <w:rFonts w:ascii="仿宋_GB2312" w:hAnsi="Calibri" w:eastAsia="仿宋_GB2312"/>
          <w:sz w:val="32"/>
          <w:szCs w:val="32"/>
        </w:rPr>
      </w:pPr>
      <w:r>
        <w:rPr>
          <w:rFonts w:hint="eastAsia" w:eastAsia="仿宋_GB2312"/>
          <w:sz w:val="32"/>
          <w:szCs w:val="32"/>
        </w:rPr>
        <w:t>“短信营业厅”</w:t>
      </w:r>
      <w:r>
        <w:rPr>
          <w:rFonts w:hint="eastAsia" w:ascii="仿宋_GB2312" w:hAnsi="Calibri" w:eastAsia="仿宋_GB2312"/>
          <w:sz w:val="32"/>
          <w:szCs w:val="32"/>
        </w:rPr>
        <w:t>业务功能包括相关管理制度，该业务主要由个人业务和渠道业务。个人业务包括订单受理类业务、服务请求类业务、积分服务、密码服务、缴费服务、投诉建议、主动营销和主动服务；渠道业务包括代销商的店员积分服务和空中充值服务。其中，短信综合渠道面向个人客户和销售渠道代销商服务，交互方式有菜单交互方式、编码点播方式。</w:t>
      </w:r>
    </w:p>
    <w:p>
      <w:pPr>
        <w:ind w:firstLine="640" w:firstLineChars="200"/>
        <w:rPr>
          <w:rFonts w:ascii="仿宋_GB2312" w:hAnsi="仿宋" w:eastAsia="仿宋_GB2312"/>
          <w:sz w:val="32"/>
          <w:szCs w:val="32"/>
        </w:rPr>
      </w:pPr>
      <w:r>
        <w:rPr>
          <w:rFonts w:hint="eastAsia" w:ascii="仿宋_GB2312" w:hAnsi="仿宋" w:eastAsia="仿宋_GB2312"/>
          <w:sz w:val="32"/>
          <w:szCs w:val="32"/>
        </w:rPr>
        <w:t>3</w:t>
      </w:r>
      <w:r>
        <w:rPr>
          <w:rFonts w:ascii="仿宋_GB2312" w:hAnsi="仿宋" w:eastAsia="仿宋_GB2312"/>
          <w:sz w:val="32"/>
          <w:szCs w:val="32"/>
        </w:rPr>
        <w:t>.</w:t>
      </w:r>
      <w:r>
        <w:rPr>
          <w:rFonts w:hint="eastAsia" w:ascii="仿宋_GB2312" w:hAnsi="仿宋" w:eastAsia="仿宋_GB2312"/>
          <w:sz w:val="32"/>
          <w:szCs w:val="32"/>
        </w:rPr>
        <w:t>日常管理保障措施</w:t>
      </w:r>
    </w:p>
    <w:p>
      <w:pPr>
        <w:numPr>
          <w:ilvl w:val="0"/>
          <w:numId w:val="4"/>
        </w:numPr>
        <w:spacing w:line="600" w:lineRule="exact"/>
        <w:ind w:firstLine="640" w:firstLineChars="200"/>
        <w:rPr>
          <w:rFonts w:eastAsia="仿宋_GB2312"/>
          <w:sz w:val="32"/>
          <w:szCs w:val="32"/>
        </w:rPr>
      </w:pPr>
      <w:r>
        <w:rPr>
          <w:rFonts w:hint="eastAsia" w:eastAsia="仿宋_GB2312"/>
          <w:sz w:val="32"/>
          <w:szCs w:val="32"/>
        </w:rPr>
        <w:t>日志管理</w:t>
      </w:r>
    </w:p>
    <w:p>
      <w:pPr>
        <w:spacing w:line="600" w:lineRule="exact"/>
        <w:ind w:firstLine="640" w:firstLineChars="200"/>
        <w:rPr>
          <w:rFonts w:eastAsia="仿宋_GB2312"/>
          <w:sz w:val="32"/>
          <w:szCs w:val="32"/>
        </w:rPr>
      </w:pPr>
      <w:r>
        <w:rPr>
          <w:rFonts w:eastAsia="仿宋_GB2312"/>
          <w:sz w:val="32"/>
          <w:szCs w:val="32"/>
        </w:rPr>
        <w:drawing>
          <wp:anchor distT="0" distB="0" distL="114300" distR="114300" simplePos="0" relativeHeight="251658240" behindDoc="0" locked="0" layoutInCell="1" allowOverlap="1">
            <wp:simplePos x="0" y="0"/>
            <wp:positionH relativeFrom="column">
              <wp:posOffset>66040</wp:posOffset>
            </wp:positionH>
            <wp:positionV relativeFrom="paragraph">
              <wp:posOffset>931545</wp:posOffset>
            </wp:positionV>
            <wp:extent cx="5600700" cy="137858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00700" cy="1378585"/>
                    </a:xfrm>
                    <a:prstGeom prst="rect">
                      <a:avLst/>
                    </a:prstGeom>
                    <a:noFill/>
                    <a:ln>
                      <a:noFill/>
                    </a:ln>
                  </pic:spPr>
                </pic:pic>
              </a:graphicData>
            </a:graphic>
          </wp:anchor>
        </w:drawing>
      </w:r>
      <w:r>
        <w:rPr>
          <w:rFonts w:hint="eastAsia" w:eastAsia="仿宋_GB2312"/>
          <w:sz w:val="32"/>
          <w:szCs w:val="32"/>
        </w:rPr>
        <w:t xml:space="preserve"> “短信营业厅”后台日志记录规则、时限满足法律法规要求，截图如下所示：</w:t>
      </w:r>
    </w:p>
    <w:p>
      <w:pPr>
        <w:spacing w:line="600" w:lineRule="exact"/>
        <w:ind w:firstLine="640" w:firstLineChars="200"/>
        <w:jc w:val="center"/>
        <w:rPr>
          <w:rFonts w:eastAsia="仿宋_GB2312"/>
          <w:sz w:val="32"/>
          <w:szCs w:val="32"/>
        </w:rPr>
      </w:pPr>
      <w:r>
        <w:rPr>
          <w:rFonts w:hint="eastAsia" w:eastAsia="仿宋_GB2312"/>
          <w:sz w:val="32"/>
          <w:szCs w:val="32"/>
        </w:rPr>
        <w:t>用户行为日志</w:t>
      </w:r>
    </w:p>
    <w:p>
      <w:pPr>
        <w:numPr>
          <w:ilvl w:val="0"/>
          <w:numId w:val="4"/>
        </w:numPr>
        <w:spacing w:line="600" w:lineRule="exact"/>
        <w:ind w:firstLine="640" w:firstLineChars="200"/>
        <w:rPr>
          <w:rFonts w:eastAsia="仿宋_GB2312"/>
          <w:sz w:val="32"/>
          <w:szCs w:val="32"/>
        </w:rPr>
      </w:pPr>
      <w:r>
        <w:rPr>
          <w:rFonts w:hint="eastAsia" w:eastAsia="仿宋_GB2312"/>
          <w:sz w:val="32"/>
          <w:szCs w:val="32"/>
        </w:rPr>
        <w:t>短信下发</w:t>
      </w:r>
    </w:p>
    <w:p>
      <w:pPr>
        <w:spacing w:line="600" w:lineRule="exact"/>
        <w:ind w:left="640"/>
        <w:rPr>
          <w:rFonts w:eastAsia="仿宋_GB2312"/>
          <w:sz w:val="32"/>
          <w:szCs w:val="32"/>
        </w:rPr>
      </w:pPr>
      <w:r>
        <w:rPr>
          <w:rFonts w:hint="eastAsia" w:eastAsia="仿宋_GB2312"/>
          <w:sz w:val="32"/>
          <w:szCs w:val="32"/>
        </w:rPr>
        <w:t>“短信营业厅”短信下发时采用了二次确认等机制，截图如下所示：</w:t>
      </w:r>
    </w:p>
    <w:p>
      <w:pPr>
        <w:spacing w:line="600" w:lineRule="exact"/>
        <w:ind w:left="640"/>
        <w:rPr>
          <w:rFonts w:eastAsia="仿宋_GB2312"/>
          <w:sz w:val="32"/>
          <w:szCs w:val="32"/>
        </w:rPr>
      </w:pPr>
    </w:p>
    <w:p>
      <w:pPr>
        <w:spacing w:line="600" w:lineRule="exact"/>
        <w:ind w:left="640"/>
        <w:rPr>
          <w:rFonts w:eastAsia="仿宋_GB2312"/>
          <w:sz w:val="32"/>
          <w:szCs w:val="32"/>
        </w:rPr>
      </w:pPr>
      <w:r>
        <w:rPr>
          <w:rFonts w:eastAsia="仿宋_GB2312"/>
          <w:sz w:val="32"/>
          <w:szCs w:val="32"/>
        </w:rPr>
        <w:drawing>
          <wp:anchor distT="0" distB="0" distL="114300" distR="114300" simplePos="0" relativeHeight="251659264" behindDoc="0" locked="0" layoutInCell="1" allowOverlap="1">
            <wp:simplePos x="0" y="0"/>
            <wp:positionH relativeFrom="column">
              <wp:posOffset>2584450</wp:posOffset>
            </wp:positionH>
            <wp:positionV relativeFrom="paragraph">
              <wp:posOffset>189865</wp:posOffset>
            </wp:positionV>
            <wp:extent cx="2581275" cy="3460750"/>
            <wp:effectExtent l="0" t="0" r="9525"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81275" cy="3460750"/>
                    </a:xfrm>
                    <a:prstGeom prst="rect">
                      <a:avLst/>
                    </a:prstGeom>
                    <a:noFill/>
                    <a:ln>
                      <a:noFill/>
                    </a:ln>
                  </pic:spPr>
                </pic:pic>
              </a:graphicData>
            </a:graphic>
          </wp:anchor>
        </w:drawing>
      </w:r>
      <w:r>
        <w:rPr>
          <w:rFonts w:eastAsia="仿宋_GB2312"/>
          <w:sz w:val="32"/>
          <w:szCs w:val="32"/>
        </w:rPr>
        <w:drawing>
          <wp:anchor distT="0" distB="0" distL="114300" distR="114300" simplePos="0" relativeHeight="251660288" behindDoc="0" locked="0" layoutInCell="1" allowOverlap="1">
            <wp:simplePos x="0" y="0"/>
            <wp:positionH relativeFrom="column">
              <wp:posOffset>213995</wp:posOffset>
            </wp:positionH>
            <wp:positionV relativeFrom="paragraph">
              <wp:posOffset>133350</wp:posOffset>
            </wp:positionV>
            <wp:extent cx="2207895" cy="3512185"/>
            <wp:effectExtent l="0" t="0" r="190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07895" cy="3512185"/>
                    </a:xfrm>
                    <a:prstGeom prst="rect">
                      <a:avLst/>
                    </a:prstGeom>
                    <a:noFill/>
                    <a:ln>
                      <a:noFill/>
                    </a:ln>
                  </pic:spPr>
                </pic:pic>
              </a:graphicData>
            </a:graphic>
          </wp:anchor>
        </w:drawing>
      </w: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spacing w:line="600" w:lineRule="exact"/>
        <w:ind w:left="640"/>
        <w:rPr>
          <w:rFonts w:eastAsia="仿宋_GB2312"/>
          <w:sz w:val="32"/>
          <w:szCs w:val="32"/>
        </w:rPr>
      </w:pPr>
    </w:p>
    <w:p>
      <w:pPr>
        <w:pStyle w:val="5"/>
        <w:numPr>
          <w:ilvl w:val="3"/>
          <w:numId w:val="1"/>
        </w:numPr>
        <w:rPr>
          <w:rFonts w:cs="微软雅黑" w:asciiTheme="minorEastAsia" w:hAnsiTheme="minorEastAsia" w:eastAsiaTheme="minorEastAsia"/>
          <w:sz w:val="30"/>
          <w:szCs w:val="30"/>
        </w:rPr>
      </w:pPr>
      <w:r>
        <w:rPr>
          <w:rFonts w:hint="eastAsia" w:cs="微软雅黑" w:asciiTheme="minorEastAsia" w:hAnsiTheme="minorEastAsia" w:eastAsiaTheme="minorEastAsia"/>
          <w:sz w:val="30"/>
          <w:szCs w:val="30"/>
        </w:rPr>
        <w:t>应急管理措施介绍</w:t>
      </w:r>
    </w:p>
    <w:p>
      <w:pPr>
        <w:spacing w:line="600" w:lineRule="exact"/>
        <w:ind w:firstLine="480" w:firstLineChars="200"/>
        <w:rPr>
          <w:rFonts w:eastAsia="仿宋_GB2312"/>
          <w:sz w:val="32"/>
          <w:szCs w:val="32"/>
        </w:rPr>
      </w:pPr>
      <w:r>
        <w:rPr>
          <w:rFonts w:hint="eastAsia"/>
          <w:bCs/>
          <w:sz w:val="24"/>
          <w:szCs w:val="32"/>
        </w:rPr>
        <w:t xml:space="preserve">  </w:t>
      </w:r>
      <w:bookmarkStart w:id="27" w:name="_Toc402801549"/>
      <w:r>
        <w:rPr>
          <w:rFonts w:hint="eastAsia" w:eastAsia="仿宋_GB2312"/>
          <w:sz w:val="32"/>
          <w:szCs w:val="32"/>
        </w:rPr>
        <w:t>“短信营业厅”所使用的硬件设备都部署于电信机房，机房提供</w:t>
      </w:r>
      <w:r>
        <w:rPr>
          <w:rFonts w:eastAsia="仿宋_GB2312"/>
          <w:sz w:val="32"/>
          <w:szCs w:val="32"/>
        </w:rPr>
        <w:t>7*24</w:t>
      </w:r>
      <w:r>
        <w:rPr>
          <w:rFonts w:hint="eastAsia" w:eastAsia="仿宋_GB2312"/>
          <w:sz w:val="32"/>
          <w:szCs w:val="32"/>
        </w:rPr>
        <w:t>小时全天监控</w:t>
      </w:r>
      <w:bookmarkEnd w:id="27"/>
      <w:r>
        <w:rPr>
          <w:rFonts w:hint="eastAsia" w:eastAsia="仿宋_GB2312"/>
          <w:sz w:val="32"/>
          <w:szCs w:val="32"/>
        </w:rPr>
        <w:t>，保证其正常运转。开发公司安排专人负责应急响应系统出现的问题及故障。</w:t>
      </w:r>
    </w:p>
    <w:p>
      <w:pPr>
        <w:rPr>
          <w:bCs/>
          <w:sz w:val="24"/>
          <w:szCs w:val="32"/>
        </w:rPr>
      </w:pPr>
    </w:p>
    <w:p>
      <w:pPr>
        <w:pStyle w:val="2"/>
        <w:numPr>
          <w:ilvl w:val="0"/>
          <w:numId w:val="1"/>
        </w:numPr>
        <w:spacing w:before="0"/>
      </w:pPr>
      <w:bookmarkStart w:id="28" w:name="_Toc513621556"/>
      <w:bookmarkStart w:id="29" w:name="_Toc465263829"/>
      <w:r>
        <w:t>安全评估结论意见</w:t>
      </w:r>
      <w:bookmarkEnd w:id="28"/>
    </w:p>
    <w:p>
      <w:pPr>
        <w:pStyle w:val="3"/>
        <w:numPr>
          <w:ilvl w:val="1"/>
          <w:numId w:val="1"/>
        </w:numPr>
      </w:pPr>
      <w:bookmarkStart w:id="30" w:name="_Toc513621557"/>
      <w:r>
        <w:rPr>
          <w:rFonts w:hint="eastAsia"/>
        </w:rPr>
        <w:t>匹配性</w:t>
      </w:r>
      <w:r>
        <w:t>分析</w:t>
      </w:r>
      <w:bookmarkEnd w:id="30"/>
    </w:p>
    <w:p>
      <w:pPr>
        <w:spacing w:line="600" w:lineRule="exact"/>
        <w:ind w:firstLine="640" w:firstLineChars="200"/>
        <w:rPr>
          <w:rFonts w:eastAsia="仿宋_GB2312"/>
          <w:sz w:val="32"/>
          <w:szCs w:val="32"/>
        </w:rPr>
      </w:pPr>
      <w:r>
        <w:rPr>
          <w:rFonts w:hint="eastAsia" w:eastAsia="仿宋_GB2312"/>
          <w:sz w:val="32"/>
          <w:szCs w:val="32"/>
        </w:rPr>
        <w:t>“短信营业厅”业务在用户规模、业务逻辑安全存在一定的安全风险，电信公司建立了一系列保障措施和技术手段，具备一定的安全风险管控能力，但还存在以下保障薄弱环节与风险不完全匹配：</w:t>
      </w:r>
    </w:p>
    <w:p>
      <w:pPr>
        <w:numPr>
          <w:ilvl w:val="0"/>
          <w:numId w:val="5"/>
        </w:numPr>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lang w:bidi="ar"/>
        </w:rPr>
        <w:t>业务逻辑安全管理</w:t>
      </w:r>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6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pct"/>
          </w:tcPr>
          <w:p>
            <w:pPr>
              <w:rPr>
                <w:rFonts w:ascii="仿宋" w:hAnsi="仿宋" w:eastAsia="仿宋"/>
                <w:b/>
                <w:sz w:val="32"/>
                <w:szCs w:val="32"/>
              </w:rPr>
            </w:pPr>
            <w:r>
              <w:rPr>
                <w:rFonts w:hint="eastAsia" w:ascii="仿宋" w:hAnsi="仿宋" w:eastAsia="仿宋"/>
                <w:b/>
                <w:sz w:val="32"/>
                <w:szCs w:val="32"/>
              </w:rPr>
              <w:t>保障薄弱环节</w:t>
            </w:r>
          </w:p>
        </w:tc>
        <w:tc>
          <w:tcPr>
            <w:tcW w:w="3711" w:type="pct"/>
          </w:tcPr>
          <w:p>
            <w:pPr>
              <w:spacing w:line="600" w:lineRule="exact"/>
              <w:rPr>
                <w:rFonts w:ascii="仿宋" w:hAnsi="仿宋" w:eastAsia="仿宋"/>
                <w:bCs/>
                <w:sz w:val="32"/>
                <w:szCs w:val="32"/>
              </w:rPr>
            </w:pPr>
            <w:r>
              <w:rPr>
                <w:rFonts w:hint="eastAsia" w:ascii="仿宋" w:hAnsi="仿宋" w:eastAsia="仿宋"/>
                <w:bCs/>
                <w:sz w:val="32"/>
                <w:szCs w:val="32"/>
              </w:rPr>
              <w:t>短信下发未添加签名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pct"/>
          </w:tcPr>
          <w:p>
            <w:pPr>
              <w:rPr>
                <w:rFonts w:ascii="仿宋" w:hAnsi="仿宋" w:eastAsia="仿宋"/>
                <w:b/>
                <w:sz w:val="32"/>
                <w:szCs w:val="32"/>
              </w:rPr>
            </w:pPr>
            <w:r>
              <w:rPr>
                <w:rFonts w:hint="eastAsia" w:ascii="仿宋" w:hAnsi="仿宋" w:eastAsia="仿宋"/>
                <w:b/>
                <w:sz w:val="32"/>
                <w:szCs w:val="32"/>
              </w:rPr>
              <w:t>情况说明</w:t>
            </w:r>
          </w:p>
        </w:tc>
        <w:tc>
          <w:tcPr>
            <w:tcW w:w="3711" w:type="pct"/>
          </w:tcPr>
          <w:p>
            <w:pPr>
              <w:numPr>
                <w:ilvl w:val="0"/>
                <w:numId w:val="6"/>
              </w:numPr>
              <w:rPr>
                <w:rFonts w:ascii="仿宋" w:hAnsi="仿宋" w:eastAsia="仿宋"/>
                <w:bCs/>
                <w:sz w:val="32"/>
                <w:szCs w:val="32"/>
              </w:rPr>
            </w:pPr>
            <w:r>
              <w:rPr>
                <w:rFonts w:hint="eastAsia" w:ascii="仿宋" w:hAnsi="仿宋" w:eastAsia="仿宋"/>
                <w:bCs/>
                <w:sz w:val="32"/>
                <w:szCs w:val="32"/>
              </w:rPr>
              <w:t>该业务对在短信下发时，采用了二次确认，但是未添加签名；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pct"/>
          </w:tcPr>
          <w:p>
            <w:pPr>
              <w:rPr>
                <w:rFonts w:ascii="仿宋" w:hAnsi="仿宋" w:eastAsia="仿宋"/>
                <w:b/>
                <w:sz w:val="32"/>
                <w:szCs w:val="32"/>
              </w:rPr>
            </w:pPr>
            <w:r>
              <w:rPr>
                <w:rFonts w:hint="eastAsia" w:ascii="仿宋" w:hAnsi="仿宋" w:eastAsia="仿宋"/>
                <w:b/>
                <w:sz w:val="32"/>
                <w:szCs w:val="32"/>
              </w:rPr>
              <w:t>可能引发的风险</w:t>
            </w:r>
          </w:p>
        </w:tc>
        <w:tc>
          <w:tcPr>
            <w:tcW w:w="3711" w:type="pct"/>
          </w:tcPr>
          <w:p>
            <w:pPr>
              <w:rPr>
                <w:rFonts w:ascii="仿宋" w:hAnsi="仿宋" w:eastAsia="仿宋"/>
                <w:b/>
                <w:sz w:val="32"/>
                <w:szCs w:val="32"/>
              </w:rPr>
            </w:pPr>
            <w:r>
              <w:rPr>
                <w:rFonts w:hint="eastAsia" w:ascii="仿宋" w:hAnsi="仿宋" w:eastAsia="仿宋"/>
                <w:bCs/>
                <w:sz w:val="32"/>
                <w:szCs w:val="32"/>
              </w:rPr>
              <w:t>伪造署名假冒企业进行短信下发。</w:t>
            </w:r>
          </w:p>
        </w:tc>
      </w:tr>
    </w:tbl>
    <w:p>
      <w:pPr>
        <w:numPr>
          <w:ilvl w:val="0"/>
          <w:numId w:val="5"/>
        </w:numPr>
        <w:spacing w:line="600" w:lineRule="exact"/>
        <w:ind w:firstLine="640" w:firstLineChars="200"/>
        <w:rPr>
          <w:rFonts w:ascii="仿宋_GB2312" w:hAnsi="仿宋_GB2312" w:eastAsia="仿宋_GB2312" w:cs="仿宋_GB2312"/>
          <w:color w:val="000000"/>
          <w:kern w:val="0"/>
          <w:sz w:val="32"/>
          <w:szCs w:val="32"/>
          <w:lang w:bidi="ar"/>
        </w:rPr>
      </w:pPr>
      <w:r>
        <w:rPr>
          <w:rFonts w:hint="eastAsia" w:ascii="仿宋_GB2312" w:hAnsi="仿宋_GB2312" w:eastAsia="仿宋_GB2312" w:cs="仿宋_GB2312"/>
          <w:color w:val="000000"/>
          <w:kern w:val="0"/>
          <w:sz w:val="32"/>
          <w:szCs w:val="32"/>
          <w:lang w:bidi="ar"/>
        </w:rPr>
        <w:t xml:space="preserve"> </w:t>
      </w:r>
      <w:bookmarkStart w:id="31" w:name="_Hlk26280882"/>
      <w:r>
        <w:rPr>
          <w:rFonts w:hint="eastAsia" w:ascii="仿宋_GB2312" w:hAnsi="仿宋_GB2312" w:eastAsia="仿宋_GB2312" w:cs="仿宋_GB2312"/>
          <w:color w:val="000000"/>
          <w:kern w:val="0"/>
          <w:sz w:val="32"/>
          <w:szCs w:val="32"/>
          <w:lang w:bidi="ar"/>
        </w:rPr>
        <w:t>数据存储</w:t>
      </w:r>
      <w:bookmarkEnd w:id="31"/>
    </w:p>
    <w:tbl>
      <w:tblPr>
        <w:tblStyle w:val="2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8"/>
        <w:gridCol w:w="6708"/>
      </w:tblGrid>
      <w:tr>
        <w:tc>
          <w:tcPr>
            <w:tcW w:w="1288" w:type="pct"/>
          </w:tcPr>
          <w:p>
            <w:pPr>
              <w:rPr>
                <w:rFonts w:ascii="仿宋" w:hAnsi="仿宋" w:eastAsia="仿宋"/>
                <w:b/>
                <w:sz w:val="32"/>
                <w:szCs w:val="32"/>
              </w:rPr>
            </w:pPr>
            <w:r>
              <w:rPr>
                <w:rFonts w:hint="eastAsia" w:ascii="仿宋" w:hAnsi="仿宋" w:eastAsia="仿宋"/>
                <w:b/>
                <w:sz w:val="32"/>
                <w:szCs w:val="32"/>
              </w:rPr>
              <w:t>保障薄弱环节</w:t>
            </w:r>
          </w:p>
        </w:tc>
        <w:tc>
          <w:tcPr>
            <w:tcW w:w="3711" w:type="pct"/>
          </w:tcPr>
          <w:p>
            <w:pPr>
              <w:spacing w:line="600" w:lineRule="exact"/>
              <w:rPr>
                <w:rFonts w:ascii="仿宋" w:hAnsi="仿宋" w:eastAsia="仿宋"/>
                <w:bCs/>
                <w:sz w:val="32"/>
                <w:szCs w:val="32"/>
              </w:rPr>
            </w:pPr>
            <w:r>
              <w:rPr>
                <w:rFonts w:hint="eastAsia" w:ascii="仿宋" w:hAnsi="仿宋" w:eastAsia="仿宋"/>
                <w:bCs/>
                <w:sz w:val="32"/>
                <w:szCs w:val="32"/>
              </w:rPr>
              <w:t>数据操作无审计</w:t>
            </w:r>
          </w:p>
        </w:tc>
      </w:tr>
      <w:tr>
        <w:tc>
          <w:tcPr>
            <w:tcW w:w="1288" w:type="pct"/>
          </w:tcPr>
          <w:p>
            <w:pPr>
              <w:rPr>
                <w:rFonts w:ascii="仿宋" w:hAnsi="仿宋" w:eastAsia="仿宋"/>
                <w:b/>
                <w:sz w:val="32"/>
                <w:szCs w:val="32"/>
              </w:rPr>
            </w:pPr>
            <w:r>
              <w:rPr>
                <w:rFonts w:hint="eastAsia" w:ascii="仿宋" w:hAnsi="仿宋" w:eastAsia="仿宋"/>
                <w:b/>
                <w:sz w:val="32"/>
                <w:szCs w:val="32"/>
              </w:rPr>
              <w:t>情况说明</w:t>
            </w:r>
          </w:p>
        </w:tc>
        <w:tc>
          <w:tcPr>
            <w:tcW w:w="3711" w:type="pct"/>
          </w:tcPr>
          <w:p>
            <w:pPr>
              <w:tabs>
                <w:tab w:val="left" w:pos="312"/>
              </w:tabs>
              <w:rPr>
                <w:rFonts w:ascii="仿宋" w:hAnsi="仿宋" w:eastAsia="仿宋"/>
                <w:bCs/>
                <w:sz w:val="32"/>
                <w:szCs w:val="32"/>
              </w:rPr>
            </w:pPr>
            <w:r>
              <w:rPr>
                <w:rFonts w:hint="eastAsia" w:ascii="仿宋" w:hAnsi="仿宋" w:eastAsia="仿宋"/>
                <w:bCs/>
                <w:sz w:val="32"/>
                <w:szCs w:val="32"/>
              </w:rPr>
              <w:t>在管理员配置短信模板时候，缺少审计环节；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88" w:type="pct"/>
          </w:tcPr>
          <w:p>
            <w:pPr>
              <w:rPr>
                <w:rFonts w:ascii="仿宋" w:hAnsi="仿宋" w:eastAsia="仿宋"/>
                <w:b/>
                <w:sz w:val="32"/>
                <w:szCs w:val="32"/>
              </w:rPr>
            </w:pPr>
            <w:r>
              <w:rPr>
                <w:rFonts w:hint="eastAsia" w:ascii="仿宋" w:hAnsi="仿宋" w:eastAsia="仿宋"/>
                <w:b/>
                <w:sz w:val="32"/>
                <w:szCs w:val="32"/>
              </w:rPr>
              <w:t>可能引发的风险</w:t>
            </w:r>
          </w:p>
        </w:tc>
        <w:tc>
          <w:tcPr>
            <w:tcW w:w="3711" w:type="pct"/>
          </w:tcPr>
          <w:p>
            <w:pPr>
              <w:rPr>
                <w:rFonts w:ascii="仿宋" w:hAnsi="仿宋" w:eastAsia="仿宋"/>
                <w:b/>
                <w:sz w:val="32"/>
                <w:szCs w:val="32"/>
              </w:rPr>
            </w:pPr>
            <w:r>
              <w:rPr>
                <w:rFonts w:hint="eastAsia" w:ascii="仿宋" w:hAnsi="仿宋" w:eastAsia="仿宋"/>
                <w:bCs/>
                <w:sz w:val="32"/>
                <w:szCs w:val="32"/>
              </w:rPr>
              <w:t>数据存储存在风险</w:t>
            </w:r>
          </w:p>
        </w:tc>
      </w:tr>
    </w:tbl>
    <w:p>
      <w:pPr>
        <w:pStyle w:val="3"/>
        <w:numPr>
          <w:ilvl w:val="1"/>
          <w:numId w:val="1"/>
        </w:numPr>
      </w:pPr>
      <w:bookmarkStart w:id="32" w:name="_Toc513621558"/>
      <w:r>
        <w:rPr>
          <w:rFonts w:hint="eastAsia"/>
        </w:rPr>
        <w:t>企业</w:t>
      </w:r>
      <w:r>
        <w:t>整改建议及落实情况</w:t>
      </w:r>
      <w:bookmarkEnd w:id="32"/>
    </w:p>
    <w:p>
      <w:pPr>
        <w:pStyle w:val="4"/>
        <w:numPr>
          <w:ilvl w:val="2"/>
          <w:numId w:val="1"/>
        </w:numPr>
      </w:pPr>
      <w:bookmarkStart w:id="33" w:name="_Toc513621559"/>
      <w:r>
        <w:rPr>
          <w:rFonts w:hint="eastAsia"/>
        </w:rPr>
        <w:t>整改建议</w:t>
      </w:r>
      <w:bookmarkEnd w:id="33"/>
    </w:p>
    <w:p>
      <w:pPr>
        <w:ind w:firstLine="640" w:firstLineChars="200"/>
        <w:rPr>
          <w:rFonts w:ascii="仿宋" w:hAnsi="仿宋" w:eastAsia="仿宋"/>
          <w:bCs/>
          <w:sz w:val="32"/>
          <w:szCs w:val="32"/>
        </w:rPr>
      </w:pPr>
      <w:r>
        <w:rPr>
          <w:rFonts w:hint="eastAsia" w:ascii="仿宋" w:hAnsi="仿宋" w:eastAsia="仿宋"/>
          <w:bCs/>
          <w:sz w:val="32"/>
          <w:szCs w:val="32"/>
        </w:rPr>
        <w:t>针对“</w:t>
      </w:r>
      <w:r>
        <w:rPr>
          <w:rFonts w:hint="eastAsia" w:eastAsia="仿宋_GB2312"/>
          <w:sz w:val="32"/>
          <w:szCs w:val="32"/>
        </w:rPr>
        <w:t>短信营业厅</w:t>
      </w:r>
      <w:r>
        <w:rPr>
          <w:rFonts w:hint="eastAsia" w:ascii="仿宋" w:hAnsi="仿宋" w:eastAsia="仿宋"/>
          <w:bCs/>
          <w:sz w:val="32"/>
          <w:szCs w:val="32"/>
        </w:rPr>
        <w:t>”业务中存在的信息安全风险，建议企业尽快从以下方面加强信息安全保障能力建设：</w:t>
      </w:r>
    </w:p>
    <w:p>
      <w:pPr>
        <w:pStyle w:val="28"/>
        <w:numPr>
          <w:ilvl w:val="0"/>
          <w:numId w:val="7"/>
        </w:numPr>
        <w:ind w:left="0" w:firstLine="640"/>
        <w:rPr>
          <w:rFonts w:ascii="仿宋" w:hAnsi="仿宋" w:eastAsia="仿宋"/>
          <w:bCs/>
          <w:sz w:val="32"/>
          <w:szCs w:val="32"/>
        </w:rPr>
      </w:pPr>
      <w:r>
        <w:rPr>
          <w:rFonts w:hint="eastAsia" w:ascii="仿宋" w:hAnsi="仿宋" w:eastAsia="仿宋"/>
          <w:bCs/>
          <w:sz w:val="32"/>
          <w:szCs w:val="32"/>
        </w:rPr>
        <w:t>完善业务逻辑安全管理，添加短信签名；</w:t>
      </w:r>
    </w:p>
    <w:p>
      <w:pPr>
        <w:pStyle w:val="28"/>
        <w:numPr>
          <w:ilvl w:val="0"/>
          <w:numId w:val="7"/>
        </w:numPr>
        <w:ind w:left="0" w:firstLine="640"/>
        <w:rPr>
          <w:rFonts w:ascii="仿宋" w:hAnsi="仿宋" w:eastAsia="仿宋"/>
          <w:bCs/>
          <w:sz w:val="32"/>
          <w:szCs w:val="32"/>
        </w:rPr>
      </w:pPr>
      <w:r>
        <w:rPr>
          <w:rFonts w:hint="eastAsia" w:ascii="仿宋" w:hAnsi="仿宋" w:eastAsia="仿宋"/>
          <w:bCs/>
          <w:sz w:val="32"/>
          <w:szCs w:val="32"/>
        </w:rPr>
        <w:t>加强数据存储安全，对短信模板配置前，加入审计；</w:t>
      </w:r>
    </w:p>
    <w:p>
      <w:pPr>
        <w:pStyle w:val="4"/>
        <w:numPr>
          <w:ilvl w:val="2"/>
          <w:numId w:val="1"/>
        </w:numPr>
      </w:pPr>
      <w:bookmarkStart w:id="34" w:name="_Toc513621560"/>
      <w:r>
        <w:rPr>
          <w:rFonts w:hint="eastAsia"/>
        </w:rPr>
        <w:t>整改落实情况</w:t>
      </w:r>
      <w:bookmarkEnd w:id="34"/>
    </w:p>
    <w:p>
      <w:pPr>
        <w:pStyle w:val="4"/>
        <w:numPr>
          <w:ilvl w:val="2"/>
          <w:numId w:val="1"/>
        </w:numPr>
      </w:pPr>
      <w:bookmarkStart w:id="35" w:name="_Toc513621561"/>
      <w:r>
        <w:t>安全评估</w:t>
      </w:r>
      <w:r>
        <w:rPr>
          <w:rFonts w:hint="eastAsia"/>
        </w:rPr>
        <w:t>结论</w:t>
      </w:r>
      <w:bookmarkEnd w:id="35"/>
    </w:p>
    <w:p>
      <w:pPr>
        <w:pStyle w:val="28"/>
        <w:widowControl/>
        <w:ind w:firstLine="640"/>
        <w:rPr>
          <w:rFonts w:hint="eastAsia" w:ascii="inherit" w:hAnsi="inherit" w:cs="宋体"/>
          <w:color w:val="000000"/>
          <w:kern w:val="0"/>
          <w:sz w:val="24"/>
        </w:rPr>
      </w:pPr>
      <w:r>
        <w:rPr>
          <w:rFonts w:hint="eastAsia" w:ascii="仿宋_GB2312" w:hAnsi="Arial" w:eastAsia="仿宋_GB2312" w:cs="Arial"/>
          <w:sz w:val="32"/>
          <w:szCs w:val="32"/>
        </w:rPr>
        <w:t>综上，针对“</w:t>
      </w:r>
      <w:r>
        <w:rPr>
          <w:rFonts w:hint="eastAsia" w:eastAsia="仿宋_GB2312"/>
          <w:sz w:val="32"/>
          <w:szCs w:val="32"/>
        </w:rPr>
        <w:t>短信营业厅</w:t>
      </w:r>
      <w:r>
        <w:rPr>
          <w:rFonts w:hint="eastAsia" w:ascii="仿宋_GB2312" w:hAnsi="Arial" w:eastAsia="仿宋_GB2312" w:cs="Arial"/>
          <w:sz w:val="32"/>
          <w:szCs w:val="32"/>
        </w:rPr>
        <w:t>”业务安全风险，河南电信在业务运行、数据安全等方面总体保障措施较好，但在业务逻辑安全管理、数据存储方面存在薄弱环节，无法很好的匹配业务中的风险，建议企业进行整改完善。</w:t>
      </w:r>
    </w:p>
    <w:p/>
    <w:p>
      <w:pPr>
        <w:pStyle w:val="3"/>
        <w:numPr>
          <w:ilvl w:val="1"/>
          <w:numId w:val="1"/>
        </w:numPr>
      </w:pPr>
      <w:bookmarkStart w:id="36" w:name="_Toc513621562"/>
      <w:r>
        <w:rPr>
          <w:rFonts w:hint="eastAsia"/>
        </w:rPr>
        <w:t>同类业务的监管建议</w:t>
      </w:r>
      <w:bookmarkEnd w:id="36"/>
    </w:p>
    <w:p>
      <w:pPr>
        <w:pStyle w:val="28"/>
        <w:widowControl/>
        <w:ind w:firstLine="640"/>
      </w:pPr>
      <w:r>
        <w:rPr>
          <w:rFonts w:hint="eastAsia" w:ascii="仿宋_GB2312" w:hAnsi="Arial" w:eastAsia="仿宋_GB2312" w:cs="Arial"/>
          <w:sz w:val="32"/>
          <w:szCs w:val="32"/>
        </w:rPr>
        <w:t>针对“短信营业厅”同类业务，建议在业务逻辑安全管理、数据存储方面加强管理和技术防护，确保相关保障措施与网络信息安全风险匹配，业务整体安全风险可控。</w:t>
      </w:r>
    </w:p>
    <w:bookmarkEnd w:id="29"/>
    <w:p>
      <w:pPr>
        <w:pStyle w:val="3"/>
        <w:numPr>
          <w:ilvl w:val="1"/>
          <w:numId w:val="1"/>
        </w:numPr>
      </w:pPr>
      <w:bookmarkStart w:id="37" w:name="_Toc465263830"/>
      <w:bookmarkStart w:id="38" w:name="_Toc513621563"/>
      <w:r>
        <w:rPr>
          <w:rFonts w:hint="eastAsia"/>
        </w:rPr>
        <w:t>评估结果签字确认</w:t>
      </w:r>
      <w:bookmarkEnd w:id="37"/>
      <w:bookmarkEnd w:id="38"/>
    </w:p>
    <w:tbl>
      <w:tblPr>
        <w:tblStyle w:val="2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b/>
                <w:kern w:val="0"/>
                <w:sz w:val="32"/>
                <w:szCs w:val="32"/>
              </w:rPr>
            </w:pPr>
            <w:r>
              <w:rPr>
                <w:rFonts w:hint="eastAsia" w:ascii="仿宋" w:hAnsi="仿宋" w:eastAsia="仿宋" w:cs="仿宋_GB2312"/>
                <w:b/>
                <w:kern w:val="0"/>
                <w:sz w:val="32"/>
                <w:szCs w:val="32"/>
              </w:rPr>
              <w:t>姓名</w:t>
            </w:r>
          </w:p>
        </w:tc>
        <w:tc>
          <w:tcPr>
            <w:tcW w:w="1705" w:type="dxa"/>
            <w:shd w:val="clear" w:color="auto" w:fill="auto"/>
          </w:tcPr>
          <w:p>
            <w:pPr>
              <w:jc w:val="center"/>
              <w:rPr>
                <w:rFonts w:ascii="仿宋" w:hAnsi="仿宋" w:eastAsia="仿宋" w:cs="仿宋_GB2312"/>
                <w:b/>
                <w:kern w:val="0"/>
                <w:sz w:val="32"/>
                <w:szCs w:val="32"/>
              </w:rPr>
            </w:pPr>
            <w:r>
              <w:rPr>
                <w:rFonts w:hint="eastAsia" w:ascii="仿宋" w:hAnsi="仿宋" w:eastAsia="仿宋" w:cs="仿宋_GB2312"/>
                <w:b/>
                <w:kern w:val="0"/>
                <w:sz w:val="32"/>
                <w:szCs w:val="32"/>
              </w:rPr>
              <w:t>部门</w:t>
            </w:r>
          </w:p>
        </w:tc>
        <w:tc>
          <w:tcPr>
            <w:tcW w:w="1706" w:type="dxa"/>
          </w:tcPr>
          <w:p>
            <w:pPr>
              <w:jc w:val="center"/>
              <w:rPr>
                <w:rFonts w:ascii="仿宋" w:hAnsi="仿宋" w:eastAsia="仿宋" w:cs="仿宋_GB2312"/>
                <w:b/>
                <w:kern w:val="0"/>
                <w:sz w:val="32"/>
                <w:szCs w:val="32"/>
              </w:rPr>
            </w:pPr>
            <w:r>
              <w:rPr>
                <w:rFonts w:hint="eastAsia" w:ascii="仿宋" w:hAnsi="仿宋" w:eastAsia="仿宋" w:cs="仿宋_GB2312"/>
                <w:b/>
                <w:kern w:val="0"/>
                <w:sz w:val="32"/>
                <w:szCs w:val="32"/>
              </w:rPr>
              <w:t>工作</w:t>
            </w:r>
            <w:r>
              <w:rPr>
                <w:rFonts w:hint="eastAsia" w:ascii="Damascus Medium" w:hAnsi="Damascus Medium" w:eastAsia="仿宋" w:cs="Damascus Medium"/>
                <w:b/>
                <w:kern w:val="0"/>
                <w:sz w:val="32"/>
                <w:szCs w:val="32"/>
              </w:rPr>
              <w:t>岗位</w:t>
            </w:r>
          </w:p>
        </w:tc>
        <w:tc>
          <w:tcPr>
            <w:tcW w:w="1706" w:type="dxa"/>
            <w:shd w:val="clear" w:color="auto" w:fill="auto"/>
          </w:tcPr>
          <w:p>
            <w:pPr>
              <w:jc w:val="center"/>
              <w:rPr>
                <w:rFonts w:ascii="仿宋" w:hAnsi="仿宋" w:eastAsia="仿宋" w:cs="仿宋_GB2312"/>
                <w:b/>
                <w:kern w:val="0"/>
                <w:sz w:val="32"/>
                <w:szCs w:val="32"/>
              </w:rPr>
            </w:pPr>
            <w:r>
              <w:rPr>
                <w:rFonts w:hint="eastAsia" w:ascii="仿宋" w:hAnsi="仿宋" w:eastAsia="仿宋" w:cs="仿宋_GB2312"/>
                <w:b/>
                <w:kern w:val="0"/>
                <w:sz w:val="32"/>
                <w:szCs w:val="32"/>
              </w:rPr>
              <w:t>联系</w:t>
            </w:r>
            <w:r>
              <w:rPr>
                <w:rFonts w:ascii="仿宋" w:hAnsi="仿宋" w:eastAsia="仿宋" w:cs="仿宋_GB2312"/>
                <w:b/>
                <w:kern w:val="0"/>
                <w:sz w:val="32"/>
                <w:szCs w:val="32"/>
              </w:rPr>
              <w:t>电话</w:t>
            </w:r>
          </w:p>
        </w:tc>
        <w:tc>
          <w:tcPr>
            <w:tcW w:w="1706" w:type="dxa"/>
            <w:shd w:val="clear" w:color="auto" w:fill="auto"/>
          </w:tcPr>
          <w:p>
            <w:pPr>
              <w:jc w:val="center"/>
              <w:rPr>
                <w:rFonts w:ascii="仿宋" w:hAnsi="仿宋" w:eastAsia="仿宋" w:cs="仿宋_GB2312"/>
                <w:b/>
                <w:kern w:val="0"/>
                <w:sz w:val="32"/>
                <w:szCs w:val="32"/>
              </w:rPr>
            </w:pPr>
            <w:r>
              <w:rPr>
                <w:rFonts w:hint="eastAsia" w:ascii="仿宋" w:hAnsi="仿宋" w:eastAsia="仿宋" w:cs="仿宋_GB2312"/>
                <w:b/>
                <w:kern w:val="0"/>
                <w:sz w:val="32"/>
                <w:szCs w:val="32"/>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kern w:val="0"/>
                <w:sz w:val="32"/>
                <w:szCs w:val="32"/>
              </w:rPr>
            </w:pPr>
          </w:p>
        </w:tc>
        <w:tc>
          <w:tcPr>
            <w:tcW w:w="1705" w:type="dxa"/>
            <w:shd w:val="clear" w:color="auto" w:fill="auto"/>
          </w:tcPr>
          <w:p>
            <w:pPr>
              <w:jc w:val="center"/>
              <w:rPr>
                <w:rFonts w:ascii="仿宋" w:hAnsi="仿宋" w:eastAsia="仿宋" w:cs="仿宋_GB2312"/>
                <w:kern w:val="0"/>
                <w:sz w:val="32"/>
                <w:szCs w:val="32"/>
              </w:rPr>
            </w:pPr>
          </w:p>
        </w:tc>
        <w:tc>
          <w:tcPr>
            <w:tcW w:w="1706" w:type="dxa"/>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kern w:val="0"/>
                <w:sz w:val="32"/>
                <w:szCs w:val="32"/>
              </w:rPr>
            </w:pPr>
          </w:p>
        </w:tc>
        <w:tc>
          <w:tcPr>
            <w:tcW w:w="1705" w:type="dxa"/>
            <w:shd w:val="clear" w:color="auto" w:fill="auto"/>
          </w:tcPr>
          <w:p>
            <w:pPr>
              <w:jc w:val="center"/>
              <w:rPr>
                <w:rFonts w:ascii="仿宋" w:hAnsi="仿宋" w:eastAsia="仿宋" w:cs="仿宋_GB2312"/>
                <w:kern w:val="0"/>
                <w:sz w:val="32"/>
                <w:szCs w:val="32"/>
              </w:rPr>
            </w:pPr>
          </w:p>
        </w:tc>
        <w:tc>
          <w:tcPr>
            <w:tcW w:w="1706" w:type="dxa"/>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kern w:val="0"/>
                <w:sz w:val="32"/>
                <w:szCs w:val="32"/>
              </w:rPr>
            </w:pPr>
          </w:p>
        </w:tc>
        <w:tc>
          <w:tcPr>
            <w:tcW w:w="1705" w:type="dxa"/>
            <w:shd w:val="clear" w:color="auto" w:fill="auto"/>
          </w:tcPr>
          <w:p>
            <w:pPr>
              <w:jc w:val="center"/>
              <w:rPr>
                <w:rFonts w:ascii="仿宋" w:hAnsi="仿宋" w:eastAsia="仿宋" w:cs="仿宋_GB2312"/>
                <w:kern w:val="0"/>
                <w:sz w:val="32"/>
                <w:szCs w:val="32"/>
              </w:rPr>
            </w:pPr>
          </w:p>
        </w:tc>
        <w:tc>
          <w:tcPr>
            <w:tcW w:w="1706" w:type="dxa"/>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kern w:val="0"/>
                <w:sz w:val="32"/>
                <w:szCs w:val="32"/>
              </w:rPr>
            </w:pPr>
          </w:p>
        </w:tc>
        <w:tc>
          <w:tcPr>
            <w:tcW w:w="1705" w:type="dxa"/>
            <w:shd w:val="clear" w:color="auto" w:fill="auto"/>
          </w:tcPr>
          <w:p>
            <w:pPr>
              <w:jc w:val="center"/>
              <w:rPr>
                <w:rFonts w:ascii="仿宋" w:hAnsi="仿宋" w:eastAsia="仿宋" w:cs="仿宋_GB2312"/>
                <w:kern w:val="0"/>
                <w:sz w:val="32"/>
                <w:szCs w:val="32"/>
              </w:rPr>
            </w:pPr>
          </w:p>
        </w:tc>
        <w:tc>
          <w:tcPr>
            <w:tcW w:w="1706" w:type="dxa"/>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shd w:val="clear" w:color="auto" w:fill="auto"/>
          </w:tcPr>
          <w:p>
            <w:pPr>
              <w:jc w:val="center"/>
              <w:rPr>
                <w:rFonts w:ascii="仿宋" w:hAnsi="仿宋" w:eastAsia="仿宋" w:cs="仿宋_GB2312"/>
                <w:kern w:val="0"/>
                <w:sz w:val="32"/>
                <w:szCs w:val="32"/>
              </w:rPr>
            </w:pPr>
          </w:p>
        </w:tc>
        <w:tc>
          <w:tcPr>
            <w:tcW w:w="1705" w:type="dxa"/>
            <w:shd w:val="clear" w:color="auto" w:fill="auto"/>
          </w:tcPr>
          <w:p>
            <w:pPr>
              <w:jc w:val="center"/>
              <w:rPr>
                <w:rFonts w:ascii="仿宋" w:hAnsi="仿宋" w:eastAsia="仿宋" w:cs="仿宋_GB2312"/>
                <w:kern w:val="0"/>
                <w:sz w:val="32"/>
                <w:szCs w:val="32"/>
              </w:rPr>
            </w:pPr>
          </w:p>
        </w:tc>
        <w:tc>
          <w:tcPr>
            <w:tcW w:w="1706" w:type="dxa"/>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c>
          <w:tcPr>
            <w:tcW w:w="1706" w:type="dxa"/>
            <w:shd w:val="clear" w:color="auto" w:fill="auto"/>
          </w:tcPr>
          <w:p>
            <w:pPr>
              <w:jc w:val="center"/>
              <w:rPr>
                <w:rFonts w:ascii="仿宋" w:hAnsi="仿宋" w:eastAsia="仿宋" w:cs="仿宋_GB2312"/>
                <w:kern w:val="0"/>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40" w:hRule="atLeast"/>
        </w:trPr>
        <w:tc>
          <w:tcPr>
            <w:tcW w:w="8528" w:type="dxa"/>
            <w:gridSpan w:val="5"/>
            <w:shd w:val="clear" w:color="auto" w:fill="auto"/>
          </w:tcPr>
          <w:p>
            <w:pPr>
              <w:jc w:val="left"/>
              <w:rPr>
                <w:rFonts w:ascii="仿宋" w:hAnsi="仿宋" w:eastAsia="仿宋" w:cs="仿宋_GB2312"/>
                <w:kern w:val="0"/>
                <w:sz w:val="32"/>
                <w:szCs w:val="32"/>
              </w:rPr>
            </w:pPr>
          </w:p>
          <w:p>
            <w:pPr>
              <w:jc w:val="left"/>
              <w:rPr>
                <w:rFonts w:ascii="仿宋" w:hAnsi="仿宋" w:eastAsia="仿宋" w:cs="仿宋_GB2312"/>
                <w:kern w:val="0"/>
                <w:sz w:val="32"/>
                <w:szCs w:val="32"/>
              </w:rPr>
            </w:pPr>
            <w:r>
              <w:rPr>
                <w:rFonts w:hint="eastAsia" w:ascii="仿宋" w:hAnsi="仿宋" w:eastAsia="仿宋" w:cs="仿宋_GB2312"/>
                <w:kern w:val="0"/>
                <w:sz w:val="32"/>
                <w:szCs w:val="32"/>
              </w:rPr>
              <w:t>审核人：</w:t>
            </w:r>
          </w:p>
          <w:p>
            <w:pPr>
              <w:jc w:val="left"/>
              <w:rPr>
                <w:rFonts w:ascii="仿宋" w:hAnsi="仿宋" w:eastAsia="仿宋" w:cs="仿宋_GB2312"/>
                <w:kern w:val="0"/>
                <w:sz w:val="32"/>
                <w:szCs w:val="32"/>
              </w:rPr>
            </w:pPr>
          </w:p>
          <w:p>
            <w:pPr>
              <w:jc w:val="left"/>
              <w:rPr>
                <w:rFonts w:ascii="仿宋" w:hAnsi="仿宋" w:eastAsia="仿宋" w:cs="仿宋_GB2312"/>
                <w:kern w:val="0"/>
                <w:sz w:val="32"/>
                <w:szCs w:val="32"/>
              </w:rPr>
            </w:pPr>
            <w:r>
              <w:rPr>
                <w:rFonts w:ascii="仿宋" w:hAnsi="仿宋" w:eastAsia="仿宋" w:cs="仿宋_GB2312"/>
                <w:kern w:val="0"/>
                <w:sz w:val="32"/>
                <w:szCs w:val="32"/>
              </w:rPr>
              <w:t>复核人</w:t>
            </w:r>
            <w:r>
              <w:rPr>
                <w:rFonts w:hint="eastAsia" w:ascii="仿宋" w:hAnsi="仿宋" w:eastAsia="仿宋" w:cs="仿宋_GB2312"/>
                <w:kern w:val="0"/>
                <w:sz w:val="32"/>
                <w:szCs w:val="32"/>
              </w:rPr>
              <w:t>：</w:t>
            </w:r>
          </w:p>
        </w:tc>
      </w:tr>
    </w:tbl>
    <w:p/>
    <w:p>
      <w:pPr>
        <w:pStyle w:val="25"/>
        <w:spacing w:before="0"/>
        <w:jc w:val="both"/>
      </w:pPr>
    </w:p>
    <w:sectPr>
      <w:headerReference r:id="rId3" w:type="default"/>
      <w:footerReference r:id="rId4" w:type="default"/>
      <w:pgSz w:w="11906" w:h="16838"/>
      <w:pgMar w:top="1440" w:right="128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KW"/>
    <w:panose1 w:val="020B0503020204020204"/>
    <w:charset w:val="86"/>
    <w:family w:val="swiss"/>
    <w:pitch w:val="default"/>
    <w:sig w:usb0="00000000" w:usb1="00000000" w:usb2="00000016" w:usb3="00000000" w:csb0="0004001F" w:csb1="00000000"/>
  </w:font>
  <w:font w:name="方正小标宋简体">
    <w:altName w:val="汉仪书宋二KW"/>
    <w:panose1 w:val="00000000000000000000"/>
    <w:charset w:val="86"/>
    <w:family w:val="script"/>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仿宋">
    <w:altName w:val="汉仪仿宋KW"/>
    <w:panose1 w:val="02010609060101010101"/>
    <w:charset w:val="86"/>
    <w:family w:val="modern"/>
    <w:pitch w:val="default"/>
    <w:sig w:usb0="00000000" w:usb1="00000000" w:usb2="00000016" w:usb3="00000000" w:csb0="00040001" w:csb1="00000000"/>
  </w:font>
  <w:font w:name="inherit">
    <w:altName w:val="苹方-简"/>
    <w:panose1 w:val="00000000000000000000"/>
    <w:charset w:val="00"/>
    <w:family w:val="roman"/>
    <w:pitch w:val="default"/>
    <w:sig w:usb0="00000000" w:usb1="00000000" w:usb2="00000000" w:usb3="00000000" w:csb0="00000000" w:csb1="00000000"/>
  </w:font>
  <w:font w:name="Damascus Medium">
    <w:altName w:val="苹方-简"/>
    <w:panose1 w:val="00000000000000000000"/>
    <w:charset w:val="00"/>
    <w:family w:val="auto"/>
    <w:pitch w:val="default"/>
    <w:sig w:usb0="00000000" w:usb1="0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2296440"/>
    </w:sdtPr>
    <w:sdtContent>
      <w:sdt>
        <w:sdtPr>
          <w:id w:val="0"/>
        </w:sdtPr>
        <w:sdtContent>
          <w:p>
            <w:pPr>
              <w:pStyle w:val="14"/>
              <w:ind w:right="180"/>
              <w:jc w:val="right"/>
            </w:pPr>
            <w:r>
              <w:rPr>
                <w:b/>
                <w:bCs/>
                <w:sz w:val="24"/>
                <w:szCs w:val="24"/>
              </w:rPr>
              <w:fldChar w:fldCharType="begin"/>
            </w:r>
            <w:r>
              <w:rPr>
                <w:b/>
                <w:bCs/>
              </w:rPr>
              <w:instrText xml:space="preserve">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both"/>
    </w:pPr>
    <w:r>
      <w:rPr>
        <w:rFonts w:hint="eastAsia"/>
      </w:rPr>
      <w:t>中国电信互联网新业务安全评估报告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1FABD8"/>
    <w:multiLevelType w:val="singleLevel"/>
    <w:tmpl w:val="A01FABD8"/>
    <w:lvl w:ilvl="0" w:tentative="0">
      <w:start w:val="1"/>
      <w:numFmt w:val="decimal"/>
      <w:suff w:val="nothing"/>
      <w:lvlText w:val="%1、"/>
      <w:lvlJc w:val="left"/>
    </w:lvl>
  </w:abstractNum>
  <w:abstractNum w:abstractNumId="1">
    <w:nsid w:val="A4C87CD1"/>
    <w:multiLevelType w:val="singleLevel"/>
    <w:tmpl w:val="A4C87CD1"/>
    <w:lvl w:ilvl="0" w:tentative="0">
      <w:start w:val="1"/>
      <w:numFmt w:val="decimal"/>
      <w:suff w:val="nothing"/>
      <w:lvlText w:val="（%1）"/>
      <w:lvlJc w:val="left"/>
      <w:pPr>
        <w:ind w:left="0" w:firstLine="0"/>
      </w:pPr>
      <w:rPr>
        <w:rFonts w:hint="eastAsia"/>
      </w:rPr>
    </w:lvl>
  </w:abstractNum>
  <w:abstractNum w:abstractNumId="2">
    <w:nsid w:val="C60C50DB"/>
    <w:multiLevelType w:val="singleLevel"/>
    <w:tmpl w:val="C60C50DB"/>
    <w:lvl w:ilvl="0" w:tentative="0">
      <w:start w:val="1"/>
      <w:numFmt w:val="decimal"/>
      <w:suff w:val="nothing"/>
      <w:lvlText w:val="%1、"/>
      <w:lvlJc w:val="left"/>
      <w:pPr>
        <w:tabs>
          <w:tab w:val="left" w:pos="2552"/>
        </w:tabs>
      </w:pPr>
      <w:rPr>
        <w:rFonts w:hint="default" w:eastAsia="仿宋_GB2312"/>
        <w:sz w:val="32"/>
      </w:rPr>
    </w:lvl>
  </w:abstractNum>
  <w:abstractNum w:abstractNumId="3">
    <w:nsid w:val="D9B55AC8"/>
    <w:multiLevelType w:val="singleLevel"/>
    <w:tmpl w:val="D9B55AC8"/>
    <w:lvl w:ilvl="0" w:tentative="0">
      <w:start w:val="1"/>
      <w:numFmt w:val="decimal"/>
      <w:lvlText w:val="%1."/>
      <w:lvlJc w:val="left"/>
      <w:pPr>
        <w:tabs>
          <w:tab w:val="left" w:pos="312"/>
        </w:tabs>
      </w:pPr>
    </w:lvl>
  </w:abstractNum>
  <w:abstractNum w:abstractNumId="4">
    <w:nsid w:val="1ADE5D4E"/>
    <w:multiLevelType w:val="multilevel"/>
    <w:tmpl w:val="1ADE5D4E"/>
    <w:lvl w:ilvl="0" w:tentative="0">
      <w:start w:val="1"/>
      <w:numFmt w:val="decimal"/>
      <w:lvlText w:val="%1."/>
      <w:lvlJc w:val="left"/>
      <w:pPr>
        <w:ind w:left="1060" w:hanging="420"/>
      </w:p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abstractNum w:abstractNumId="5">
    <w:nsid w:val="1D4A6397"/>
    <w:multiLevelType w:val="multilevel"/>
    <w:tmpl w:val="1D4A6397"/>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6">
    <w:nsid w:val="77F8420D"/>
    <w:multiLevelType w:val="multilevel"/>
    <w:tmpl w:val="77F8420D"/>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567" w:hanging="567"/>
      </w:pPr>
    </w:lvl>
    <w:lvl w:ilvl="3" w:tentative="0">
      <w:start w:val="1"/>
      <w:numFmt w:val="decimal"/>
      <w:lvlText w:val="%1.%2.%3.%4"/>
      <w:lvlJc w:val="left"/>
      <w:pPr>
        <w:ind w:left="708"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6"/>
  </w:num>
  <w:num w:numId="2">
    <w:abstractNumId w:val="5"/>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0E"/>
    <w:rsid w:val="0000116C"/>
    <w:rsid w:val="00002167"/>
    <w:rsid w:val="0000240E"/>
    <w:rsid w:val="00004283"/>
    <w:rsid w:val="00010EDA"/>
    <w:rsid w:val="000111B7"/>
    <w:rsid w:val="00014B83"/>
    <w:rsid w:val="00015743"/>
    <w:rsid w:val="000211C6"/>
    <w:rsid w:val="00021DC9"/>
    <w:rsid w:val="000222DA"/>
    <w:rsid w:val="000225F0"/>
    <w:rsid w:val="0002284E"/>
    <w:rsid w:val="00024462"/>
    <w:rsid w:val="00025D20"/>
    <w:rsid w:val="00026D47"/>
    <w:rsid w:val="0003266E"/>
    <w:rsid w:val="000329EE"/>
    <w:rsid w:val="00033909"/>
    <w:rsid w:val="00036C60"/>
    <w:rsid w:val="000433D6"/>
    <w:rsid w:val="00043BE9"/>
    <w:rsid w:val="00045BAB"/>
    <w:rsid w:val="00046189"/>
    <w:rsid w:val="000470E2"/>
    <w:rsid w:val="00047A1B"/>
    <w:rsid w:val="00052074"/>
    <w:rsid w:val="00052C1F"/>
    <w:rsid w:val="00052FF3"/>
    <w:rsid w:val="00053720"/>
    <w:rsid w:val="00054185"/>
    <w:rsid w:val="00054BD8"/>
    <w:rsid w:val="000623F4"/>
    <w:rsid w:val="000626D0"/>
    <w:rsid w:val="00062EBF"/>
    <w:rsid w:val="000665CD"/>
    <w:rsid w:val="00067C66"/>
    <w:rsid w:val="0007583E"/>
    <w:rsid w:val="00077497"/>
    <w:rsid w:val="00077E3D"/>
    <w:rsid w:val="00081278"/>
    <w:rsid w:val="00083345"/>
    <w:rsid w:val="00086C61"/>
    <w:rsid w:val="00087C32"/>
    <w:rsid w:val="00087E57"/>
    <w:rsid w:val="00096F34"/>
    <w:rsid w:val="000971DD"/>
    <w:rsid w:val="00097B81"/>
    <w:rsid w:val="00097C97"/>
    <w:rsid w:val="000A37FF"/>
    <w:rsid w:val="000A4733"/>
    <w:rsid w:val="000A4A77"/>
    <w:rsid w:val="000A4F50"/>
    <w:rsid w:val="000A53DF"/>
    <w:rsid w:val="000B38CB"/>
    <w:rsid w:val="000B438C"/>
    <w:rsid w:val="000B748F"/>
    <w:rsid w:val="000C1E17"/>
    <w:rsid w:val="000C332A"/>
    <w:rsid w:val="000C4F49"/>
    <w:rsid w:val="000C5499"/>
    <w:rsid w:val="000C6D8A"/>
    <w:rsid w:val="000C700B"/>
    <w:rsid w:val="000C7E58"/>
    <w:rsid w:val="000D4DD6"/>
    <w:rsid w:val="000D5740"/>
    <w:rsid w:val="000D60AC"/>
    <w:rsid w:val="000D6E2C"/>
    <w:rsid w:val="000D76B7"/>
    <w:rsid w:val="000E00B4"/>
    <w:rsid w:val="000E2EBB"/>
    <w:rsid w:val="000E3559"/>
    <w:rsid w:val="000E5099"/>
    <w:rsid w:val="000E553D"/>
    <w:rsid w:val="000F0B7D"/>
    <w:rsid w:val="000F1554"/>
    <w:rsid w:val="000F50F1"/>
    <w:rsid w:val="000F75EF"/>
    <w:rsid w:val="000F78F9"/>
    <w:rsid w:val="000F7AA1"/>
    <w:rsid w:val="00100E22"/>
    <w:rsid w:val="00103978"/>
    <w:rsid w:val="00110512"/>
    <w:rsid w:val="00112522"/>
    <w:rsid w:val="00112878"/>
    <w:rsid w:val="001129A3"/>
    <w:rsid w:val="0011338F"/>
    <w:rsid w:val="001136B8"/>
    <w:rsid w:val="00114A34"/>
    <w:rsid w:val="00120730"/>
    <w:rsid w:val="00120ABD"/>
    <w:rsid w:val="00122BF0"/>
    <w:rsid w:val="00132E25"/>
    <w:rsid w:val="0013381D"/>
    <w:rsid w:val="0013567B"/>
    <w:rsid w:val="00135BD7"/>
    <w:rsid w:val="00135D86"/>
    <w:rsid w:val="00140A31"/>
    <w:rsid w:val="0014406A"/>
    <w:rsid w:val="00144393"/>
    <w:rsid w:val="00144871"/>
    <w:rsid w:val="001455B2"/>
    <w:rsid w:val="00146FB9"/>
    <w:rsid w:val="001473EF"/>
    <w:rsid w:val="00147848"/>
    <w:rsid w:val="001507EC"/>
    <w:rsid w:val="00154307"/>
    <w:rsid w:val="00164210"/>
    <w:rsid w:val="001647D4"/>
    <w:rsid w:val="00164A09"/>
    <w:rsid w:val="00165385"/>
    <w:rsid w:val="00165A11"/>
    <w:rsid w:val="00167C9B"/>
    <w:rsid w:val="00170EEA"/>
    <w:rsid w:val="00172012"/>
    <w:rsid w:val="0017271C"/>
    <w:rsid w:val="001836CB"/>
    <w:rsid w:val="00184197"/>
    <w:rsid w:val="0018553E"/>
    <w:rsid w:val="00185748"/>
    <w:rsid w:val="00190C1C"/>
    <w:rsid w:val="0019139A"/>
    <w:rsid w:val="001922EE"/>
    <w:rsid w:val="0019346B"/>
    <w:rsid w:val="00195F74"/>
    <w:rsid w:val="00196DC0"/>
    <w:rsid w:val="001972D2"/>
    <w:rsid w:val="001A32AC"/>
    <w:rsid w:val="001A59AA"/>
    <w:rsid w:val="001A71DF"/>
    <w:rsid w:val="001A792F"/>
    <w:rsid w:val="001B1060"/>
    <w:rsid w:val="001B113C"/>
    <w:rsid w:val="001B159B"/>
    <w:rsid w:val="001B1F67"/>
    <w:rsid w:val="001B419F"/>
    <w:rsid w:val="001B61C6"/>
    <w:rsid w:val="001C474E"/>
    <w:rsid w:val="001C6B19"/>
    <w:rsid w:val="001C7200"/>
    <w:rsid w:val="001C7D1B"/>
    <w:rsid w:val="001D0A7D"/>
    <w:rsid w:val="001D6605"/>
    <w:rsid w:val="001E0399"/>
    <w:rsid w:val="001E12A6"/>
    <w:rsid w:val="001E2B21"/>
    <w:rsid w:val="001E62A2"/>
    <w:rsid w:val="001F259D"/>
    <w:rsid w:val="001F3A58"/>
    <w:rsid w:val="001F3D17"/>
    <w:rsid w:val="001F492A"/>
    <w:rsid w:val="001F6820"/>
    <w:rsid w:val="001F6FBB"/>
    <w:rsid w:val="001F73BD"/>
    <w:rsid w:val="00202D00"/>
    <w:rsid w:val="002054FA"/>
    <w:rsid w:val="00206816"/>
    <w:rsid w:val="00207140"/>
    <w:rsid w:val="00212C46"/>
    <w:rsid w:val="002148B0"/>
    <w:rsid w:val="00215D49"/>
    <w:rsid w:val="002200EA"/>
    <w:rsid w:val="00222615"/>
    <w:rsid w:val="002229C4"/>
    <w:rsid w:val="00223E22"/>
    <w:rsid w:val="002243BF"/>
    <w:rsid w:val="002258A1"/>
    <w:rsid w:val="00225D0E"/>
    <w:rsid w:val="00225F8B"/>
    <w:rsid w:val="00226A47"/>
    <w:rsid w:val="0023431B"/>
    <w:rsid w:val="00240EBB"/>
    <w:rsid w:val="00241D14"/>
    <w:rsid w:val="002467BF"/>
    <w:rsid w:val="00247CA2"/>
    <w:rsid w:val="0025124C"/>
    <w:rsid w:val="002572A9"/>
    <w:rsid w:val="002610FA"/>
    <w:rsid w:val="002617C5"/>
    <w:rsid w:val="0026526F"/>
    <w:rsid w:val="00265B11"/>
    <w:rsid w:val="00265D37"/>
    <w:rsid w:val="00270380"/>
    <w:rsid w:val="00271394"/>
    <w:rsid w:val="002758D6"/>
    <w:rsid w:val="00276614"/>
    <w:rsid w:val="00277666"/>
    <w:rsid w:val="002777D6"/>
    <w:rsid w:val="0028723F"/>
    <w:rsid w:val="002909B2"/>
    <w:rsid w:val="002919BA"/>
    <w:rsid w:val="00293FED"/>
    <w:rsid w:val="0029408A"/>
    <w:rsid w:val="00294A14"/>
    <w:rsid w:val="0029761E"/>
    <w:rsid w:val="00297A4F"/>
    <w:rsid w:val="002A079D"/>
    <w:rsid w:val="002A110B"/>
    <w:rsid w:val="002A3F2F"/>
    <w:rsid w:val="002A629F"/>
    <w:rsid w:val="002B1369"/>
    <w:rsid w:val="002B6186"/>
    <w:rsid w:val="002B63E2"/>
    <w:rsid w:val="002C001B"/>
    <w:rsid w:val="002C0D8A"/>
    <w:rsid w:val="002C12F9"/>
    <w:rsid w:val="002C1A69"/>
    <w:rsid w:val="002C3AED"/>
    <w:rsid w:val="002C4DB6"/>
    <w:rsid w:val="002C577E"/>
    <w:rsid w:val="002D06EA"/>
    <w:rsid w:val="002D1492"/>
    <w:rsid w:val="002D3480"/>
    <w:rsid w:val="002D7189"/>
    <w:rsid w:val="002E018A"/>
    <w:rsid w:val="002E1835"/>
    <w:rsid w:val="002E32B6"/>
    <w:rsid w:val="002E5609"/>
    <w:rsid w:val="002E6124"/>
    <w:rsid w:val="002E6F31"/>
    <w:rsid w:val="002F0875"/>
    <w:rsid w:val="002F1445"/>
    <w:rsid w:val="002F19D2"/>
    <w:rsid w:val="002F4C71"/>
    <w:rsid w:val="002F500F"/>
    <w:rsid w:val="00301F26"/>
    <w:rsid w:val="00302641"/>
    <w:rsid w:val="003033D1"/>
    <w:rsid w:val="00303CFC"/>
    <w:rsid w:val="00304B21"/>
    <w:rsid w:val="00304CB7"/>
    <w:rsid w:val="00305275"/>
    <w:rsid w:val="0030767D"/>
    <w:rsid w:val="00310E45"/>
    <w:rsid w:val="0031366D"/>
    <w:rsid w:val="00314302"/>
    <w:rsid w:val="00314580"/>
    <w:rsid w:val="003175D9"/>
    <w:rsid w:val="00320C15"/>
    <w:rsid w:val="00323B1F"/>
    <w:rsid w:val="00325E52"/>
    <w:rsid w:val="0032604F"/>
    <w:rsid w:val="0033067A"/>
    <w:rsid w:val="00333ECD"/>
    <w:rsid w:val="0033526C"/>
    <w:rsid w:val="00342AE8"/>
    <w:rsid w:val="00344287"/>
    <w:rsid w:val="0034512C"/>
    <w:rsid w:val="0035173E"/>
    <w:rsid w:val="003517BE"/>
    <w:rsid w:val="00351E10"/>
    <w:rsid w:val="00352CD7"/>
    <w:rsid w:val="00353FF8"/>
    <w:rsid w:val="00355082"/>
    <w:rsid w:val="003566E4"/>
    <w:rsid w:val="00357BE5"/>
    <w:rsid w:val="00360FC4"/>
    <w:rsid w:val="003646EB"/>
    <w:rsid w:val="0036537D"/>
    <w:rsid w:val="00366030"/>
    <w:rsid w:val="003676E4"/>
    <w:rsid w:val="003679FC"/>
    <w:rsid w:val="00372A3D"/>
    <w:rsid w:val="00375258"/>
    <w:rsid w:val="00377F9E"/>
    <w:rsid w:val="00381FC3"/>
    <w:rsid w:val="00382F2D"/>
    <w:rsid w:val="00386EB6"/>
    <w:rsid w:val="00387112"/>
    <w:rsid w:val="003949A8"/>
    <w:rsid w:val="00394C15"/>
    <w:rsid w:val="003A00ED"/>
    <w:rsid w:val="003A315E"/>
    <w:rsid w:val="003A3A7D"/>
    <w:rsid w:val="003A476C"/>
    <w:rsid w:val="003A678E"/>
    <w:rsid w:val="003A6EB7"/>
    <w:rsid w:val="003A7DF6"/>
    <w:rsid w:val="003A7EA1"/>
    <w:rsid w:val="003B3B3E"/>
    <w:rsid w:val="003B4F43"/>
    <w:rsid w:val="003B5EB2"/>
    <w:rsid w:val="003C1D98"/>
    <w:rsid w:val="003D2784"/>
    <w:rsid w:val="003D3D3A"/>
    <w:rsid w:val="003D5A49"/>
    <w:rsid w:val="003D61DF"/>
    <w:rsid w:val="003D6FAA"/>
    <w:rsid w:val="003D77D3"/>
    <w:rsid w:val="003D7CA9"/>
    <w:rsid w:val="003E1359"/>
    <w:rsid w:val="003E1426"/>
    <w:rsid w:val="003E1681"/>
    <w:rsid w:val="003E32D7"/>
    <w:rsid w:val="003E7EE9"/>
    <w:rsid w:val="003F2F96"/>
    <w:rsid w:val="003F5F92"/>
    <w:rsid w:val="003F64EC"/>
    <w:rsid w:val="00400AC0"/>
    <w:rsid w:val="0040165D"/>
    <w:rsid w:val="004024C6"/>
    <w:rsid w:val="004050D8"/>
    <w:rsid w:val="00407E7D"/>
    <w:rsid w:val="0042436C"/>
    <w:rsid w:val="00425D43"/>
    <w:rsid w:val="00427C11"/>
    <w:rsid w:val="00433512"/>
    <w:rsid w:val="00434C21"/>
    <w:rsid w:val="004374FC"/>
    <w:rsid w:val="00437F04"/>
    <w:rsid w:val="004411A9"/>
    <w:rsid w:val="00442681"/>
    <w:rsid w:val="00443749"/>
    <w:rsid w:val="00445BB3"/>
    <w:rsid w:val="00445CEE"/>
    <w:rsid w:val="00445D96"/>
    <w:rsid w:val="004465A5"/>
    <w:rsid w:val="00446C48"/>
    <w:rsid w:val="00450314"/>
    <w:rsid w:val="0045189C"/>
    <w:rsid w:val="00454294"/>
    <w:rsid w:val="004616A8"/>
    <w:rsid w:val="00463875"/>
    <w:rsid w:val="00464839"/>
    <w:rsid w:val="004649FD"/>
    <w:rsid w:val="004674A0"/>
    <w:rsid w:val="00470620"/>
    <w:rsid w:val="0047144B"/>
    <w:rsid w:val="0047298D"/>
    <w:rsid w:val="004739BD"/>
    <w:rsid w:val="00474937"/>
    <w:rsid w:val="0048324E"/>
    <w:rsid w:val="00484C79"/>
    <w:rsid w:val="00485853"/>
    <w:rsid w:val="00487A6E"/>
    <w:rsid w:val="00487AF1"/>
    <w:rsid w:val="00494BC0"/>
    <w:rsid w:val="00495EBF"/>
    <w:rsid w:val="00496233"/>
    <w:rsid w:val="00496996"/>
    <w:rsid w:val="00497522"/>
    <w:rsid w:val="004A45A2"/>
    <w:rsid w:val="004A4F8E"/>
    <w:rsid w:val="004A5A0B"/>
    <w:rsid w:val="004A6DD0"/>
    <w:rsid w:val="004B087E"/>
    <w:rsid w:val="004B12B3"/>
    <w:rsid w:val="004B1A39"/>
    <w:rsid w:val="004B2DFA"/>
    <w:rsid w:val="004B51CB"/>
    <w:rsid w:val="004B5589"/>
    <w:rsid w:val="004B58B6"/>
    <w:rsid w:val="004C171C"/>
    <w:rsid w:val="004C3004"/>
    <w:rsid w:val="004C3252"/>
    <w:rsid w:val="004C3B6D"/>
    <w:rsid w:val="004C3E35"/>
    <w:rsid w:val="004D35D9"/>
    <w:rsid w:val="004D3F39"/>
    <w:rsid w:val="004D4983"/>
    <w:rsid w:val="004D506F"/>
    <w:rsid w:val="004D5287"/>
    <w:rsid w:val="004D6C81"/>
    <w:rsid w:val="004E0032"/>
    <w:rsid w:val="004E010B"/>
    <w:rsid w:val="004E433F"/>
    <w:rsid w:val="004E577E"/>
    <w:rsid w:val="004E790F"/>
    <w:rsid w:val="004F04A3"/>
    <w:rsid w:val="004F10AC"/>
    <w:rsid w:val="004F28DE"/>
    <w:rsid w:val="00500E2D"/>
    <w:rsid w:val="005015DE"/>
    <w:rsid w:val="00501891"/>
    <w:rsid w:val="00502664"/>
    <w:rsid w:val="0050306A"/>
    <w:rsid w:val="005044F0"/>
    <w:rsid w:val="00504784"/>
    <w:rsid w:val="005055C7"/>
    <w:rsid w:val="00505BB0"/>
    <w:rsid w:val="00505E3A"/>
    <w:rsid w:val="005108F9"/>
    <w:rsid w:val="00510916"/>
    <w:rsid w:val="005121F2"/>
    <w:rsid w:val="00513A6F"/>
    <w:rsid w:val="00515165"/>
    <w:rsid w:val="0052274A"/>
    <w:rsid w:val="00523ABB"/>
    <w:rsid w:val="00527B8B"/>
    <w:rsid w:val="005301D8"/>
    <w:rsid w:val="00532055"/>
    <w:rsid w:val="00534373"/>
    <w:rsid w:val="005357C2"/>
    <w:rsid w:val="005359CE"/>
    <w:rsid w:val="0053654E"/>
    <w:rsid w:val="005408AB"/>
    <w:rsid w:val="00541B74"/>
    <w:rsid w:val="0054335D"/>
    <w:rsid w:val="00543A38"/>
    <w:rsid w:val="00544C57"/>
    <w:rsid w:val="005455F6"/>
    <w:rsid w:val="00550D38"/>
    <w:rsid w:val="00552A9D"/>
    <w:rsid w:val="00554309"/>
    <w:rsid w:val="00554551"/>
    <w:rsid w:val="00554A2A"/>
    <w:rsid w:val="00556DA6"/>
    <w:rsid w:val="00557FD6"/>
    <w:rsid w:val="005605EC"/>
    <w:rsid w:val="00562FDA"/>
    <w:rsid w:val="00564015"/>
    <w:rsid w:val="005658BD"/>
    <w:rsid w:val="0056782F"/>
    <w:rsid w:val="00567889"/>
    <w:rsid w:val="00570A69"/>
    <w:rsid w:val="0057538E"/>
    <w:rsid w:val="005777C6"/>
    <w:rsid w:val="00584B90"/>
    <w:rsid w:val="00584C1A"/>
    <w:rsid w:val="00585C7F"/>
    <w:rsid w:val="00585CFC"/>
    <w:rsid w:val="00586374"/>
    <w:rsid w:val="00590124"/>
    <w:rsid w:val="00590C1E"/>
    <w:rsid w:val="00591A04"/>
    <w:rsid w:val="00592019"/>
    <w:rsid w:val="00593F67"/>
    <w:rsid w:val="00594016"/>
    <w:rsid w:val="005940DF"/>
    <w:rsid w:val="0059512B"/>
    <w:rsid w:val="00596AC8"/>
    <w:rsid w:val="005A0C30"/>
    <w:rsid w:val="005A21EE"/>
    <w:rsid w:val="005A3F28"/>
    <w:rsid w:val="005A56C7"/>
    <w:rsid w:val="005A733B"/>
    <w:rsid w:val="005B1550"/>
    <w:rsid w:val="005B406C"/>
    <w:rsid w:val="005B524C"/>
    <w:rsid w:val="005C01A3"/>
    <w:rsid w:val="005C060E"/>
    <w:rsid w:val="005C0EE8"/>
    <w:rsid w:val="005C1A10"/>
    <w:rsid w:val="005C3A1F"/>
    <w:rsid w:val="005C5429"/>
    <w:rsid w:val="005C787F"/>
    <w:rsid w:val="005D2DCA"/>
    <w:rsid w:val="005D3698"/>
    <w:rsid w:val="005D3D67"/>
    <w:rsid w:val="005D43D6"/>
    <w:rsid w:val="005D46A6"/>
    <w:rsid w:val="005D4833"/>
    <w:rsid w:val="005D4DD2"/>
    <w:rsid w:val="005D660B"/>
    <w:rsid w:val="005E120A"/>
    <w:rsid w:val="005E249D"/>
    <w:rsid w:val="005E3FA0"/>
    <w:rsid w:val="005E45CB"/>
    <w:rsid w:val="005E54BE"/>
    <w:rsid w:val="005E583B"/>
    <w:rsid w:val="005E5A17"/>
    <w:rsid w:val="005F010D"/>
    <w:rsid w:val="005F0AB7"/>
    <w:rsid w:val="005F0F7E"/>
    <w:rsid w:val="005F2041"/>
    <w:rsid w:val="005F333D"/>
    <w:rsid w:val="005F3968"/>
    <w:rsid w:val="005F656C"/>
    <w:rsid w:val="005F7677"/>
    <w:rsid w:val="00600D3B"/>
    <w:rsid w:val="00601CE9"/>
    <w:rsid w:val="00602CDF"/>
    <w:rsid w:val="006031B7"/>
    <w:rsid w:val="006121BF"/>
    <w:rsid w:val="0061268A"/>
    <w:rsid w:val="00616F65"/>
    <w:rsid w:val="00620553"/>
    <w:rsid w:val="00621FC8"/>
    <w:rsid w:val="00623BA9"/>
    <w:rsid w:val="00624E8D"/>
    <w:rsid w:val="006257AA"/>
    <w:rsid w:val="0062624F"/>
    <w:rsid w:val="00626657"/>
    <w:rsid w:val="00633BE7"/>
    <w:rsid w:val="006340AE"/>
    <w:rsid w:val="00634319"/>
    <w:rsid w:val="0063579D"/>
    <w:rsid w:val="0063628A"/>
    <w:rsid w:val="00641E09"/>
    <w:rsid w:val="00643823"/>
    <w:rsid w:val="00650B80"/>
    <w:rsid w:val="00651183"/>
    <w:rsid w:val="00653637"/>
    <w:rsid w:val="00654958"/>
    <w:rsid w:val="00655160"/>
    <w:rsid w:val="00655D59"/>
    <w:rsid w:val="006567E8"/>
    <w:rsid w:val="00656A7F"/>
    <w:rsid w:val="00660BA3"/>
    <w:rsid w:val="00664592"/>
    <w:rsid w:val="00665387"/>
    <w:rsid w:val="00667A86"/>
    <w:rsid w:val="006725C5"/>
    <w:rsid w:val="00674214"/>
    <w:rsid w:val="006756F6"/>
    <w:rsid w:val="00680449"/>
    <w:rsid w:val="006821A9"/>
    <w:rsid w:val="006833C7"/>
    <w:rsid w:val="006838B3"/>
    <w:rsid w:val="00684EC0"/>
    <w:rsid w:val="0069142B"/>
    <w:rsid w:val="00692ABA"/>
    <w:rsid w:val="00694796"/>
    <w:rsid w:val="00697493"/>
    <w:rsid w:val="006A1E26"/>
    <w:rsid w:val="006A2499"/>
    <w:rsid w:val="006A71FD"/>
    <w:rsid w:val="006A72A1"/>
    <w:rsid w:val="006B0E15"/>
    <w:rsid w:val="006B5778"/>
    <w:rsid w:val="006B5B43"/>
    <w:rsid w:val="006B7A08"/>
    <w:rsid w:val="006C037F"/>
    <w:rsid w:val="006C3BFF"/>
    <w:rsid w:val="006C3C05"/>
    <w:rsid w:val="006C462F"/>
    <w:rsid w:val="006C47E2"/>
    <w:rsid w:val="006C5019"/>
    <w:rsid w:val="006C583E"/>
    <w:rsid w:val="006D080F"/>
    <w:rsid w:val="006D0A41"/>
    <w:rsid w:val="006D0CFA"/>
    <w:rsid w:val="006D228D"/>
    <w:rsid w:val="006D2EC6"/>
    <w:rsid w:val="006D5168"/>
    <w:rsid w:val="006D7097"/>
    <w:rsid w:val="006E09F6"/>
    <w:rsid w:val="006E0A03"/>
    <w:rsid w:val="006E2377"/>
    <w:rsid w:val="006E4C9E"/>
    <w:rsid w:val="006E7A32"/>
    <w:rsid w:val="006F1B39"/>
    <w:rsid w:val="006F2D14"/>
    <w:rsid w:val="00703264"/>
    <w:rsid w:val="00704DE1"/>
    <w:rsid w:val="00704F60"/>
    <w:rsid w:val="007076A9"/>
    <w:rsid w:val="007116FD"/>
    <w:rsid w:val="00714B6F"/>
    <w:rsid w:val="00723A4F"/>
    <w:rsid w:val="00724084"/>
    <w:rsid w:val="00724D81"/>
    <w:rsid w:val="00726060"/>
    <w:rsid w:val="007322F3"/>
    <w:rsid w:val="00732548"/>
    <w:rsid w:val="00732FAB"/>
    <w:rsid w:val="007355EE"/>
    <w:rsid w:val="00735E62"/>
    <w:rsid w:val="00735F96"/>
    <w:rsid w:val="007409D7"/>
    <w:rsid w:val="007452BA"/>
    <w:rsid w:val="0074699E"/>
    <w:rsid w:val="00747974"/>
    <w:rsid w:val="00750874"/>
    <w:rsid w:val="00751418"/>
    <w:rsid w:val="0075418D"/>
    <w:rsid w:val="00754BBF"/>
    <w:rsid w:val="0075759E"/>
    <w:rsid w:val="007579B1"/>
    <w:rsid w:val="007608D9"/>
    <w:rsid w:val="007638B2"/>
    <w:rsid w:val="00765ACB"/>
    <w:rsid w:val="007740D7"/>
    <w:rsid w:val="00774D03"/>
    <w:rsid w:val="0078007F"/>
    <w:rsid w:val="007800C2"/>
    <w:rsid w:val="007810D7"/>
    <w:rsid w:val="007815BC"/>
    <w:rsid w:val="00785988"/>
    <w:rsid w:val="007879A3"/>
    <w:rsid w:val="007902D5"/>
    <w:rsid w:val="00790B78"/>
    <w:rsid w:val="00790DA6"/>
    <w:rsid w:val="0079135E"/>
    <w:rsid w:val="00792912"/>
    <w:rsid w:val="0079472D"/>
    <w:rsid w:val="007955E0"/>
    <w:rsid w:val="007A499E"/>
    <w:rsid w:val="007A72AB"/>
    <w:rsid w:val="007B0769"/>
    <w:rsid w:val="007B076E"/>
    <w:rsid w:val="007B246A"/>
    <w:rsid w:val="007B2FA4"/>
    <w:rsid w:val="007B6E4F"/>
    <w:rsid w:val="007C2865"/>
    <w:rsid w:val="007C5590"/>
    <w:rsid w:val="007C66C5"/>
    <w:rsid w:val="007C6C3E"/>
    <w:rsid w:val="007D30FE"/>
    <w:rsid w:val="007D6FDE"/>
    <w:rsid w:val="007E0E2E"/>
    <w:rsid w:val="007E3519"/>
    <w:rsid w:val="007E35A7"/>
    <w:rsid w:val="007E38C1"/>
    <w:rsid w:val="007E45D7"/>
    <w:rsid w:val="007E4BE9"/>
    <w:rsid w:val="007E62AC"/>
    <w:rsid w:val="007E6647"/>
    <w:rsid w:val="007F0586"/>
    <w:rsid w:val="007F07D9"/>
    <w:rsid w:val="007F0F2A"/>
    <w:rsid w:val="007F2A2A"/>
    <w:rsid w:val="007F5182"/>
    <w:rsid w:val="007F53FF"/>
    <w:rsid w:val="00801804"/>
    <w:rsid w:val="00804109"/>
    <w:rsid w:val="00807866"/>
    <w:rsid w:val="00807BEA"/>
    <w:rsid w:val="0081067D"/>
    <w:rsid w:val="00815A37"/>
    <w:rsid w:val="00815FE6"/>
    <w:rsid w:val="00822FBA"/>
    <w:rsid w:val="00825522"/>
    <w:rsid w:val="00825E9D"/>
    <w:rsid w:val="00833EFE"/>
    <w:rsid w:val="00835738"/>
    <w:rsid w:val="00837602"/>
    <w:rsid w:val="0084025E"/>
    <w:rsid w:val="008402F1"/>
    <w:rsid w:val="008406F8"/>
    <w:rsid w:val="0084094F"/>
    <w:rsid w:val="0084365D"/>
    <w:rsid w:val="008506EC"/>
    <w:rsid w:val="00852A19"/>
    <w:rsid w:val="00853487"/>
    <w:rsid w:val="00853C73"/>
    <w:rsid w:val="00853D28"/>
    <w:rsid w:val="008543F2"/>
    <w:rsid w:val="008546E4"/>
    <w:rsid w:val="00855276"/>
    <w:rsid w:val="008561FF"/>
    <w:rsid w:val="008605CA"/>
    <w:rsid w:val="008606A3"/>
    <w:rsid w:val="008609BF"/>
    <w:rsid w:val="00862D3A"/>
    <w:rsid w:val="00864D71"/>
    <w:rsid w:val="00865406"/>
    <w:rsid w:val="008662EF"/>
    <w:rsid w:val="008705C7"/>
    <w:rsid w:val="00880169"/>
    <w:rsid w:val="008870EB"/>
    <w:rsid w:val="00887C2E"/>
    <w:rsid w:val="00890EF0"/>
    <w:rsid w:val="00890FF4"/>
    <w:rsid w:val="00895279"/>
    <w:rsid w:val="008953CE"/>
    <w:rsid w:val="008A4EFE"/>
    <w:rsid w:val="008A6D96"/>
    <w:rsid w:val="008A71D3"/>
    <w:rsid w:val="008A7984"/>
    <w:rsid w:val="008B14FC"/>
    <w:rsid w:val="008B151D"/>
    <w:rsid w:val="008B1D27"/>
    <w:rsid w:val="008B2E7F"/>
    <w:rsid w:val="008C120C"/>
    <w:rsid w:val="008C35E4"/>
    <w:rsid w:val="008C48E1"/>
    <w:rsid w:val="008C7B70"/>
    <w:rsid w:val="008D1864"/>
    <w:rsid w:val="008D4312"/>
    <w:rsid w:val="008D573E"/>
    <w:rsid w:val="008E1A35"/>
    <w:rsid w:val="008E6B4E"/>
    <w:rsid w:val="008F0CB9"/>
    <w:rsid w:val="008F3BF0"/>
    <w:rsid w:val="008F5860"/>
    <w:rsid w:val="008F6246"/>
    <w:rsid w:val="008F62FC"/>
    <w:rsid w:val="008F6578"/>
    <w:rsid w:val="008F7F08"/>
    <w:rsid w:val="00902174"/>
    <w:rsid w:val="00902186"/>
    <w:rsid w:val="0090460C"/>
    <w:rsid w:val="00904B60"/>
    <w:rsid w:val="00905DCB"/>
    <w:rsid w:val="009061ED"/>
    <w:rsid w:val="0091046F"/>
    <w:rsid w:val="009151F3"/>
    <w:rsid w:val="009154D0"/>
    <w:rsid w:val="00916304"/>
    <w:rsid w:val="0092136B"/>
    <w:rsid w:val="009219D5"/>
    <w:rsid w:val="0092377D"/>
    <w:rsid w:val="00926E0C"/>
    <w:rsid w:val="0093107A"/>
    <w:rsid w:val="009317C5"/>
    <w:rsid w:val="00933D73"/>
    <w:rsid w:val="009348D2"/>
    <w:rsid w:val="00936C12"/>
    <w:rsid w:val="00941466"/>
    <w:rsid w:val="009431F8"/>
    <w:rsid w:val="00947DD2"/>
    <w:rsid w:val="00950842"/>
    <w:rsid w:val="00950B8B"/>
    <w:rsid w:val="00953AFE"/>
    <w:rsid w:val="00955228"/>
    <w:rsid w:val="0095779C"/>
    <w:rsid w:val="009612CF"/>
    <w:rsid w:val="0096389F"/>
    <w:rsid w:val="00963AD6"/>
    <w:rsid w:val="009671B9"/>
    <w:rsid w:val="00967471"/>
    <w:rsid w:val="00975589"/>
    <w:rsid w:val="0097613B"/>
    <w:rsid w:val="00976EB0"/>
    <w:rsid w:val="009778F5"/>
    <w:rsid w:val="00977DC3"/>
    <w:rsid w:val="009823A1"/>
    <w:rsid w:val="009837E7"/>
    <w:rsid w:val="00983EA1"/>
    <w:rsid w:val="00984821"/>
    <w:rsid w:val="00987C13"/>
    <w:rsid w:val="009901B5"/>
    <w:rsid w:val="00992026"/>
    <w:rsid w:val="0099212C"/>
    <w:rsid w:val="009928BF"/>
    <w:rsid w:val="0099773F"/>
    <w:rsid w:val="00997DBF"/>
    <w:rsid w:val="009A0273"/>
    <w:rsid w:val="009A3508"/>
    <w:rsid w:val="009A3BE9"/>
    <w:rsid w:val="009A795E"/>
    <w:rsid w:val="009B339B"/>
    <w:rsid w:val="009B518C"/>
    <w:rsid w:val="009B612E"/>
    <w:rsid w:val="009B72E8"/>
    <w:rsid w:val="009C0941"/>
    <w:rsid w:val="009C3394"/>
    <w:rsid w:val="009C4EC5"/>
    <w:rsid w:val="009C57F5"/>
    <w:rsid w:val="009D2675"/>
    <w:rsid w:val="009D42AE"/>
    <w:rsid w:val="009D65E9"/>
    <w:rsid w:val="009E0448"/>
    <w:rsid w:val="009E16EC"/>
    <w:rsid w:val="009E1DD7"/>
    <w:rsid w:val="009E2D7C"/>
    <w:rsid w:val="009E4961"/>
    <w:rsid w:val="009E58EC"/>
    <w:rsid w:val="009E7FB7"/>
    <w:rsid w:val="009F1B76"/>
    <w:rsid w:val="009F2126"/>
    <w:rsid w:val="009F350E"/>
    <w:rsid w:val="009F4A98"/>
    <w:rsid w:val="009F79D0"/>
    <w:rsid w:val="00A020BC"/>
    <w:rsid w:val="00A02AFC"/>
    <w:rsid w:val="00A03535"/>
    <w:rsid w:val="00A05477"/>
    <w:rsid w:val="00A06DAD"/>
    <w:rsid w:val="00A07043"/>
    <w:rsid w:val="00A078E7"/>
    <w:rsid w:val="00A11403"/>
    <w:rsid w:val="00A140A8"/>
    <w:rsid w:val="00A1453F"/>
    <w:rsid w:val="00A22A2B"/>
    <w:rsid w:val="00A25BF7"/>
    <w:rsid w:val="00A27BA2"/>
    <w:rsid w:val="00A321B0"/>
    <w:rsid w:val="00A33C8E"/>
    <w:rsid w:val="00A37F29"/>
    <w:rsid w:val="00A41CE0"/>
    <w:rsid w:val="00A44133"/>
    <w:rsid w:val="00A448D0"/>
    <w:rsid w:val="00A45995"/>
    <w:rsid w:val="00A466A3"/>
    <w:rsid w:val="00A47B37"/>
    <w:rsid w:val="00A502CA"/>
    <w:rsid w:val="00A52462"/>
    <w:rsid w:val="00A52653"/>
    <w:rsid w:val="00A5431A"/>
    <w:rsid w:val="00A56346"/>
    <w:rsid w:val="00A60122"/>
    <w:rsid w:val="00A61ADA"/>
    <w:rsid w:val="00A649FD"/>
    <w:rsid w:val="00A656E9"/>
    <w:rsid w:val="00A66D50"/>
    <w:rsid w:val="00A7019E"/>
    <w:rsid w:val="00A72596"/>
    <w:rsid w:val="00A7623C"/>
    <w:rsid w:val="00A821AA"/>
    <w:rsid w:val="00A90879"/>
    <w:rsid w:val="00A91EEF"/>
    <w:rsid w:val="00A9548C"/>
    <w:rsid w:val="00A95529"/>
    <w:rsid w:val="00A96F7B"/>
    <w:rsid w:val="00AA3284"/>
    <w:rsid w:val="00AA3EEB"/>
    <w:rsid w:val="00AA4A0E"/>
    <w:rsid w:val="00AA64CB"/>
    <w:rsid w:val="00AB1998"/>
    <w:rsid w:val="00AB252D"/>
    <w:rsid w:val="00AB3732"/>
    <w:rsid w:val="00AB4D27"/>
    <w:rsid w:val="00AC43E7"/>
    <w:rsid w:val="00AC614A"/>
    <w:rsid w:val="00AC6AF8"/>
    <w:rsid w:val="00AD1403"/>
    <w:rsid w:val="00AD4B35"/>
    <w:rsid w:val="00AE3FE0"/>
    <w:rsid w:val="00AE51B9"/>
    <w:rsid w:val="00AE70C4"/>
    <w:rsid w:val="00AE7B05"/>
    <w:rsid w:val="00AF2CD6"/>
    <w:rsid w:val="00AF63AA"/>
    <w:rsid w:val="00B0476D"/>
    <w:rsid w:val="00B047A8"/>
    <w:rsid w:val="00B05F8F"/>
    <w:rsid w:val="00B063F8"/>
    <w:rsid w:val="00B076B0"/>
    <w:rsid w:val="00B10C2E"/>
    <w:rsid w:val="00B116F3"/>
    <w:rsid w:val="00B13FC5"/>
    <w:rsid w:val="00B14448"/>
    <w:rsid w:val="00B22673"/>
    <w:rsid w:val="00B227A3"/>
    <w:rsid w:val="00B26BEC"/>
    <w:rsid w:val="00B2774B"/>
    <w:rsid w:val="00B27E5A"/>
    <w:rsid w:val="00B30895"/>
    <w:rsid w:val="00B328F5"/>
    <w:rsid w:val="00B3306E"/>
    <w:rsid w:val="00B33628"/>
    <w:rsid w:val="00B33FD4"/>
    <w:rsid w:val="00B36299"/>
    <w:rsid w:val="00B42669"/>
    <w:rsid w:val="00B4309B"/>
    <w:rsid w:val="00B5054E"/>
    <w:rsid w:val="00B548D2"/>
    <w:rsid w:val="00B60B87"/>
    <w:rsid w:val="00B62F3E"/>
    <w:rsid w:val="00B6383A"/>
    <w:rsid w:val="00B65443"/>
    <w:rsid w:val="00B65697"/>
    <w:rsid w:val="00B65DA2"/>
    <w:rsid w:val="00B6637F"/>
    <w:rsid w:val="00B667F3"/>
    <w:rsid w:val="00B70C4E"/>
    <w:rsid w:val="00B71823"/>
    <w:rsid w:val="00B72D8D"/>
    <w:rsid w:val="00B73FC3"/>
    <w:rsid w:val="00B80749"/>
    <w:rsid w:val="00B92A85"/>
    <w:rsid w:val="00B93AC2"/>
    <w:rsid w:val="00BA0C0F"/>
    <w:rsid w:val="00BA2889"/>
    <w:rsid w:val="00BA321A"/>
    <w:rsid w:val="00BA387B"/>
    <w:rsid w:val="00BA5684"/>
    <w:rsid w:val="00BA6809"/>
    <w:rsid w:val="00BA6F80"/>
    <w:rsid w:val="00BB0A9D"/>
    <w:rsid w:val="00BB5811"/>
    <w:rsid w:val="00BB5B79"/>
    <w:rsid w:val="00BB5C3D"/>
    <w:rsid w:val="00BB69B6"/>
    <w:rsid w:val="00BC04B3"/>
    <w:rsid w:val="00BC0E8E"/>
    <w:rsid w:val="00BC1D8B"/>
    <w:rsid w:val="00BC21F4"/>
    <w:rsid w:val="00BC493A"/>
    <w:rsid w:val="00BC5DB0"/>
    <w:rsid w:val="00BC73F3"/>
    <w:rsid w:val="00BD1138"/>
    <w:rsid w:val="00BD380C"/>
    <w:rsid w:val="00BD631A"/>
    <w:rsid w:val="00BE2FC2"/>
    <w:rsid w:val="00BE6524"/>
    <w:rsid w:val="00BF2DBF"/>
    <w:rsid w:val="00BF3369"/>
    <w:rsid w:val="00BF3825"/>
    <w:rsid w:val="00BF4E73"/>
    <w:rsid w:val="00BF7B6B"/>
    <w:rsid w:val="00BF7C4A"/>
    <w:rsid w:val="00C02F90"/>
    <w:rsid w:val="00C03E07"/>
    <w:rsid w:val="00C06912"/>
    <w:rsid w:val="00C13524"/>
    <w:rsid w:val="00C204DF"/>
    <w:rsid w:val="00C22581"/>
    <w:rsid w:val="00C23BC5"/>
    <w:rsid w:val="00C2565B"/>
    <w:rsid w:val="00C26B08"/>
    <w:rsid w:val="00C26CFC"/>
    <w:rsid w:val="00C26DC2"/>
    <w:rsid w:val="00C32A20"/>
    <w:rsid w:val="00C359D8"/>
    <w:rsid w:val="00C35C64"/>
    <w:rsid w:val="00C44C3C"/>
    <w:rsid w:val="00C47556"/>
    <w:rsid w:val="00C50C3C"/>
    <w:rsid w:val="00C528C0"/>
    <w:rsid w:val="00C571D5"/>
    <w:rsid w:val="00C573E6"/>
    <w:rsid w:val="00C60106"/>
    <w:rsid w:val="00C62027"/>
    <w:rsid w:val="00C62A9F"/>
    <w:rsid w:val="00C65552"/>
    <w:rsid w:val="00C67C65"/>
    <w:rsid w:val="00C70030"/>
    <w:rsid w:val="00C70BF9"/>
    <w:rsid w:val="00C742CC"/>
    <w:rsid w:val="00C74A13"/>
    <w:rsid w:val="00C75A3E"/>
    <w:rsid w:val="00C80AE6"/>
    <w:rsid w:val="00C80E00"/>
    <w:rsid w:val="00C83D4F"/>
    <w:rsid w:val="00C86758"/>
    <w:rsid w:val="00C92320"/>
    <w:rsid w:val="00C92859"/>
    <w:rsid w:val="00C9780A"/>
    <w:rsid w:val="00CA0AF4"/>
    <w:rsid w:val="00CA6900"/>
    <w:rsid w:val="00CA6991"/>
    <w:rsid w:val="00CB0765"/>
    <w:rsid w:val="00CB40CA"/>
    <w:rsid w:val="00CC2B09"/>
    <w:rsid w:val="00CC55C9"/>
    <w:rsid w:val="00CD038A"/>
    <w:rsid w:val="00CD1BF9"/>
    <w:rsid w:val="00CD6571"/>
    <w:rsid w:val="00CD6D3C"/>
    <w:rsid w:val="00CE00B9"/>
    <w:rsid w:val="00CE2135"/>
    <w:rsid w:val="00CE576A"/>
    <w:rsid w:val="00CE600D"/>
    <w:rsid w:val="00CE7EBD"/>
    <w:rsid w:val="00CF1A30"/>
    <w:rsid w:val="00CF201F"/>
    <w:rsid w:val="00CF4523"/>
    <w:rsid w:val="00CF5306"/>
    <w:rsid w:val="00CF5F87"/>
    <w:rsid w:val="00CF61BD"/>
    <w:rsid w:val="00CF6E21"/>
    <w:rsid w:val="00CF7086"/>
    <w:rsid w:val="00D01418"/>
    <w:rsid w:val="00D02DAB"/>
    <w:rsid w:val="00D04F42"/>
    <w:rsid w:val="00D05C60"/>
    <w:rsid w:val="00D117B4"/>
    <w:rsid w:val="00D11B6B"/>
    <w:rsid w:val="00D16AE7"/>
    <w:rsid w:val="00D21446"/>
    <w:rsid w:val="00D21510"/>
    <w:rsid w:val="00D21A3F"/>
    <w:rsid w:val="00D22441"/>
    <w:rsid w:val="00D24307"/>
    <w:rsid w:val="00D246A1"/>
    <w:rsid w:val="00D269F4"/>
    <w:rsid w:val="00D32DDC"/>
    <w:rsid w:val="00D330FE"/>
    <w:rsid w:val="00D34C19"/>
    <w:rsid w:val="00D35095"/>
    <w:rsid w:val="00D360EE"/>
    <w:rsid w:val="00D40C0D"/>
    <w:rsid w:val="00D41690"/>
    <w:rsid w:val="00D41D52"/>
    <w:rsid w:val="00D426DF"/>
    <w:rsid w:val="00D430DB"/>
    <w:rsid w:val="00D43203"/>
    <w:rsid w:val="00D4566B"/>
    <w:rsid w:val="00D503A1"/>
    <w:rsid w:val="00D52038"/>
    <w:rsid w:val="00D52B2A"/>
    <w:rsid w:val="00D57315"/>
    <w:rsid w:val="00D605A7"/>
    <w:rsid w:val="00D60E11"/>
    <w:rsid w:val="00D62496"/>
    <w:rsid w:val="00D6599D"/>
    <w:rsid w:val="00D668EC"/>
    <w:rsid w:val="00D66F25"/>
    <w:rsid w:val="00D70AE4"/>
    <w:rsid w:val="00D718AE"/>
    <w:rsid w:val="00D741C1"/>
    <w:rsid w:val="00D743F6"/>
    <w:rsid w:val="00D7441C"/>
    <w:rsid w:val="00D747F7"/>
    <w:rsid w:val="00D74F54"/>
    <w:rsid w:val="00D758B5"/>
    <w:rsid w:val="00D75B06"/>
    <w:rsid w:val="00D80B7B"/>
    <w:rsid w:val="00D83F88"/>
    <w:rsid w:val="00D907F2"/>
    <w:rsid w:val="00D91BE8"/>
    <w:rsid w:val="00D921EA"/>
    <w:rsid w:val="00D92F31"/>
    <w:rsid w:val="00D93A50"/>
    <w:rsid w:val="00DA0A52"/>
    <w:rsid w:val="00DA1EA7"/>
    <w:rsid w:val="00DA38C0"/>
    <w:rsid w:val="00DA4E09"/>
    <w:rsid w:val="00DA5C21"/>
    <w:rsid w:val="00DB3E5C"/>
    <w:rsid w:val="00DB4064"/>
    <w:rsid w:val="00DB502E"/>
    <w:rsid w:val="00DB6786"/>
    <w:rsid w:val="00DB6F7D"/>
    <w:rsid w:val="00DB789C"/>
    <w:rsid w:val="00DC4073"/>
    <w:rsid w:val="00DC5CA8"/>
    <w:rsid w:val="00DC5D1F"/>
    <w:rsid w:val="00DC7D25"/>
    <w:rsid w:val="00DD01EC"/>
    <w:rsid w:val="00DD5F56"/>
    <w:rsid w:val="00DD621B"/>
    <w:rsid w:val="00DD7295"/>
    <w:rsid w:val="00DE10D6"/>
    <w:rsid w:val="00DE1E7B"/>
    <w:rsid w:val="00DE35B7"/>
    <w:rsid w:val="00DE4487"/>
    <w:rsid w:val="00DE57FB"/>
    <w:rsid w:val="00DE75F0"/>
    <w:rsid w:val="00DF0E78"/>
    <w:rsid w:val="00DF6DD2"/>
    <w:rsid w:val="00E00F57"/>
    <w:rsid w:val="00E01A98"/>
    <w:rsid w:val="00E139D5"/>
    <w:rsid w:val="00E26CEC"/>
    <w:rsid w:val="00E27D49"/>
    <w:rsid w:val="00E30394"/>
    <w:rsid w:val="00E310A2"/>
    <w:rsid w:val="00E331B4"/>
    <w:rsid w:val="00E36726"/>
    <w:rsid w:val="00E37988"/>
    <w:rsid w:val="00E41EF6"/>
    <w:rsid w:val="00E44206"/>
    <w:rsid w:val="00E52143"/>
    <w:rsid w:val="00E5267F"/>
    <w:rsid w:val="00E5592A"/>
    <w:rsid w:val="00E55B1D"/>
    <w:rsid w:val="00E6393A"/>
    <w:rsid w:val="00E64B5E"/>
    <w:rsid w:val="00E6589F"/>
    <w:rsid w:val="00E66046"/>
    <w:rsid w:val="00E67EFD"/>
    <w:rsid w:val="00E731A9"/>
    <w:rsid w:val="00E741F4"/>
    <w:rsid w:val="00E7592F"/>
    <w:rsid w:val="00E76365"/>
    <w:rsid w:val="00E80CB8"/>
    <w:rsid w:val="00E82A25"/>
    <w:rsid w:val="00E82D6F"/>
    <w:rsid w:val="00E86070"/>
    <w:rsid w:val="00E86ADA"/>
    <w:rsid w:val="00E91212"/>
    <w:rsid w:val="00E91BF6"/>
    <w:rsid w:val="00E95E97"/>
    <w:rsid w:val="00E96821"/>
    <w:rsid w:val="00EA0222"/>
    <w:rsid w:val="00EA135D"/>
    <w:rsid w:val="00EA14F8"/>
    <w:rsid w:val="00EA1771"/>
    <w:rsid w:val="00EA2AAF"/>
    <w:rsid w:val="00EA4976"/>
    <w:rsid w:val="00EA4AA0"/>
    <w:rsid w:val="00EA4E39"/>
    <w:rsid w:val="00EA6AA7"/>
    <w:rsid w:val="00EB0EB7"/>
    <w:rsid w:val="00EB2D9D"/>
    <w:rsid w:val="00EB2E6F"/>
    <w:rsid w:val="00EB79B7"/>
    <w:rsid w:val="00EC0256"/>
    <w:rsid w:val="00EC0BFB"/>
    <w:rsid w:val="00EC637E"/>
    <w:rsid w:val="00EC6E27"/>
    <w:rsid w:val="00ED513D"/>
    <w:rsid w:val="00ED5B52"/>
    <w:rsid w:val="00ED708B"/>
    <w:rsid w:val="00EE2B76"/>
    <w:rsid w:val="00EE2E86"/>
    <w:rsid w:val="00EE4CBC"/>
    <w:rsid w:val="00EE5356"/>
    <w:rsid w:val="00EF12DA"/>
    <w:rsid w:val="00EF1345"/>
    <w:rsid w:val="00EF43B5"/>
    <w:rsid w:val="00EF4550"/>
    <w:rsid w:val="00EF5410"/>
    <w:rsid w:val="00EF5A48"/>
    <w:rsid w:val="00EF799A"/>
    <w:rsid w:val="00F00588"/>
    <w:rsid w:val="00F03501"/>
    <w:rsid w:val="00F1092F"/>
    <w:rsid w:val="00F113E1"/>
    <w:rsid w:val="00F13F7A"/>
    <w:rsid w:val="00F14C88"/>
    <w:rsid w:val="00F170CC"/>
    <w:rsid w:val="00F17477"/>
    <w:rsid w:val="00F2054F"/>
    <w:rsid w:val="00F205C7"/>
    <w:rsid w:val="00F228E2"/>
    <w:rsid w:val="00F22D4C"/>
    <w:rsid w:val="00F243B2"/>
    <w:rsid w:val="00F2558C"/>
    <w:rsid w:val="00F260AB"/>
    <w:rsid w:val="00F32045"/>
    <w:rsid w:val="00F32147"/>
    <w:rsid w:val="00F355FB"/>
    <w:rsid w:val="00F36143"/>
    <w:rsid w:val="00F364A1"/>
    <w:rsid w:val="00F36837"/>
    <w:rsid w:val="00F36B65"/>
    <w:rsid w:val="00F37E74"/>
    <w:rsid w:val="00F40286"/>
    <w:rsid w:val="00F42F6C"/>
    <w:rsid w:val="00F43974"/>
    <w:rsid w:val="00F45165"/>
    <w:rsid w:val="00F4799E"/>
    <w:rsid w:val="00F51CA9"/>
    <w:rsid w:val="00F53545"/>
    <w:rsid w:val="00F53B9F"/>
    <w:rsid w:val="00F54930"/>
    <w:rsid w:val="00F54B5F"/>
    <w:rsid w:val="00F57240"/>
    <w:rsid w:val="00F6042E"/>
    <w:rsid w:val="00F60633"/>
    <w:rsid w:val="00F613C4"/>
    <w:rsid w:val="00F623A5"/>
    <w:rsid w:val="00F62D1B"/>
    <w:rsid w:val="00F650E5"/>
    <w:rsid w:val="00F66166"/>
    <w:rsid w:val="00F746F8"/>
    <w:rsid w:val="00F74ABA"/>
    <w:rsid w:val="00F75063"/>
    <w:rsid w:val="00F82043"/>
    <w:rsid w:val="00F826BE"/>
    <w:rsid w:val="00F83871"/>
    <w:rsid w:val="00F8452F"/>
    <w:rsid w:val="00F84BED"/>
    <w:rsid w:val="00F90C26"/>
    <w:rsid w:val="00F9327D"/>
    <w:rsid w:val="00F960A8"/>
    <w:rsid w:val="00F97402"/>
    <w:rsid w:val="00FA0978"/>
    <w:rsid w:val="00FA3353"/>
    <w:rsid w:val="00FA3A4B"/>
    <w:rsid w:val="00FA4704"/>
    <w:rsid w:val="00FA6AF9"/>
    <w:rsid w:val="00FB63B0"/>
    <w:rsid w:val="00FB76BD"/>
    <w:rsid w:val="00FC309F"/>
    <w:rsid w:val="00FC750F"/>
    <w:rsid w:val="00FD0CA4"/>
    <w:rsid w:val="00FD51AB"/>
    <w:rsid w:val="00FD7C5D"/>
    <w:rsid w:val="00FE0593"/>
    <w:rsid w:val="00FE3381"/>
    <w:rsid w:val="00FE3CE1"/>
    <w:rsid w:val="00FE3E89"/>
    <w:rsid w:val="00FE5745"/>
    <w:rsid w:val="00FE6229"/>
    <w:rsid w:val="00FF0895"/>
    <w:rsid w:val="00FF2072"/>
    <w:rsid w:val="00FF3A52"/>
    <w:rsid w:val="00FF5489"/>
    <w:rsid w:val="00FF7C0C"/>
    <w:rsid w:val="0C3079E9"/>
    <w:rsid w:val="26566FC6"/>
    <w:rsid w:val="59FF34E3"/>
    <w:rsid w:val="5D6006F6"/>
    <w:rsid w:val="6E3C2847"/>
    <w:rsid w:val="719E2FE5"/>
    <w:rsid w:val="7269509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qFormat="1"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0">
    <w:name w:val="Default Paragraph Font"/>
    <w:unhideWhenUsed/>
    <w:qFormat/>
    <w:uiPriority w:val="1"/>
  </w:style>
  <w:style w:type="table" w:default="1" w:styleId="23">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40"/>
    <w:unhideWhenUsed/>
    <w:qFormat/>
    <w:uiPriority w:val="99"/>
    <w:rPr>
      <w:b/>
      <w:bCs/>
    </w:rPr>
  </w:style>
  <w:style w:type="paragraph" w:styleId="7">
    <w:name w:val="annotation text"/>
    <w:basedOn w:val="1"/>
    <w:link w:val="39"/>
    <w:unhideWhenUsed/>
    <w:qFormat/>
    <w:uiPriority w:val="99"/>
    <w:pPr>
      <w:jc w:val="left"/>
    </w:pPr>
  </w:style>
  <w:style w:type="paragraph" w:styleId="8">
    <w:name w:val="Normal Indent"/>
    <w:basedOn w:val="1"/>
    <w:unhideWhenUsed/>
    <w:qFormat/>
    <w:uiPriority w:val="99"/>
    <w:pPr>
      <w:ind w:firstLine="420" w:firstLineChars="200"/>
    </w:pPr>
  </w:style>
  <w:style w:type="paragraph" w:styleId="9">
    <w:name w:val="Document Map"/>
    <w:basedOn w:val="1"/>
    <w:link w:val="43"/>
    <w:unhideWhenUsed/>
    <w:qFormat/>
    <w:uiPriority w:val="99"/>
    <w:rPr>
      <w:sz w:val="24"/>
    </w:rPr>
  </w:style>
  <w:style w:type="paragraph" w:styleId="10">
    <w:name w:val="Body Text Indent"/>
    <w:basedOn w:val="1"/>
    <w:link w:val="27"/>
    <w:qFormat/>
    <w:uiPriority w:val="0"/>
    <w:pPr>
      <w:spacing w:after="120"/>
      <w:ind w:left="420"/>
    </w:pPr>
  </w:style>
  <w:style w:type="paragraph" w:styleId="11">
    <w:name w:val="toc 3"/>
    <w:basedOn w:val="1"/>
    <w:next w:val="1"/>
    <w:unhideWhenUsed/>
    <w:qFormat/>
    <w:uiPriority w:val="39"/>
    <w:pPr>
      <w:ind w:left="840" w:leftChars="400"/>
    </w:pPr>
  </w:style>
  <w:style w:type="paragraph" w:styleId="12">
    <w:name w:val="Body Text Indent 2"/>
    <w:basedOn w:val="1"/>
    <w:link w:val="38"/>
    <w:unhideWhenUsed/>
    <w:qFormat/>
    <w:uiPriority w:val="99"/>
    <w:pPr>
      <w:spacing w:after="120" w:line="480" w:lineRule="auto"/>
      <w:ind w:left="420" w:leftChars="200"/>
    </w:pPr>
  </w:style>
  <w:style w:type="paragraph" w:styleId="13">
    <w:name w:val="Balloon Text"/>
    <w:basedOn w:val="1"/>
    <w:link w:val="37"/>
    <w:unhideWhenUsed/>
    <w:qFormat/>
    <w:uiPriority w:val="99"/>
    <w:rPr>
      <w:sz w:val="18"/>
      <w:szCs w:val="18"/>
    </w:rPr>
  </w:style>
  <w:style w:type="paragraph" w:styleId="14">
    <w:name w:val="footer"/>
    <w:basedOn w:val="1"/>
    <w:link w:val="34"/>
    <w:unhideWhenUsed/>
    <w:qFormat/>
    <w:uiPriority w:val="99"/>
    <w:pPr>
      <w:tabs>
        <w:tab w:val="center" w:pos="4153"/>
        <w:tab w:val="right" w:pos="8306"/>
      </w:tabs>
      <w:snapToGrid w:val="0"/>
      <w:jc w:val="left"/>
    </w:pPr>
    <w:rPr>
      <w:sz w:val="18"/>
      <w:szCs w:val="18"/>
    </w:rPr>
  </w:style>
  <w:style w:type="paragraph" w:styleId="15">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2"/>
    <w:basedOn w:val="1"/>
    <w:next w:val="1"/>
    <w:unhideWhenUsed/>
    <w:qFormat/>
    <w:uiPriority w:val="39"/>
    <w:pPr>
      <w:ind w:left="420" w:leftChars="200"/>
    </w:pPr>
  </w:style>
  <w:style w:type="paragraph" w:styleId="18">
    <w:name w:val="HTML Preformatted"/>
    <w:basedOn w:val="1"/>
    <w:link w:val="4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styleId="22">
    <w:name w:val="annotation reference"/>
    <w:basedOn w:val="20"/>
    <w:unhideWhenUsed/>
    <w:qFormat/>
    <w:uiPriority w:val="99"/>
    <w:rPr>
      <w:sz w:val="21"/>
      <w:szCs w:val="21"/>
    </w:rPr>
  </w:style>
  <w:style w:type="table" w:styleId="24">
    <w:name w:val="Table Grid"/>
    <w:basedOn w:val="23"/>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附录标识"/>
    <w:basedOn w:val="1"/>
    <w:qFormat/>
    <w:uiPriority w:val="0"/>
    <w:pPr>
      <w:widowControl/>
      <w:shd w:val="clear" w:color="FFFFFF" w:fill="FFFFFF"/>
      <w:tabs>
        <w:tab w:val="left" w:pos="6405"/>
      </w:tabs>
      <w:spacing w:before="640" w:after="200"/>
      <w:jc w:val="center"/>
      <w:outlineLvl w:val="0"/>
    </w:pPr>
    <w:rPr>
      <w:rFonts w:ascii="黑体" w:eastAsia="黑体"/>
      <w:kern w:val="0"/>
      <w:szCs w:val="20"/>
    </w:rPr>
  </w:style>
  <w:style w:type="character" w:customStyle="1" w:styleId="26">
    <w:name w:val="页眉 字符"/>
    <w:basedOn w:val="20"/>
    <w:link w:val="15"/>
    <w:qFormat/>
    <w:uiPriority w:val="99"/>
    <w:rPr>
      <w:rFonts w:ascii="Times New Roman" w:hAnsi="Times New Roman" w:eastAsia="宋体" w:cs="Times New Roman"/>
      <w:sz w:val="18"/>
      <w:szCs w:val="18"/>
    </w:rPr>
  </w:style>
  <w:style w:type="character" w:customStyle="1" w:styleId="27">
    <w:name w:val="正文文本缩进 字符"/>
    <w:basedOn w:val="20"/>
    <w:link w:val="10"/>
    <w:qFormat/>
    <w:uiPriority w:val="0"/>
    <w:rPr>
      <w:rFonts w:ascii="Times New Roman" w:hAnsi="Times New Roman" w:eastAsia="宋体" w:cs="Times New Roman"/>
      <w:szCs w:val="24"/>
    </w:rPr>
  </w:style>
  <w:style w:type="paragraph" w:customStyle="1" w:styleId="28">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29">
    <w:name w:val="标题 1 字符"/>
    <w:basedOn w:val="20"/>
    <w:link w:val="2"/>
    <w:qFormat/>
    <w:uiPriority w:val="9"/>
    <w:rPr>
      <w:rFonts w:ascii="Times New Roman" w:hAnsi="Times New Roman" w:eastAsia="宋体" w:cs="Times New Roman"/>
      <w:b/>
      <w:bCs/>
      <w:kern w:val="44"/>
      <w:sz w:val="44"/>
      <w:szCs w:val="44"/>
    </w:rPr>
  </w:style>
  <w:style w:type="character" w:customStyle="1" w:styleId="30">
    <w:name w:val="标题 2 字符"/>
    <w:basedOn w:val="20"/>
    <w:link w:val="3"/>
    <w:qFormat/>
    <w:uiPriority w:val="9"/>
    <w:rPr>
      <w:rFonts w:asciiTheme="majorHAnsi" w:hAnsiTheme="majorHAnsi" w:eastAsiaTheme="majorEastAsia" w:cstheme="majorBidi"/>
      <w:b/>
      <w:bCs/>
      <w:sz w:val="32"/>
      <w:szCs w:val="32"/>
    </w:rPr>
  </w:style>
  <w:style w:type="character" w:customStyle="1" w:styleId="31">
    <w:name w:val="标题 3 字符"/>
    <w:basedOn w:val="20"/>
    <w:link w:val="4"/>
    <w:qFormat/>
    <w:uiPriority w:val="9"/>
    <w:rPr>
      <w:rFonts w:ascii="Times New Roman" w:hAnsi="Times New Roman" w:eastAsia="宋体" w:cs="Times New Roman"/>
      <w:b/>
      <w:bCs/>
      <w:sz w:val="32"/>
      <w:szCs w:val="32"/>
    </w:rPr>
  </w:style>
  <w:style w:type="character" w:customStyle="1" w:styleId="32">
    <w:name w:val="标题 4 字符"/>
    <w:basedOn w:val="20"/>
    <w:link w:val="5"/>
    <w:qFormat/>
    <w:uiPriority w:val="9"/>
    <w:rPr>
      <w:rFonts w:asciiTheme="majorHAnsi" w:hAnsiTheme="majorHAnsi" w:eastAsiaTheme="majorEastAsia" w:cstheme="majorBidi"/>
      <w:b/>
      <w:bCs/>
      <w:sz w:val="28"/>
      <w:szCs w:val="28"/>
    </w:rPr>
  </w:style>
  <w:style w:type="paragraph" w:customStyle="1" w:styleId="3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4">
    <w:name w:val="页脚 字符"/>
    <w:basedOn w:val="20"/>
    <w:link w:val="14"/>
    <w:qFormat/>
    <w:uiPriority w:val="99"/>
    <w:rPr>
      <w:rFonts w:ascii="Times New Roman" w:hAnsi="Times New Roman" w:eastAsia="宋体" w:cs="Times New Roman"/>
      <w:sz w:val="18"/>
      <w:szCs w:val="18"/>
    </w:rPr>
  </w:style>
  <w:style w:type="paragraph" w:customStyle="1" w:styleId="35">
    <w:name w:val="L-正文"/>
    <w:basedOn w:val="8"/>
    <w:link w:val="36"/>
    <w:qFormat/>
    <w:uiPriority w:val="0"/>
    <w:pPr>
      <w:spacing w:line="360" w:lineRule="auto"/>
      <w:ind w:firstLine="480"/>
    </w:pPr>
    <w:rPr>
      <w:rFonts w:ascii="宋体" w:hAnsi="宋体"/>
      <w:sz w:val="24"/>
      <w:szCs w:val="20"/>
    </w:rPr>
  </w:style>
  <w:style w:type="character" w:customStyle="1" w:styleId="36">
    <w:name w:val="L-正文 Char"/>
    <w:link w:val="35"/>
    <w:qFormat/>
    <w:uiPriority w:val="0"/>
    <w:rPr>
      <w:rFonts w:ascii="宋体" w:hAnsi="宋体" w:eastAsia="宋体" w:cs="Times New Roman"/>
      <w:sz w:val="24"/>
      <w:szCs w:val="20"/>
    </w:rPr>
  </w:style>
  <w:style w:type="character" w:customStyle="1" w:styleId="37">
    <w:name w:val="批注框文本 字符"/>
    <w:basedOn w:val="20"/>
    <w:link w:val="13"/>
    <w:semiHidden/>
    <w:qFormat/>
    <w:uiPriority w:val="99"/>
    <w:rPr>
      <w:rFonts w:ascii="Times New Roman" w:hAnsi="Times New Roman" w:eastAsia="宋体" w:cs="Times New Roman"/>
      <w:sz w:val="18"/>
      <w:szCs w:val="18"/>
    </w:rPr>
  </w:style>
  <w:style w:type="character" w:customStyle="1" w:styleId="38">
    <w:name w:val="正文文本缩进 2 字符"/>
    <w:basedOn w:val="20"/>
    <w:link w:val="12"/>
    <w:semiHidden/>
    <w:qFormat/>
    <w:uiPriority w:val="99"/>
    <w:rPr>
      <w:rFonts w:ascii="Times New Roman" w:hAnsi="Times New Roman" w:eastAsia="宋体" w:cs="Times New Roman"/>
      <w:szCs w:val="24"/>
    </w:rPr>
  </w:style>
  <w:style w:type="character" w:customStyle="1" w:styleId="39">
    <w:name w:val="批注文字 字符"/>
    <w:basedOn w:val="20"/>
    <w:link w:val="7"/>
    <w:semiHidden/>
    <w:qFormat/>
    <w:uiPriority w:val="99"/>
    <w:rPr>
      <w:rFonts w:ascii="Times New Roman" w:hAnsi="Times New Roman" w:eastAsia="宋体" w:cs="Times New Roman"/>
      <w:szCs w:val="24"/>
    </w:rPr>
  </w:style>
  <w:style w:type="character" w:customStyle="1" w:styleId="40">
    <w:name w:val="批注主题 字符"/>
    <w:basedOn w:val="39"/>
    <w:link w:val="6"/>
    <w:semiHidden/>
    <w:qFormat/>
    <w:uiPriority w:val="99"/>
    <w:rPr>
      <w:rFonts w:ascii="Times New Roman" w:hAnsi="Times New Roman" w:eastAsia="宋体" w:cs="Times New Roman"/>
      <w:b/>
      <w:bCs/>
      <w:szCs w:val="24"/>
    </w:rPr>
  </w:style>
  <w:style w:type="paragraph" w:customStyle="1" w:styleId="41">
    <w:name w:val="列出段落1"/>
    <w:basedOn w:val="1"/>
    <w:qFormat/>
    <w:uiPriority w:val="34"/>
    <w:pPr>
      <w:ind w:firstLine="420" w:firstLineChars="200"/>
    </w:pPr>
    <w:rPr>
      <w:rFonts w:asciiTheme="minorHAnsi" w:hAnsiTheme="minorHAnsi" w:eastAsiaTheme="minorEastAsia" w:cstheme="minorBidi"/>
      <w:szCs w:val="22"/>
    </w:rPr>
  </w:style>
  <w:style w:type="paragraph" w:customStyle="1" w:styleId="42">
    <w:name w:val="_Style 1"/>
    <w:basedOn w:val="1"/>
    <w:qFormat/>
    <w:uiPriority w:val="34"/>
    <w:pPr>
      <w:ind w:firstLine="420" w:firstLineChars="200"/>
    </w:pPr>
  </w:style>
  <w:style w:type="character" w:customStyle="1" w:styleId="43">
    <w:name w:val="文档结构图 字符"/>
    <w:basedOn w:val="20"/>
    <w:link w:val="9"/>
    <w:semiHidden/>
    <w:uiPriority w:val="99"/>
    <w:rPr>
      <w:rFonts w:ascii="Times New Roman" w:hAnsi="Times New Roman" w:eastAsia="宋体" w:cs="Times New Roman"/>
      <w:sz w:val="24"/>
      <w:szCs w:val="24"/>
    </w:rPr>
  </w:style>
  <w:style w:type="character" w:customStyle="1" w:styleId="44">
    <w:name w:val="HTML 预设格式 字符"/>
    <w:basedOn w:val="20"/>
    <w:link w:val="18"/>
    <w:semiHidden/>
    <w:qFormat/>
    <w:uiPriority w:val="99"/>
    <w:rPr>
      <w:rFonts w:ascii="宋体" w:hAnsi="宋体" w:eastAsia="宋体" w:cs="宋体"/>
      <w:kern w:val="0"/>
      <w:sz w:val="24"/>
      <w:szCs w:val="24"/>
    </w:rPr>
  </w:style>
  <w:style w:type="character" w:customStyle="1" w:styleId="45">
    <w:name w:val="font51"/>
    <w:basedOn w:val="20"/>
    <w:qFormat/>
    <w:uiPriority w:val="0"/>
    <w:rPr>
      <w:rFonts w:hint="eastAsia" w:ascii="微软雅黑" w:hAnsi="微软雅黑" w:eastAsia="微软雅黑" w:cs="微软雅黑"/>
      <w:color w:val="000000"/>
      <w:sz w:val="28"/>
      <w:szCs w:val="28"/>
      <w:u w:val="none"/>
    </w:rPr>
  </w:style>
  <w:style w:type="character" w:customStyle="1" w:styleId="46">
    <w:name w:val="font71"/>
    <w:basedOn w:val="20"/>
    <w:qFormat/>
    <w:uiPriority w:val="0"/>
    <w:rPr>
      <w:rFonts w:hint="eastAsia" w:ascii="微软雅黑" w:hAnsi="微软雅黑" w:eastAsia="微软雅黑" w:cs="微软雅黑"/>
      <w:color w:val="auto"/>
      <w:sz w:val="28"/>
      <w:szCs w:val="28"/>
      <w:u w:val="none"/>
    </w:rPr>
  </w:style>
  <w:style w:type="character" w:customStyle="1" w:styleId="47">
    <w:name w:val="font61"/>
    <w:basedOn w:val="20"/>
    <w:qFormat/>
    <w:uiPriority w:val="0"/>
    <w:rPr>
      <w:rFonts w:hint="eastAsia" w:ascii="微软雅黑" w:hAnsi="微软雅黑" w:eastAsia="微软雅黑" w:cs="微软雅黑"/>
      <w:color w:val="FF0000"/>
      <w:sz w:val="28"/>
      <w:szCs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2362</Words>
  <Characters>13468</Characters>
  <Lines>112</Lines>
  <Paragraphs>31</Paragraphs>
  <TotalTime>0</TotalTime>
  <ScaleCrop>false</ScaleCrop>
  <LinksUpToDate>false</LinksUpToDate>
  <CharactersWithSpaces>15799</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2018-05-09T09:20:00Z</dcterms:created>
  <dc:creator>何昆</dc:creator>
  <cp:lastModifiedBy>sugar</cp:lastModifiedBy>
  <dcterms:modified xsi:type="dcterms:W3CDTF">2020-02-04T17:44:36Z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