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仿宋"/>
          <w:b/>
          <w:bCs/>
          <w:sz w:val="32"/>
          <w:szCs w:val="32"/>
        </w:rPr>
      </w:pPr>
      <w:r>
        <w:rPr>
          <w:rFonts w:eastAsia="仿宋"/>
          <w:b/>
          <w:bCs/>
          <w:sz w:val="32"/>
          <w:szCs w:val="32"/>
        </w:rPr>
        <w:t>报告编号：</w:t>
      </w:r>
    </w:p>
    <w:p>
      <w:pPr>
        <w:ind w:firstLine="640" w:firstLineChars="200"/>
        <w:rPr>
          <w:rFonts w:eastAsia="仿宋"/>
          <w:sz w:val="32"/>
          <w:szCs w:val="32"/>
        </w:rPr>
      </w:pPr>
    </w:p>
    <w:p>
      <w:pPr>
        <w:ind w:firstLine="640" w:firstLineChars="200"/>
        <w:rPr>
          <w:rFonts w:eastAsia="仿宋"/>
          <w:sz w:val="32"/>
          <w:szCs w:val="32"/>
        </w:rPr>
      </w:pPr>
    </w:p>
    <w:p>
      <w:pPr>
        <w:ind w:firstLine="640" w:firstLineChars="200"/>
        <w:rPr>
          <w:rFonts w:eastAsia="仿宋"/>
          <w:sz w:val="32"/>
          <w:szCs w:val="32"/>
        </w:rPr>
      </w:pPr>
    </w:p>
    <w:p>
      <w:pPr>
        <w:ind w:firstLine="640" w:firstLineChars="200"/>
        <w:rPr>
          <w:rFonts w:eastAsia="仿宋"/>
          <w:sz w:val="32"/>
          <w:szCs w:val="32"/>
        </w:rPr>
      </w:pPr>
    </w:p>
    <w:p>
      <w:pPr>
        <w:ind w:firstLine="640" w:firstLineChars="200"/>
        <w:rPr>
          <w:rFonts w:eastAsia="仿宋"/>
          <w:sz w:val="32"/>
          <w:szCs w:val="32"/>
        </w:rPr>
      </w:pPr>
    </w:p>
    <w:p>
      <w:pPr>
        <w:jc w:val="center"/>
        <w:rPr>
          <w:rFonts w:eastAsia="仿宋"/>
          <w:b/>
          <w:bCs/>
          <w:sz w:val="52"/>
          <w:szCs w:val="52"/>
        </w:rPr>
      </w:pPr>
      <w:r>
        <w:rPr>
          <w:rFonts w:eastAsia="仿宋"/>
          <w:b/>
          <w:bCs/>
          <w:sz w:val="52"/>
          <w:szCs w:val="52"/>
        </w:rPr>
        <w:t>互联网新技术新业务信息安全评估</w:t>
      </w:r>
      <w:r>
        <w:rPr>
          <w:rFonts w:hint="eastAsia" w:eastAsia="仿宋"/>
          <w:b/>
          <w:bCs/>
          <w:sz w:val="52"/>
          <w:szCs w:val="52"/>
        </w:rPr>
        <w:t>复核</w:t>
      </w:r>
      <w:r>
        <w:rPr>
          <w:rFonts w:eastAsia="仿宋"/>
          <w:b/>
          <w:bCs/>
          <w:sz w:val="52"/>
          <w:szCs w:val="52"/>
        </w:rPr>
        <w:t>报告</w:t>
      </w:r>
    </w:p>
    <w:p>
      <w:pPr>
        <w:ind w:firstLine="640" w:firstLineChars="200"/>
        <w:rPr>
          <w:rFonts w:eastAsia="仿宋"/>
          <w:sz w:val="32"/>
          <w:szCs w:val="32"/>
        </w:rPr>
      </w:pPr>
    </w:p>
    <w:p>
      <w:pPr>
        <w:ind w:firstLine="640" w:firstLineChars="200"/>
        <w:rPr>
          <w:rFonts w:eastAsia="仿宋"/>
          <w:sz w:val="32"/>
          <w:szCs w:val="32"/>
        </w:rPr>
      </w:pPr>
    </w:p>
    <w:p>
      <w:pPr>
        <w:ind w:firstLine="640" w:firstLineChars="200"/>
        <w:rPr>
          <w:rFonts w:eastAsia="仿宋"/>
          <w:sz w:val="32"/>
          <w:szCs w:val="32"/>
        </w:rPr>
      </w:pPr>
    </w:p>
    <w:tbl>
      <w:tblPr>
        <w:tblStyle w:val="10"/>
        <w:tblW w:w="84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0"/>
        <w:gridCol w:w="6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exact"/>
        </w:trPr>
        <w:tc>
          <w:tcPr>
            <w:tcW w:w="2370" w:type="dxa"/>
            <w:tcBorders>
              <w:top w:val="nil"/>
              <w:left w:val="nil"/>
              <w:bottom w:val="nil"/>
              <w:right w:val="nil"/>
            </w:tcBorders>
          </w:tcPr>
          <w:p>
            <w:pPr>
              <w:wordWrap w:val="0"/>
              <w:jc w:val="right"/>
              <w:rPr>
                <w:rFonts w:eastAsia="仿宋"/>
                <w:b/>
                <w:sz w:val="32"/>
                <w:szCs w:val="44"/>
              </w:rPr>
            </w:pPr>
            <w:r>
              <w:rPr>
                <w:rFonts w:eastAsia="仿宋"/>
                <w:b/>
                <w:sz w:val="32"/>
                <w:szCs w:val="44"/>
              </w:rPr>
              <w:t>委托单位：</w:t>
            </w:r>
          </w:p>
        </w:tc>
        <w:tc>
          <w:tcPr>
            <w:tcW w:w="6037" w:type="dxa"/>
            <w:tcBorders>
              <w:top w:val="nil"/>
              <w:left w:val="nil"/>
              <w:right w:val="nil"/>
            </w:tcBorders>
          </w:tcPr>
          <w:p>
            <w:pPr>
              <w:adjustRightInd w:val="0"/>
              <w:snapToGrid w:val="0"/>
              <w:spacing w:line="276" w:lineRule="auto"/>
              <w:jc w:val="center"/>
              <w:rPr>
                <w:rFonts w:ascii="仿宋" w:hAnsi="仿宋" w:eastAsia="仿宋"/>
                <w:sz w:val="32"/>
                <w:szCs w:val="32"/>
              </w:rPr>
            </w:pPr>
            <w:r>
              <w:rPr>
                <w:rFonts w:hint="eastAsia" w:ascii="仿宋" w:hAnsi="仿宋" w:eastAsia="仿宋"/>
                <w:sz w:val="32"/>
                <w:szCs w:val="32"/>
              </w:rPr>
              <w:t>中国移动通信集团</w:t>
            </w:r>
            <w:r>
              <w:rPr>
                <w:rFonts w:hint="eastAsia" w:ascii="仿宋" w:hAnsi="仿宋" w:eastAsia="仿宋"/>
                <w:sz w:val="32"/>
                <w:szCs w:val="32"/>
                <w:lang w:val="en-US" w:eastAsia="zh-CN"/>
              </w:rPr>
              <w:t>山西</w:t>
            </w:r>
            <w:r>
              <w:rPr>
                <w:rFonts w:hint="eastAsia" w:ascii="仿宋" w:hAnsi="仿宋" w:eastAsia="仿宋"/>
                <w:sz w:val="32"/>
                <w:szCs w:val="32"/>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exact"/>
        </w:trPr>
        <w:tc>
          <w:tcPr>
            <w:tcW w:w="2370" w:type="dxa"/>
            <w:tcBorders>
              <w:top w:val="nil"/>
              <w:left w:val="nil"/>
              <w:bottom w:val="nil"/>
              <w:right w:val="nil"/>
            </w:tcBorders>
          </w:tcPr>
          <w:p>
            <w:pPr>
              <w:wordWrap w:val="0"/>
              <w:jc w:val="right"/>
              <w:rPr>
                <w:rFonts w:eastAsia="仿宋"/>
                <w:b/>
                <w:sz w:val="32"/>
                <w:szCs w:val="44"/>
              </w:rPr>
            </w:pPr>
            <w:r>
              <w:rPr>
                <w:rFonts w:hint="eastAsia" w:eastAsia="仿宋"/>
                <w:b/>
                <w:sz w:val="32"/>
                <w:szCs w:val="44"/>
              </w:rPr>
              <w:t>业</w:t>
            </w:r>
            <w:r>
              <w:rPr>
                <w:rFonts w:eastAsia="仿宋"/>
                <w:b/>
                <w:sz w:val="32"/>
                <w:szCs w:val="44"/>
              </w:rPr>
              <w:t>务名称：</w:t>
            </w:r>
          </w:p>
        </w:tc>
        <w:tc>
          <w:tcPr>
            <w:tcW w:w="6037" w:type="dxa"/>
            <w:tcBorders>
              <w:left w:val="nil"/>
              <w:right w:val="nil"/>
            </w:tcBorders>
          </w:tcPr>
          <w:p>
            <w:pPr>
              <w:jc w:val="center"/>
              <w:rPr>
                <w:rFonts w:ascii="仿宋" w:hAnsi="仿宋" w:eastAsia="仿宋"/>
                <w:sz w:val="32"/>
                <w:szCs w:val="32"/>
              </w:rPr>
            </w:pPr>
            <w:r>
              <w:rPr>
                <w:rFonts w:hint="eastAsia" w:ascii="仿宋" w:hAnsi="仿宋" w:eastAsia="仿宋"/>
                <w:sz w:val="32"/>
                <w:szCs w:val="32"/>
              </w:rPr>
              <w:t>和教育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exact"/>
        </w:trPr>
        <w:tc>
          <w:tcPr>
            <w:tcW w:w="2370" w:type="dxa"/>
            <w:tcBorders>
              <w:top w:val="nil"/>
              <w:left w:val="nil"/>
              <w:bottom w:val="nil"/>
              <w:right w:val="nil"/>
            </w:tcBorders>
          </w:tcPr>
          <w:p>
            <w:pPr>
              <w:wordWrap w:val="0"/>
              <w:jc w:val="right"/>
              <w:rPr>
                <w:rFonts w:eastAsia="仿宋"/>
                <w:b/>
                <w:sz w:val="32"/>
                <w:szCs w:val="44"/>
              </w:rPr>
            </w:pPr>
            <w:r>
              <w:rPr>
                <w:rFonts w:eastAsia="仿宋"/>
                <w:b/>
                <w:sz w:val="32"/>
                <w:szCs w:val="44"/>
              </w:rPr>
              <w:t>完成时间：</w:t>
            </w:r>
          </w:p>
        </w:tc>
        <w:tc>
          <w:tcPr>
            <w:tcW w:w="6037" w:type="dxa"/>
            <w:tcBorders>
              <w:left w:val="nil"/>
              <w:right w:val="nil"/>
            </w:tcBorders>
          </w:tcPr>
          <w:p>
            <w:pPr>
              <w:jc w:val="center"/>
              <w:rPr>
                <w:rFonts w:ascii="仿宋" w:hAnsi="仿宋" w:eastAsia="仿宋"/>
                <w:sz w:val="32"/>
                <w:szCs w:val="32"/>
              </w:rPr>
            </w:pPr>
            <w:r>
              <w:rPr>
                <w:rFonts w:ascii="仿宋" w:hAnsi="仿宋" w:eastAsia="仿宋"/>
                <w:sz w:val="32"/>
                <w:szCs w:val="32"/>
              </w:rPr>
              <w:t>201</w:t>
            </w:r>
            <w:r>
              <w:rPr>
                <w:rFonts w:hint="eastAsia" w:ascii="仿宋" w:hAnsi="仿宋" w:eastAsia="仿宋"/>
                <w:sz w:val="32"/>
                <w:szCs w:val="32"/>
                <w:lang w:val="en-US" w:eastAsia="zh-CN"/>
              </w:rPr>
              <w:t>9</w:t>
            </w:r>
            <w:r>
              <w:rPr>
                <w:rFonts w:ascii="仿宋" w:hAnsi="仿宋" w:eastAsia="仿宋"/>
                <w:sz w:val="32"/>
                <w:szCs w:val="32"/>
              </w:rPr>
              <w:t>年</w:t>
            </w:r>
            <w:r>
              <w:rPr>
                <w:rFonts w:hint="eastAsia" w:ascii="仿宋" w:hAnsi="仿宋" w:eastAsia="仿宋"/>
                <w:sz w:val="32"/>
                <w:szCs w:val="32"/>
              </w:rPr>
              <w:t>1</w:t>
            </w:r>
            <w:r>
              <w:rPr>
                <w:rFonts w:hint="eastAsia" w:ascii="仿宋" w:hAnsi="仿宋" w:eastAsia="仿宋"/>
                <w:sz w:val="32"/>
                <w:szCs w:val="32"/>
                <w:lang w:val="en-US" w:eastAsia="zh-CN"/>
              </w:rPr>
              <w:t>0</w:t>
            </w:r>
            <w:r>
              <w:rPr>
                <w:rFonts w:hint="eastAsia" w:ascii="仿宋" w:hAnsi="仿宋" w:eastAsia="仿宋"/>
                <w:sz w:val="32"/>
                <w:szCs w:val="32"/>
              </w:rPr>
              <w:t>月</w:t>
            </w:r>
          </w:p>
        </w:tc>
      </w:tr>
    </w:tbl>
    <w:p>
      <w:pPr>
        <w:ind w:firstLine="640" w:firstLineChars="200"/>
        <w:rPr>
          <w:rFonts w:eastAsia="仿宋"/>
          <w:sz w:val="32"/>
          <w:szCs w:val="32"/>
        </w:rPr>
      </w:pPr>
    </w:p>
    <w:p>
      <w:pPr>
        <w:ind w:firstLine="640" w:firstLineChars="200"/>
        <w:rPr>
          <w:rFonts w:eastAsia="仿宋"/>
          <w:sz w:val="32"/>
          <w:szCs w:val="32"/>
        </w:rPr>
      </w:pPr>
    </w:p>
    <w:p>
      <w:pPr>
        <w:ind w:firstLine="640" w:firstLineChars="200"/>
        <w:rPr>
          <w:rFonts w:eastAsia="仿宋"/>
          <w:sz w:val="32"/>
          <w:szCs w:val="32"/>
        </w:rPr>
      </w:pPr>
    </w:p>
    <w:p>
      <w:pPr>
        <w:ind w:firstLine="640" w:firstLineChars="200"/>
        <w:rPr>
          <w:rFonts w:eastAsia="仿宋"/>
          <w:sz w:val="32"/>
          <w:szCs w:val="32"/>
        </w:rPr>
      </w:pPr>
    </w:p>
    <w:p>
      <w:pPr>
        <w:jc w:val="center"/>
        <w:rPr>
          <w:rFonts w:eastAsia="仿宋"/>
          <w:b/>
          <w:sz w:val="32"/>
          <w:szCs w:val="32"/>
        </w:rPr>
      </w:pPr>
      <w:r>
        <w:rPr>
          <w:rFonts w:eastAsia="仿宋"/>
          <w:b/>
          <w:sz w:val="32"/>
          <w:szCs w:val="32"/>
        </w:rPr>
        <w:t>评估单位：国家计算机网络与信息安全管理中心</w:t>
      </w:r>
    </w:p>
    <w:p>
      <w:pPr>
        <w:jc w:val="center"/>
        <w:rPr>
          <w:rFonts w:eastAsia="仿宋"/>
          <w:sz w:val="32"/>
          <w:szCs w:val="32"/>
        </w:rPr>
      </w:pPr>
      <w:r>
        <w:rPr>
          <w:rFonts w:eastAsia="仿宋"/>
          <w:b/>
          <w:sz w:val="32"/>
          <w:szCs w:val="32"/>
        </w:rPr>
        <w:t>201</w:t>
      </w:r>
      <w:r>
        <w:rPr>
          <w:rFonts w:hint="eastAsia" w:eastAsia="仿宋"/>
          <w:b/>
          <w:sz w:val="32"/>
          <w:szCs w:val="32"/>
          <w:lang w:val="en-US" w:eastAsia="zh-CN"/>
        </w:rPr>
        <w:t>9</w:t>
      </w:r>
      <w:r>
        <w:rPr>
          <w:rFonts w:eastAsia="仿宋"/>
          <w:b/>
          <w:sz w:val="32"/>
          <w:szCs w:val="32"/>
        </w:rPr>
        <w:t>年</w:t>
      </w:r>
      <w:r>
        <w:rPr>
          <w:rFonts w:hint="eastAsia" w:eastAsia="仿宋"/>
          <w:b/>
          <w:sz w:val="32"/>
          <w:szCs w:val="32"/>
        </w:rPr>
        <w:t>1</w:t>
      </w:r>
      <w:r>
        <w:rPr>
          <w:rFonts w:hint="eastAsia" w:eastAsia="仿宋"/>
          <w:b/>
          <w:sz w:val="32"/>
          <w:szCs w:val="32"/>
          <w:lang w:val="en-US" w:eastAsia="zh-CN"/>
        </w:rPr>
        <w:t>0</w:t>
      </w:r>
      <w:r>
        <w:rPr>
          <w:rFonts w:eastAsia="仿宋"/>
          <w:b/>
          <w:sz w:val="32"/>
          <w:szCs w:val="32"/>
        </w:rPr>
        <w:t>月</w:t>
      </w:r>
    </w:p>
    <w:p>
      <w:pPr>
        <w:pageBreakBefore/>
        <w:jc w:val="center"/>
        <w:rPr>
          <w:rFonts w:eastAsia="仿宋"/>
          <w:b/>
          <w:color w:val="000000"/>
          <w:sz w:val="36"/>
          <w:szCs w:val="36"/>
        </w:rPr>
      </w:pPr>
      <w:bookmarkStart w:id="0" w:name="_Toc266316970"/>
      <w:bookmarkStart w:id="1" w:name="_Toc264973032"/>
      <w:r>
        <w:rPr>
          <w:rFonts w:eastAsia="仿宋"/>
          <w:b/>
          <w:color w:val="000000"/>
          <w:sz w:val="36"/>
          <w:szCs w:val="36"/>
        </w:rPr>
        <w:t>声明</w:t>
      </w:r>
      <w:bookmarkEnd w:id="0"/>
      <w:bookmarkEnd w:id="1"/>
    </w:p>
    <w:p>
      <w:pPr>
        <w:rPr>
          <w:rFonts w:eastAsia="仿宋"/>
          <w:color w:val="000000"/>
          <w:sz w:val="32"/>
          <w:szCs w:val="32"/>
        </w:rPr>
      </w:pPr>
    </w:p>
    <w:p>
      <w:pPr>
        <w:ind w:firstLine="640" w:firstLineChars="200"/>
        <w:rPr>
          <w:rFonts w:ascii="仿宋" w:hAnsi="仿宋" w:eastAsia="仿宋"/>
          <w:sz w:val="32"/>
          <w:szCs w:val="32"/>
        </w:rPr>
      </w:pPr>
      <w:r>
        <w:rPr>
          <w:rFonts w:ascii="仿宋" w:hAnsi="仿宋" w:eastAsia="仿宋"/>
          <w:sz w:val="32"/>
          <w:szCs w:val="32"/>
        </w:rPr>
        <w:t>受</w:t>
      </w:r>
      <w:r>
        <w:rPr>
          <w:rFonts w:hint="eastAsia" w:ascii="仿宋" w:hAnsi="仿宋" w:eastAsia="仿宋"/>
          <w:sz w:val="32"/>
          <w:szCs w:val="32"/>
        </w:rPr>
        <w:t>中国移动通信集团</w:t>
      </w:r>
      <w:r>
        <w:rPr>
          <w:rFonts w:hint="eastAsia" w:ascii="仿宋" w:hAnsi="仿宋" w:eastAsia="仿宋"/>
          <w:sz w:val="32"/>
          <w:szCs w:val="32"/>
          <w:lang w:eastAsia="zh-CN"/>
        </w:rPr>
        <w:t>山西</w:t>
      </w:r>
      <w:r>
        <w:rPr>
          <w:rFonts w:hint="eastAsia" w:ascii="仿宋" w:hAnsi="仿宋" w:eastAsia="仿宋"/>
          <w:sz w:val="32"/>
          <w:szCs w:val="32"/>
        </w:rPr>
        <w:t>有限公司</w:t>
      </w:r>
      <w:r>
        <w:rPr>
          <w:rFonts w:ascii="仿宋" w:hAnsi="仿宋" w:eastAsia="仿宋"/>
          <w:sz w:val="32"/>
          <w:szCs w:val="32"/>
        </w:rPr>
        <w:t>委托，国家计算机网络与信息安全管理中心对</w:t>
      </w:r>
      <w:r>
        <w:rPr>
          <w:rFonts w:hint="eastAsia" w:ascii="仿宋" w:hAnsi="仿宋" w:eastAsia="仿宋"/>
          <w:sz w:val="32"/>
          <w:szCs w:val="32"/>
        </w:rPr>
        <w:t>中国移动通信集团</w:t>
      </w:r>
      <w:r>
        <w:rPr>
          <w:rFonts w:hint="eastAsia" w:ascii="仿宋" w:hAnsi="仿宋" w:eastAsia="仿宋"/>
          <w:sz w:val="32"/>
          <w:szCs w:val="32"/>
          <w:lang w:eastAsia="zh-CN"/>
        </w:rPr>
        <w:t>山西</w:t>
      </w:r>
      <w:r>
        <w:rPr>
          <w:rFonts w:hint="eastAsia" w:ascii="仿宋" w:hAnsi="仿宋" w:eastAsia="仿宋"/>
          <w:sz w:val="32"/>
          <w:szCs w:val="32"/>
        </w:rPr>
        <w:t>有限公司</w:t>
      </w:r>
      <w:r>
        <w:rPr>
          <w:rFonts w:hint="eastAsia" w:ascii="仿宋" w:hAnsi="仿宋" w:eastAsia="仿宋"/>
          <w:kern w:val="0"/>
          <w:sz w:val="32"/>
          <w:szCs w:val="44"/>
          <w:lang w:val="en-US" w:eastAsia="zh-CN"/>
        </w:rPr>
        <w:t>和教育</w:t>
      </w:r>
      <w:r>
        <w:rPr>
          <w:rFonts w:ascii="仿宋" w:hAnsi="仿宋" w:eastAsia="仿宋"/>
          <w:sz w:val="32"/>
          <w:szCs w:val="32"/>
        </w:rPr>
        <w:t>进行了新技术新业务</w:t>
      </w:r>
      <w:r>
        <w:rPr>
          <w:rFonts w:hint="eastAsia" w:ascii="仿宋" w:hAnsi="仿宋" w:eastAsia="仿宋"/>
          <w:sz w:val="32"/>
          <w:szCs w:val="32"/>
        </w:rPr>
        <w:t>初评报告的</w:t>
      </w:r>
      <w:r>
        <w:rPr>
          <w:rFonts w:ascii="仿宋" w:hAnsi="仿宋" w:eastAsia="仿宋"/>
          <w:sz w:val="32"/>
          <w:szCs w:val="32"/>
        </w:rPr>
        <w:t>核查。</w:t>
      </w:r>
    </w:p>
    <w:p>
      <w:pPr>
        <w:ind w:firstLine="640" w:firstLineChars="200"/>
        <w:rPr>
          <w:rFonts w:ascii="仿宋" w:hAnsi="仿宋" w:eastAsia="仿宋"/>
          <w:sz w:val="32"/>
          <w:szCs w:val="32"/>
        </w:rPr>
      </w:pPr>
      <w:r>
        <w:rPr>
          <w:rFonts w:ascii="仿宋" w:hAnsi="仿宋" w:eastAsia="仿宋"/>
          <w:sz w:val="32"/>
          <w:szCs w:val="32"/>
        </w:rPr>
        <w:t>本次核查主要从系统架构和业务流程分析入手，全面查找</w:t>
      </w:r>
      <w:r>
        <w:rPr>
          <w:rFonts w:hint="eastAsia" w:ascii="仿宋" w:hAnsi="仿宋" w:eastAsia="仿宋"/>
          <w:kern w:val="0"/>
          <w:sz w:val="32"/>
          <w:szCs w:val="44"/>
          <w:lang w:eastAsia="zh-CN"/>
        </w:rPr>
        <w:t>和教育</w:t>
      </w:r>
      <w:r>
        <w:rPr>
          <w:rFonts w:ascii="仿宋" w:hAnsi="仿宋" w:eastAsia="仿宋"/>
          <w:sz w:val="32"/>
          <w:szCs w:val="32"/>
        </w:rPr>
        <w:t>配置的不安全因素，查验业务系统是否存在信息安全隐患，保障业务信息安全。</w:t>
      </w:r>
    </w:p>
    <w:p>
      <w:pPr>
        <w:ind w:firstLine="640" w:firstLineChars="200"/>
        <w:rPr>
          <w:rFonts w:ascii="仿宋" w:hAnsi="仿宋" w:eastAsia="仿宋"/>
          <w:sz w:val="32"/>
          <w:szCs w:val="32"/>
        </w:rPr>
      </w:pPr>
      <w:r>
        <w:rPr>
          <w:rFonts w:ascii="仿宋" w:hAnsi="仿宋" w:eastAsia="仿宋"/>
          <w:sz w:val="32"/>
          <w:szCs w:val="32"/>
        </w:rPr>
        <w:t>本报告评估结论的有效性建立在被评估单位提供相关证据的真实性基础之上。</w:t>
      </w:r>
    </w:p>
    <w:p>
      <w:pPr>
        <w:ind w:firstLine="640" w:firstLineChars="200"/>
        <w:rPr>
          <w:rFonts w:ascii="仿宋" w:hAnsi="仿宋" w:eastAsia="仿宋"/>
          <w:sz w:val="32"/>
          <w:szCs w:val="32"/>
        </w:rPr>
      </w:pPr>
      <w:r>
        <w:rPr>
          <w:rFonts w:ascii="仿宋" w:hAnsi="仿宋" w:eastAsia="仿宋"/>
          <w:sz w:val="32"/>
          <w:szCs w:val="32"/>
        </w:rPr>
        <w:t>本报告中所给出的</w:t>
      </w:r>
      <w:r>
        <w:rPr>
          <w:rFonts w:hint="eastAsia" w:ascii="仿宋" w:hAnsi="仿宋" w:eastAsia="仿宋" w:cs="Calibri"/>
          <w:sz w:val="32"/>
          <w:szCs w:val="32"/>
        </w:rPr>
        <w:t>核查</w:t>
      </w:r>
      <w:r>
        <w:rPr>
          <w:rFonts w:ascii="仿宋" w:hAnsi="仿宋" w:eastAsia="仿宋"/>
          <w:sz w:val="32"/>
          <w:szCs w:val="32"/>
        </w:rPr>
        <w:t>结论仅对被评估业务系统当时的安全状态有效。当评估工作完成后，由于业务系统发生变更而涉及到的系统构成组件（或子系统）都应重新进行评估，本报告不再适用。</w:t>
      </w:r>
    </w:p>
    <w:p>
      <w:pPr>
        <w:ind w:firstLine="640" w:firstLineChars="200"/>
        <w:rPr>
          <w:rFonts w:ascii="仿宋" w:hAnsi="仿宋" w:eastAsia="仿宋"/>
          <w:sz w:val="32"/>
          <w:szCs w:val="32"/>
        </w:rPr>
      </w:pPr>
      <w:r>
        <w:rPr>
          <w:rFonts w:ascii="仿宋" w:hAnsi="仿宋" w:eastAsia="仿宋"/>
          <w:sz w:val="32"/>
          <w:szCs w:val="32"/>
        </w:rPr>
        <w:t>本报告中给出的</w:t>
      </w:r>
      <w:r>
        <w:rPr>
          <w:rFonts w:hint="eastAsia" w:ascii="仿宋" w:hAnsi="仿宋" w:eastAsia="仿宋" w:cs="Calibri"/>
          <w:sz w:val="32"/>
          <w:szCs w:val="32"/>
        </w:rPr>
        <w:t>核查</w:t>
      </w:r>
      <w:r>
        <w:rPr>
          <w:rFonts w:ascii="仿宋" w:hAnsi="仿宋" w:eastAsia="仿宋"/>
          <w:sz w:val="32"/>
          <w:szCs w:val="32"/>
        </w:rPr>
        <w:t>情况评估结论不能作为对业务系统内部署的相关系统构成组件（或产品）的评估结论。</w:t>
      </w:r>
    </w:p>
    <w:p>
      <w:pPr>
        <w:ind w:firstLine="640" w:firstLineChars="200"/>
        <w:rPr>
          <w:rFonts w:ascii="仿宋" w:hAnsi="仿宋" w:eastAsia="仿宋"/>
          <w:sz w:val="32"/>
          <w:szCs w:val="32"/>
        </w:rPr>
      </w:pPr>
      <w:r>
        <w:rPr>
          <w:rFonts w:ascii="仿宋" w:hAnsi="仿宋" w:eastAsia="仿宋"/>
          <w:sz w:val="32"/>
          <w:szCs w:val="32"/>
        </w:rPr>
        <w:t>在任何情况下，若需引用本报告中的</w:t>
      </w:r>
      <w:r>
        <w:rPr>
          <w:rFonts w:hint="eastAsia" w:ascii="仿宋" w:hAnsi="仿宋" w:eastAsia="仿宋" w:cs="Calibri"/>
          <w:sz w:val="32"/>
          <w:szCs w:val="32"/>
        </w:rPr>
        <w:t>核查</w:t>
      </w:r>
      <w:r>
        <w:rPr>
          <w:rFonts w:ascii="仿宋" w:hAnsi="仿宋" w:eastAsia="仿宋"/>
          <w:sz w:val="32"/>
          <w:szCs w:val="32"/>
        </w:rPr>
        <w:t>结果或结论都应保持其原有的意义，不得对相关内容擅自进行增加、修改和伪造或掩盖事实。</w:t>
      </w:r>
    </w:p>
    <w:p>
      <w:pPr>
        <w:ind w:firstLine="640" w:firstLineChars="200"/>
        <w:rPr>
          <w:rFonts w:eastAsia="仿宋"/>
          <w:sz w:val="32"/>
          <w:szCs w:val="32"/>
        </w:rPr>
      </w:pPr>
    </w:p>
    <w:p>
      <w:pPr>
        <w:ind w:firstLine="640" w:firstLineChars="200"/>
        <w:rPr>
          <w:rFonts w:eastAsia="仿宋"/>
          <w:sz w:val="32"/>
          <w:szCs w:val="32"/>
        </w:rPr>
      </w:pPr>
    </w:p>
    <w:p>
      <w:pPr>
        <w:pageBreakBefore/>
        <w:jc w:val="center"/>
        <w:rPr>
          <w:rFonts w:eastAsia="仿宋"/>
          <w:b/>
          <w:bCs/>
          <w:sz w:val="32"/>
          <w:szCs w:val="32"/>
        </w:rPr>
      </w:pPr>
      <w:r>
        <w:rPr>
          <w:rFonts w:hint="eastAsia" w:eastAsia="仿宋"/>
          <w:b/>
          <w:bCs/>
          <w:sz w:val="32"/>
          <w:szCs w:val="32"/>
        </w:rPr>
        <w:t>评估复核情况</w:t>
      </w:r>
      <w:r>
        <w:rPr>
          <w:rFonts w:eastAsia="仿宋"/>
          <w:b/>
          <w:bCs/>
          <w:sz w:val="32"/>
          <w:szCs w:val="32"/>
        </w:rPr>
        <w:t>确认签字表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jc w:val="center"/>
              <w:rPr>
                <w:rFonts w:eastAsia="仿宋"/>
                <w:b/>
                <w:bCs/>
                <w:sz w:val="24"/>
              </w:rPr>
            </w:pPr>
            <w:r>
              <w:rPr>
                <w:rFonts w:eastAsia="仿宋"/>
                <w:b/>
                <w:bCs/>
                <w:sz w:val="24"/>
              </w:rPr>
              <w:t>受评</w:t>
            </w:r>
          </w:p>
          <w:p>
            <w:pPr>
              <w:jc w:val="center"/>
              <w:rPr>
                <w:rFonts w:eastAsia="仿宋"/>
                <w:b/>
                <w:bCs/>
                <w:sz w:val="24"/>
              </w:rPr>
            </w:pPr>
            <w:r>
              <w:rPr>
                <w:rFonts w:eastAsia="仿宋"/>
                <w:b/>
                <w:bCs/>
                <w:sz w:val="24"/>
              </w:rPr>
              <w:t>单位</w:t>
            </w:r>
          </w:p>
        </w:tc>
        <w:tc>
          <w:tcPr>
            <w:tcW w:w="6713" w:type="dxa"/>
            <w:vAlign w:val="center"/>
          </w:tcPr>
          <w:p>
            <w:pPr>
              <w:rPr>
                <w:rFonts w:eastAsia="仿宋"/>
                <w:sz w:val="24"/>
              </w:rPr>
            </w:pPr>
            <w:r>
              <w:rPr>
                <w:rFonts w:hint="eastAsia" w:eastAsia="仿宋"/>
                <w:sz w:val="24"/>
              </w:rPr>
              <w:t>中国移动通信集团</w:t>
            </w:r>
            <w:r>
              <w:rPr>
                <w:rFonts w:hint="eastAsia" w:eastAsia="仿宋"/>
                <w:sz w:val="24"/>
                <w:lang w:eastAsia="zh-CN"/>
              </w:rPr>
              <w:t>山西</w:t>
            </w:r>
            <w:r>
              <w:rPr>
                <w:rFonts w:hint="eastAsia" w:eastAsia="仿宋"/>
                <w:sz w:val="24"/>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jc w:val="center"/>
              <w:rPr>
                <w:rFonts w:eastAsia="仿宋" w:cs="Calibri"/>
                <w:b/>
                <w:bCs/>
                <w:sz w:val="24"/>
              </w:rPr>
            </w:pPr>
            <w:r>
              <w:rPr>
                <w:rFonts w:eastAsia="仿宋"/>
                <w:b/>
                <w:bCs/>
                <w:sz w:val="24"/>
              </w:rPr>
              <w:t>复</w:t>
            </w:r>
            <w:r>
              <w:rPr>
                <w:rFonts w:hint="eastAsia" w:eastAsia="仿宋" w:cs="Calibri"/>
                <w:b/>
                <w:bCs/>
                <w:sz w:val="24"/>
              </w:rPr>
              <w:t>核</w:t>
            </w:r>
          </w:p>
          <w:p>
            <w:pPr>
              <w:jc w:val="center"/>
              <w:rPr>
                <w:rFonts w:eastAsia="仿宋"/>
                <w:b/>
                <w:bCs/>
                <w:sz w:val="24"/>
              </w:rPr>
            </w:pPr>
            <w:r>
              <w:rPr>
                <w:rFonts w:eastAsia="仿宋"/>
                <w:b/>
                <w:bCs/>
                <w:sz w:val="24"/>
              </w:rPr>
              <w:t>业务</w:t>
            </w:r>
          </w:p>
        </w:tc>
        <w:tc>
          <w:tcPr>
            <w:tcW w:w="6713" w:type="dxa"/>
            <w:vAlign w:val="center"/>
          </w:tcPr>
          <w:p>
            <w:pPr>
              <w:rPr>
                <w:rFonts w:hint="eastAsia" w:eastAsia="仿宋"/>
                <w:sz w:val="24"/>
                <w:lang w:eastAsia="zh-CN"/>
              </w:rPr>
            </w:pPr>
            <w:r>
              <w:rPr>
                <w:rFonts w:hint="eastAsia" w:eastAsia="仿宋"/>
                <w:sz w:val="24"/>
                <w:lang w:eastAsia="zh-CN"/>
              </w:rPr>
              <w:t>和教育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jc w:val="center"/>
              <w:rPr>
                <w:rFonts w:eastAsia="仿宋"/>
                <w:b/>
                <w:bCs/>
                <w:sz w:val="24"/>
              </w:rPr>
            </w:pPr>
            <w:r>
              <w:rPr>
                <w:rFonts w:eastAsia="仿宋"/>
                <w:b/>
                <w:bCs/>
                <w:sz w:val="24"/>
              </w:rPr>
              <w:t>评估</w:t>
            </w:r>
          </w:p>
          <w:p>
            <w:pPr>
              <w:jc w:val="center"/>
              <w:rPr>
                <w:rFonts w:eastAsia="仿宋"/>
                <w:b/>
                <w:bCs/>
                <w:sz w:val="24"/>
              </w:rPr>
            </w:pPr>
            <w:r>
              <w:rPr>
                <w:rFonts w:eastAsia="仿宋"/>
                <w:b/>
                <w:bCs/>
                <w:sz w:val="24"/>
              </w:rPr>
              <w:t>复</w:t>
            </w:r>
            <w:r>
              <w:rPr>
                <w:rFonts w:hint="eastAsia" w:eastAsia="仿宋"/>
                <w:b/>
                <w:bCs/>
                <w:sz w:val="24"/>
              </w:rPr>
              <w:t>核</w:t>
            </w:r>
          </w:p>
          <w:p>
            <w:pPr>
              <w:jc w:val="center"/>
              <w:rPr>
                <w:rFonts w:eastAsia="仿宋"/>
                <w:b/>
                <w:bCs/>
                <w:sz w:val="24"/>
              </w:rPr>
            </w:pPr>
            <w:r>
              <w:rPr>
                <w:rFonts w:eastAsia="仿宋"/>
                <w:b/>
                <w:bCs/>
                <w:sz w:val="24"/>
              </w:rPr>
              <w:t>依据</w:t>
            </w:r>
          </w:p>
        </w:tc>
        <w:tc>
          <w:tcPr>
            <w:tcW w:w="6713" w:type="dxa"/>
            <w:vAlign w:val="center"/>
          </w:tcPr>
          <w:p>
            <w:pPr>
              <w:rPr>
                <w:rFonts w:eastAsia="仿宋"/>
                <w:sz w:val="24"/>
              </w:rPr>
            </w:pPr>
            <w:r>
              <w:rPr>
                <w:rFonts w:eastAsia="仿宋"/>
                <w:sz w:val="24"/>
              </w:rPr>
              <w:t>1、《工业和信息化部办公厅关于印发&lt;2018年省级基础电信企业网络与信息安全工作考核要点与评分标准&gt;的通知》（工信厅网安〔2018〕4号）</w:t>
            </w:r>
          </w:p>
          <w:p>
            <w:pPr>
              <w:rPr>
                <w:rFonts w:eastAsia="仿宋"/>
                <w:sz w:val="24"/>
              </w:rPr>
            </w:pPr>
            <w:r>
              <w:rPr>
                <w:rFonts w:hint="eastAsia" w:eastAsia="仿宋"/>
                <w:sz w:val="24"/>
              </w:rPr>
              <w:t>2</w:t>
            </w:r>
            <w:r>
              <w:rPr>
                <w:rFonts w:eastAsia="仿宋"/>
                <w:sz w:val="24"/>
              </w:rPr>
              <w:t>、《互联网新技术新业务安全评估指南》（</w:t>
            </w:r>
            <w:r>
              <w:rPr>
                <w:rFonts w:hint="eastAsia" w:eastAsia="仿宋"/>
                <w:sz w:val="24"/>
              </w:rPr>
              <w:t>2018年修订版</w:t>
            </w:r>
            <w:r>
              <w:rPr>
                <w:rFonts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3" w:hRule="atLeast"/>
        </w:trPr>
        <w:tc>
          <w:tcPr>
            <w:tcW w:w="1809" w:type="dxa"/>
            <w:shd w:val="clear" w:color="auto" w:fill="auto"/>
            <w:vAlign w:val="center"/>
          </w:tcPr>
          <w:p>
            <w:pPr>
              <w:jc w:val="center"/>
              <w:rPr>
                <w:rFonts w:eastAsia="仿宋"/>
                <w:b/>
                <w:bCs/>
                <w:sz w:val="24"/>
              </w:rPr>
            </w:pPr>
            <w:r>
              <w:rPr>
                <w:rFonts w:eastAsia="仿宋"/>
                <w:b/>
                <w:bCs/>
                <w:sz w:val="24"/>
              </w:rPr>
              <w:t>复</w:t>
            </w:r>
            <w:r>
              <w:rPr>
                <w:rFonts w:hint="eastAsia" w:eastAsia="仿宋"/>
                <w:b/>
                <w:bCs/>
                <w:sz w:val="24"/>
              </w:rPr>
              <w:t>核</w:t>
            </w:r>
          </w:p>
          <w:p>
            <w:pPr>
              <w:jc w:val="center"/>
              <w:rPr>
                <w:rFonts w:eastAsia="仿宋"/>
                <w:b/>
                <w:bCs/>
                <w:sz w:val="24"/>
              </w:rPr>
            </w:pPr>
            <w:r>
              <w:rPr>
                <w:rFonts w:eastAsia="仿宋"/>
                <w:b/>
                <w:bCs/>
                <w:sz w:val="24"/>
              </w:rPr>
              <w:t>结果</w:t>
            </w:r>
          </w:p>
        </w:tc>
        <w:tc>
          <w:tcPr>
            <w:tcW w:w="6713" w:type="dxa"/>
            <w:shd w:val="clear" w:color="auto" w:fill="FFFFFF"/>
            <w:vAlign w:val="center"/>
          </w:tcPr>
          <w:p>
            <w:pPr>
              <w:ind w:firstLine="480" w:firstLineChars="200"/>
              <w:rPr>
                <w:rFonts w:eastAsia="仿宋"/>
                <w:color w:val="000000"/>
                <w:sz w:val="24"/>
              </w:rPr>
            </w:pPr>
            <w:r>
              <w:rPr>
                <w:rFonts w:eastAsia="仿宋"/>
                <w:color w:val="000000"/>
                <w:kern w:val="0"/>
                <w:sz w:val="24"/>
              </w:rPr>
              <w:t>根据工信部相关工作要求和标准，</w:t>
            </w:r>
            <w:r>
              <w:rPr>
                <w:rFonts w:eastAsia="仿宋"/>
                <w:color w:val="000000"/>
                <w:sz w:val="24"/>
              </w:rPr>
              <w:t>国家计算机网络与信息安全管理中心</w:t>
            </w:r>
            <w:r>
              <w:rPr>
                <w:rFonts w:hint="eastAsia" w:eastAsia="仿宋"/>
                <w:color w:val="000000"/>
                <w:sz w:val="24"/>
              </w:rPr>
              <w:t>对</w:t>
            </w:r>
            <w:r>
              <w:rPr>
                <w:rFonts w:hint="eastAsia" w:eastAsia="仿宋"/>
                <w:color w:val="000000"/>
                <w:sz w:val="24"/>
                <w:lang w:eastAsia="zh-CN"/>
              </w:rPr>
              <w:t>和教育</w:t>
            </w:r>
            <w:r>
              <w:rPr>
                <w:rFonts w:eastAsia="仿宋"/>
                <w:color w:val="000000"/>
                <w:sz w:val="24"/>
              </w:rPr>
              <w:t>业务进行了</w:t>
            </w:r>
            <w:r>
              <w:rPr>
                <w:rFonts w:hint="eastAsia" w:eastAsia="仿宋"/>
                <w:color w:val="000000"/>
                <w:sz w:val="24"/>
              </w:rPr>
              <w:t>复核，经评估一致认为：</w:t>
            </w:r>
          </w:p>
          <w:p>
            <w:pPr>
              <w:widowControl/>
              <w:numPr>
                <w:ilvl w:val="0"/>
                <w:numId w:val="1"/>
              </w:numPr>
              <w:rPr>
                <w:rFonts w:eastAsia="仿宋"/>
                <w:color w:val="000000"/>
                <w:sz w:val="24"/>
              </w:rPr>
            </w:pPr>
            <w:r>
              <w:rPr>
                <w:rFonts w:hint="eastAsia" w:eastAsia="仿宋"/>
                <w:color w:val="000000"/>
                <w:sz w:val="24"/>
              </w:rPr>
              <w:t>该业务存在部分信息安全风险，可进行改进，总体安全可控，但总体制度建设、制度规范需要进一步加强。</w:t>
            </w:r>
          </w:p>
          <w:p>
            <w:pPr>
              <w:widowControl/>
              <w:numPr>
                <w:ilvl w:val="0"/>
                <w:numId w:val="1"/>
              </w:numPr>
              <w:rPr>
                <w:rFonts w:eastAsia="仿宋"/>
                <w:sz w:val="24"/>
              </w:rPr>
            </w:pPr>
            <w:r>
              <w:rPr>
                <w:rFonts w:hint="eastAsia" w:eastAsia="仿宋"/>
                <w:color w:val="000000"/>
                <w:sz w:val="24"/>
              </w:rPr>
              <w:t>后续需在数据传输存储、信息内容管理等多方面进行问题整改，同步配套更新安全保障措施。</w:t>
            </w:r>
          </w:p>
          <w:p>
            <w:pPr>
              <w:widowControl/>
              <w:numPr>
                <w:ilvl w:val="0"/>
                <w:numId w:val="1"/>
              </w:numPr>
              <w:rPr>
                <w:rFonts w:eastAsia="仿宋"/>
                <w:sz w:val="24"/>
              </w:rPr>
            </w:pPr>
            <w:r>
              <w:rPr>
                <w:rFonts w:hint="eastAsia" w:eastAsia="仿宋"/>
                <w:sz w:val="24"/>
                <w:highlight w:val="none"/>
              </w:rPr>
              <w:t>该业务评估报告结构较为严谨，但存在部分项目研判依据不准确，技术保障方面仍存在信息安全的薄弱环节</w:t>
            </w:r>
            <w:r>
              <w:rPr>
                <w:rFonts w:hint="eastAsia" w:eastAsia="仿宋"/>
                <w:sz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jc w:val="center"/>
              <w:rPr>
                <w:rFonts w:eastAsia="仿宋"/>
                <w:b/>
                <w:bCs/>
                <w:sz w:val="24"/>
              </w:rPr>
            </w:pPr>
            <w:r>
              <w:rPr>
                <w:rFonts w:hint="eastAsia" w:eastAsia="仿宋"/>
                <w:b/>
                <w:bCs/>
                <w:sz w:val="24"/>
              </w:rPr>
              <w:t>评估单位</w:t>
            </w:r>
          </w:p>
          <w:p>
            <w:pPr>
              <w:jc w:val="center"/>
              <w:rPr>
                <w:rFonts w:eastAsia="仿宋"/>
                <w:b/>
                <w:bCs/>
                <w:sz w:val="24"/>
              </w:rPr>
            </w:pPr>
            <w:r>
              <w:rPr>
                <w:rFonts w:hint="eastAsia" w:eastAsia="仿宋"/>
                <w:b/>
                <w:bCs/>
                <w:sz w:val="24"/>
              </w:rPr>
              <w:t>复核</w:t>
            </w:r>
            <w:r>
              <w:rPr>
                <w:rFonts w:eastAsia="仿宋"/>
                <w:b/>
                <w:bCs/>
                <w:sz w:val="24"/>
              </w:rPr>
              <w:t>确认</w:t>
            </w:r>
          </w:p>
          <w:p>
            <w:pPr>
              <w:jc w:val="center"/>
              <w:rPr>
                <w:rFonts w:eastAsia="仿宋"/>
                <w:b/>
                <w:bCs/>
                <w:sz w:val="24"/>
              </w:rPr>
            </w:pPr>
            <w:r>
              <w:rPr>
                <w:rFonts w:eastAsia="仿宋"/>
                <w:b/>
                <w:bCs/>
                <w:sz w:val="24"/>
              </w:rPr>
              <w:t>（签字及盖章）</w:t>
            </w:r>
          </w:p>
        </w:tc>
        <w:tc>
          <w:tcPr>
            <w:tcW w:w="6713" w:type="dxa"/>
            <w:vAlign w:val="center"/>
          </w:tcPr>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jc w:val="center"/>
              <w:rPr>
                <w:rFonts w:eastAsia="仿宋"/>
                <w:b/>
                <w:bCs/>
                <w:sz w:val="24"/>
              </w:rPr>
            </w:pPr>
            <w:r>
              <w:rPr>
                <w:rFonts w:hint="eastAsia" w:eastAsia="仿宋"/>
                <w:b/>
                <w:bCs/>
                <w:sz w:val="24"/>
              </w:rPr>
              <w:t>信息安全部门负责人</w:t>
            </w:r>
          </w:p>
          <w:p>
            <w:pPr>
              <w:jc w:val="center"/>
              <w:rPr>
                <w:rFonts w:eastAsia="仿宋"/>
                <w:b/>
                <w:bCs/>
                <w:sz w:val="24"/>
              </w:rPr>
            </w:pPr>
            <w:r>
              <w:rPr>
                <w:rFonts w:hint="eastAsia" w:eastAsia="仿宋"/>
                <w:b/>
                <w:bCs/>
                <w:sz w:val="24"/>
              </w:rPr>
              <w:t>（签字及盖章）</w:t>
            </w:r>
          </w:p>
        </w:tc>
        <w:tc>
          <w:tcPr>
            <w:tcW w:w="6713" w:type="dxa"/>
            <w:vAlign w:val="center"/>
          </w:tcPr>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p>
            <w:pPr>
              <w:rPr>
                <w:rFonts w:eastAsia="仿宋"/>
                <w:sz w:val="24"/>
              </w:rPr>
            </w:pPr>
          </w:p>
        </w:tc>
      </w:tr>
    </w:tbl>
    <w:p>
      <w:pPr>
        <w:rPr>
          <w:rFonts w:ascii="黑体" w:hAnsi="黑体" w:eastAsia="黑体"/>
          <w:sz w:val="32"/>
        </w:rPr>
      </w:pPr>
    </w:p>
    <w:p>
      <w:pPr>
        <w:rPr>
          <w:rFonts w:ascii="黑体" w:hAnsi="黑体" w:eastAsia="黑体"/>
          <w:sz w:val="32"/>
        </w:rPr>
      </w:pPr>
      <w:r>
        <w:rPr>
          <w:rFonts w:ascii="黑体" w:hAnsi="黑体" w:eastAsia="黑体"/>
          <w:sz w:val="32"/>
        </w:rPr>
        <w:br w:type="page"/>
      </w:r>
      <w:r>
        <w:rPr>
          <w:rFonts w:hint="eastAsia" w:ascii="黑体" w:hAnsi="黑体" w:eastAsia="黑体"/>
          <w:sz w:val="32"/>
        </w:rPr>
        <w:t>附件：复核记录</w:t>
      </w:r>
    </w:p>
    <w:p>
      <w:pPr>
        <w:numPr>
          <w:ilvl w:val="0"/>
          <w:numId w:val="2"/>
        </w:numPr>
        <w:spacing w:line="276" w:lineRule="auto"/>
        <w:rPr>
          <w:rFonts w:ascii="仿宋" w:hAnsi="仿宋" w:eastAsia="仿宋"/>
          <w:b/>
          <w:sz w:val="32"/>
        </w:rPr>
      </w:pPr>
      <w:r>
        <w:rPr>
          <w:rFonts w:hint="eastAsia" w:ascii="仿宋" w:hAnsi="仿宋" w:eastAsia="仿宋"/>
          <w:b/>
          <w:sz w:val="32"/>
        </w:rPr>
        <w:t>初评报告中部分研判不准确：</w:t>
      </w:r>
    </w:p>
    <w:p>
      <w:pPr>
        <w:ind w:firstLine="640" w:firstLineChars="200"/>
        <w:rPr>
          <w:rFonts w:ascii="仿宋" w:hAnsi="仿宋" w:eastAsia="仿宋"/>
          <w:b/>
          <w:sz w:val="32"/>
        </w:rPr>
      </w:pPr>
      <w:r>
        <w:rPr>
          <w:rFonts w:hint="eastAsia" w:ascii="仿宋" w:hAnsi="仿宋" w:eastAsia="仿宋"/>
          <w:sz w:val="32"/>
          <w:highlight w:val="none"/>
        </w:rPr>
        <w:t>初评报告中存在部分内容研判不准确</w:t>
      </w:r>
      <w:r>
        <w:rPr>
          <w:rFonts w:hint="eastAsia" w:ascii="仿宋" w:hAnsi="仿宋" w:eastAsia="仿宋"/>
          <w:b/>
          <w:bCs/>
          <w:sz w:val="32"/>
          <w:highlight w:val="none"/>
          <w:lang w:eastAsia="zh-CN"/>
        </w:rPr>
        <w:t>（</w:t>
      </w:r>
      <w:r>
        <w:rPr>
          <w:rFonts w:hint="eastAsia" w:ascii="仿宋" w:hAnsi="仿宋" w:eastAsia="仿宋"/>
          <w:b/>
          <w:bCs/>
          <w:sz w:val="32"/>
          <w:highlight w:val="none"/>
          <w:lang w:val="en-US" w:eastAsia="zh-CN"/>
        </w:rPr>
        <w:t>如：3.2.1 信息内容管理制度，信息发布递送功能管理，信息及时交互-信息销毁功能管理，信息社区功能管理</w:t>
      </w:r>
      <w:r>
        <w:rPr>
          <w:rFonts w:hint="eastAsia" w:ascii="仿宋" w:hAnsi="仿宋" w:eastAsia="仿宋"/>
          <w:b/>
          <w:bCs/>
          <w:sz w:val="32"/>
          <w:highlight w:val="none"/>
          <w:lang w:eastAsia="zh-CN"/>
        </w:rPr>
        <w:t>）</w:t>
      </w:r>
      <w:r>
        <w:rPr>
          <w:rFonts w:hint="eastAsia" w:ascii="仿宋" w:hAnsi="仿宋" w:eastAsia="仿宋"/>
          <w:sz w:val="32"/>
          <w:highlight w:val="none"/>
        </w:rPr>
        <w:t>，</w:t>
      </w:r>
      <w:r>
        <w:rPr>
          <w:rFonts w:hint="eastAsia" w:ascii="仿宋" w:hAnsi="仿宋" w:eastAsia="仿宋"/>
          <w:sz w:val="32"/>
          <w:highlight w:val="none"/>
          <w:lang w:val="en-US" w:eastAsia="zh-CN"/>
        </w:rPr>
        <w:t>对</w:t>
      </w:r>
      <w:r>
        <w:rPr>
          <w:rFonts w:hint="eastAsia" w:ascii="仿宋" w:hAnsi="仿宋" w:eastAsia="仿宋"/>
          <w:sz w:val="32"/>
          <w:highlight w:val="none"/>
          <w:lang w:eastAsia="zh-CN"/>
        </w:rPr>
        <w:t>日常管理制度的评估</w:t>
      </w:r>
      <w:r>
        <w:rPr>
          <w:rFonts w:hint="eastAsia" w:ascii="仿宋" w:hAnsi="仿宋" w:eastAsia="仿宋"/>
          <w:sz w:val="32"/>
          <w:highlight w:val="none"/>
          <w:lang w:val="en-US" w:eastAsia="zh-CN"/>
        </w:rPr>
        <w:t>不够全面</w:t>
      </w:r>
      <w:r>
        <w:rPr>
          <w:rFonts w:hint="eastAsia" w:ascii="仿宋" w:hAnsi="仿宋" w:eastAsia="仿宋"/>
          <w:sz w:val="32"/>
          <w:highlight w:val="none"/>
          <w:lang w:eastAsia="zh-CN"/>
        </w:rPr>
        <w:t>，</w:t>
      </w:r>
      <w:r>
        <w:rPr>
          <w:rFonts w:hint="eastAsia" w:ascii="仿宋" w:hAnsi="仿宋" w:eastAsia="仿宋"/>
          <w:sz w:val="32"/>
          <w:highlight w:val="none"/>
        </w:rPr>
        <w:t>建议对报告进行完善统一</w:t>
      </w:r>
      <w:r>
        <w:rPr>
          <w:rFonts w:hint="eastAsia" w:ascii="仿宋" w:hAnsi="仿宋" w:eastAsia="仿宋"/>
          <w:sz w:val="32"/>
          <w:highlight w:val="none"/>
          <w:lang w:eastAsia="zh-CN"/>
        </w:rPr>
        <w:t>，</w:t>
      </w:r>
      <w:r>
        <w:rPr>
          <w:rFonts w:hint="eastAsia" w:ascii="仿宋" w:hAnsi="仿宋" w:eastAsia="仿宋"/>
          <w:sz w:val="32"/>
          <w:highlight w:val="none"/>
          <w:lang w:val="en-US" w:eastAsia="zh-CN"/>
        </w:rPr>
        <w:t>精简内容</w:t>
      </w:r>
      <w:r>
        <w:rPr>
          <w:rFonts w:hint="eastAsia" w:ascii="仿宋" w:hAnsi="仿宋" w:eastAsia="仿宋"/>
          <w:sz w:val="32"/>
          <w:highlight w:val="none"/>
        </w:rPr>
        <w:t>，加强评估报告的规范性</w:t>
      </w:r>
      <w:r>
        <w:rPr>
          <w:rFonts w:hint="eastAsia" w:ascii="仿宋" w:hAnsi="仿宋" w:eastAsia="仿宋"/>
          <w:sz w:val="32"/>
        </w:rPr>
        <w:t>。</w:t>
      </w:r>
    </w:p>
    <w:p>
      <w:pPr>
        <w:numPr>
          <w:ilvl w:val="0"/>
          <w:numId w:val="2"/>
        </w:numPr>
        <w:spacing w:line="276" w:lineRule="auto"/>
        <w:rPr>
          <w:rFonts w:ascii="仿宋" w:hAnsi="仿宋" w:eastAsia="仿宋"/>
          <w:b/>
          <w:sz w:val="32"/>
        </w:rPr>
      </w:pPr>
      <w:r>
        <w:rPr>
          <w:rFonts w:hint="eastAsia" w:ascii="仿宋" w:hAnsi="仿宋" w:eastAsia="仿宋"/>
          <w:b/>
          <w:sz w:val="32"/>
        </w:rPr>
        <w:t>复评中新发现的问题：</w:t>
      </w:r>
    </w:p>
    <w:p>
      <w:pPr>
        <w:numPr>
          <w:ilvl w:val="0"/>
          <w:numId w:val="3"/>
        </w:numPr>
        <w:rPr>
          <w:rFonts w:ascii="仿宋" w:hAnsi="仿宋" w:eastAsia="仿宋"/>
          <w:b/>
          <w:sz w:val="32"/>
          <w:szCs w:val="32"/>
        </w:rPr>
      </w:pPr>
      <w:r>
        <w:rPr>
          <w:rFonts w:hint="eastAsia" w:ascii="仿宋" w:hAnsi="仿宋" w:eastAsia="仿宋"/>
          <w:b/>
          <w:sz w:val="32"/>
          <w:szCs w:val="32"/>
        </w:rPr>
        <w:t>业务制度建设存在部分问题</w:t>
      </w:r>
    </w:p>
    <w:p>
      <w:pPr>
        <w:ind w:firstLine="640" w:firstLineChars="200"/>
        <w:rPr>
          <w:rFonts w:hint="eastAsia" w:ascii="仿宋" w:hAnsi="仿宋" w:eastAsia="仿宋"/>
          <w:sz w:val="32"/>
          <w:highlight w:val="none"/>
          <w:lang w:eastAsia="zh-CN"/>
        </w:rPr>
      </w:pPr>
      <w:r>
        <w:rPr>
          <w:rFonts w:hint="eastAsia" w:ascii="仿宋" w:hAnsi="仿宋" w:eastAsia="仿宋"/>
          <w:sz w:val="32"/>
          <w:highlight w:val="none"/>
        </w:rPr>
        <w:t>按照相关管理要求，</w:t>
      </w:r>
      <w:r>
        <w:rPr>
          <w:rFonts w:hint="eastAsia" w:ascii="仿宋" w:hAnsi="仿宋" w:eastAsia="仿宋"/>
          <w:sz w:val="32"/>
          <w:highlight w:val="none"/>
          <w:lang w:eastAsia="zh-CN"/>
        </w:rPr>
        <w:t>山西</w:t>
      </w:r>
      <w:r>
        <w:rPr>
          <w:rFonts w:hint="eastAsia" w:ascii="仿宋" w:hAnsi="仿宋" w:eastAsia="仿宋"/>
          <w:sz w:val="32"/>
          <w:highlight w:val="none"/>
        </w:rPr>
        <w:t>移动建立了一系列管理办法保障业务安全。该业务平台目前管理制度为集团公司规范，需进一步按照业务需求，对应制度完善满足本业务保障需要的制度，需形成制度性文件保障业务安全。</w:t>
      </w:r>
    </w:p>
    <w:p>
      <w:pPr>
        <w:numPr>
          <w:ilvl w:val="0"/>
          <w:numId w:val="3"/>
        </w:numPr>
        <w:rPr>
          <w:rFonts w:ascii="仿宋" w:hAnsi="仿宋" w:eastAsia="仿宋"/>
          <w:b/>
          <w:sz w:val="32"/>
          <w:szCs w:val="32"/>
        </w:rPr>
      </w:pPr>
      <w:r>
        <w:rPr>
          <w:rFonts w:hint="eastAsia" w:ascii="仿宋" w:hAnsi="仿宋" w:eastAsia="仿宋"/>
          <w:b/>
          <w:sz w:val="32"/>
          <w:szCs w:val="32"/>
        </w:rPr>
        <w:t>业务保障能力方面，存在部分保障安全风险</w:t>
      </w:r>
    </w:p>
    <w:p>
      <w:pPr>
        <w:numPr>
          <w:ilvl w:val="0"/>
          <w:numId w:val="4"/>
        </w:numPr>
        <w:ind w:firstLine="643" w:firstLineChars="200"/>
        <w:rPr>
          <w:rFonts w:hint="eastAsia" w:ascii="仿宋" w:hAnsi="仿宋" w:eastAsia="仿宋"/>
          <w:sz w:val="32"/>
          <w:szCs w:val="32"/>
        </w:rPr>
      </w:pPr>
      <w:r>
        <w:rPr>
          <w:rFonts w:hint="eastAsia" w:ascii="仿宋" w:hAnsi="仿宋" w:eastAsia="仿宋"/>
          <w:b/>
          <w:sz w:val="32"/>
          <w:szCs w:val="32"/>
        </w:rPr>
        <w:t>业务应用安全保障：</w:t>
      </w:r>
    </w:p>
    <w:p>
      <w:pPr>
        <w:numPr>
          <w:ilvl w:val="0"/>
          <w:numId w:val="5"/>
        </w:numPr>
        <w:ind w:left="0" w:leftChars="0" w:firstLine="640" w:firstLineChars="200"/>
        <w:rPr>
          <w:rFonts w:hint="eastAsia" w:ascii="仿宋" w:hAnsi="仿宋" w:eastAsia="仿宋"/>
          <w:sz w:val="32"/>
          <w:szCs w:val="32"/>
        </w:rPr>
      </w:pPr>
      <w:r>
        <w:rPr>
          <w:rFonts w:hint="eastAsia" w:ascii="仿宋" w:hAnsi="仿宋" w:eastAsia="仿宋"/>
          <w:sz w:val="32"/>
          <w:szCs w:val="32"/>
        </w:rPr>
        <w:t>无先审后发机制</w:t>
      </w:r>
      <w:r>
        <w:rPr>
          <w:rFonts w:hint="eastAsia" w:ascii="仿宋" w:hAnsi="仿宋" w:eastAsia="仿宋"/>
          <w:sz w:val="32"/>
          <w:szCs w:val="32"/>
          <w:lang w:eastAsia="zh-CN"/>
        </w:rPr>
        <w:t>，</w:t>
      </w:r>
      <w:r>
        <w:rPr>
          <w:rFonts w:hint="eastAsia" w:ascii="仿宋" w:hAnsi="仿宋" w:eastAsia="仿宋"/>
          <w:sz w:val="32"/>
          <w:szCs w:val="32"/>
        </w:rPr>
        <w:t>评论</w:t>
      </w:r>
      <w:r>
        <w:rPr>
          <w:rFonts w:hint="eastAsia" w:ascii="仿宋" w:hAnsi="仿宋" w:eastAsia="仿宋"/>
          <w:sz w:val="32"/>
          <w:szCs w:val="32"/>
          <w:lang w:eastAsia="zh-CN"/>
        </w:rPr>
        <w:t>、</w:t>
      </w:r>
      <w:r>
        <w:rPr>
          <w:rFonts w:hint="eastAsia" w:ascii="仿宋" w:hAnsi="仿宋" w:eastAsia="仿宋"/>
          <w:sz w:val="32"/>
          <w:szCs w:val="32"/>
        </w:rPr>
        <w:t>微校园</w:t>
      </w:r>
      <w:r>
        <w:rPr>
          <w:rFonts w:hint="eastAsia" w:ascii="仿宋" w:hAnsi="仿宋" w:eastAsia="仿宋"/>
          <w:sz w:val="32"/>
          <w:szCs w:val="32"/>
          <w:lang w:val="en-US" w:eastAsia="zh-CN"/>
        </w:rPr>
        <w:t>功能缺乏先审后发机制，整个应用</w:t>
      </w:r>
      <w:r>
        <w:rPr>
          <w:rFonts w:hint="eastAsia" w:ascii="仿宋" w:hAnsi="仿宋" w:eastAsia="仿宋"/>
          <w:sz w:val="32"/>
          <w:szCs w:val="32"/>
        </w:rPr>
        <w:t>缺乏敏感词</w:t>
      </w:r>
      <w:r>
        <w:rPr>
          <w:rFonts w:hint="eastAsia" w:ascii="仿宋" w:hAnsi="仿宋" w:eastAsia="仿宋"/>
          <w:sz w:val="32"/>
          <w:szCs w:val="32"/>
          <w:lang w:val="en-US" w:eastAsia="zh-CN"/>
        </w:rPr>
        <w:t>和敏感图片</w:t>
      </w:r>
      <w:r>
        <w:rPr>
          <w:rFonts w:hint="eastAsia" w:ascii="仿宋" w:hAnsi="仿宋" w:eastAsia="仿宋"/>
          <w:sz w:val="32"/>
          <w:szCs w:val="32"/>
        </w:rPr>
        <w:t>过滤审核机制</w:t>
      </w:r>
      <w:r>
        <w:rPr>
          <w:rFonts w:hint="eastAsia" w:ascii="仿宋" w:hAnsi="仿宋" w:eastAsia="仿宋"/>
          <w:sz w:val="32"/>
          <w:szCs w:val="32"/>
          <w:lang w:eastAsia="zh-CN"/>
        </w:rPr>
        <w:t>；</w:t>
      </w:r>
      <w:r>
        <w:rPr>
          <w:rFonts w:hint="eastAsia" w:ascii="仿宋" w:hAnsi="仿宋" w:eastAsia="仿宋"/>
          <w:b/>
          <w:sz w:val="32"/>
          <w:szCs w:val="32"/>
        </w:rPr>
        <w:t>风险程度：高</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建议：对应用中涉及到评论、留言、群组聊天功能都进行敏感词、敏感图片的审核；</w:t>
      </w:r>
    </w:p>
    <w:p>
      <w:pPr>
        <w:numPr>
          <w:numId w:val="0"/>
        </w:numPr>
        <w:ind w:leftChars="200"/>
        <w:rPr>
          <w:rFonts w:hint="eastAsia" w:ascii="仿宋" w:hAnsi="仿宋" w:eastAsia="仿宋"/>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仿宋" w:hAnsi="仿宋" w:eastAsia="仿宋"/>
          <w:sz w:val="32"/>
          <w:szCs w:val="32"/>
        </w:rPr>
      </w:pPr>
      <w:r>
        <w:rPr>
          <w:rFonts w:hint="eastAsia" w:ascii="仿宋" w:hAnsi="仿宋" w:eastAsia="仿宋"/>
          <w:b w:val="0"/>
          <w:bCs/>
          <w:sz w:val="22"/>
          <w:szCs w:val="22"/>
          <w:lang w:val="en-US" w:eastAsia="zh-CN"/>
        </w:rPr>
        <w:drawing>
          <wp:inline distT="0" distB="0" distL="114300" distR="114300">
            <wp:extent cx="1800225" cy="3740785"/>
            <wp:effectExtent l="0" t="0" r="9525" b="12065"/>
            <wp:docPr id="8" name="图片 8" descr="43a8546a792a26aea5acbbe211f78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3a8546a792a26aea5acbbe211f784a"/>
                    <pic:cNvPicPr>
                      <a:picLocks noChangeAspect="1"/>
                    </pic:cNvPicPr>
                  </pic:nvPicPr>
                  <pic:blipFill>
                    <a:blip r:embed="rId7"/>
                    <a:stretch>
                      <a:fillRect/>
                    </a:stretch>
                  </pic:blipFill>
                  <pic:spPr>
                    <a:xfrm>
                      <a:off x="0" y="0"/>
                      <a:ext cx="1800225" cy="3740785"/>
                    </a:xfrm>
                    <a:prstGeom prst="rect">
                      <a:avLst/>
                    </a:prstGeom>
                  </pic:spPr>
                </pic:pic>
              </a:graphicData>
            </a:graphic>
          </wp:inline>
        </w:drawing>
      </w:r>
      <w:r>
        <w:rPr>
          <w:rFonts w:hint="eastAsia" w:ascii="仿宋" w:hAnsi="仿宋" w:eastAsia="仿宋"/>
          <w:sz w:val="32"/>
          <w:szCs w:val="32"/>
        </w:rPr>
        <w:drawing>
          <wp:inline distT="0" distB="0" distL="114300" distR="114300">
            <wp:extent cx="1800225" cy="3800475"/>
            <wp:effectExtent l="0" t="0" r="9525" b="9525"/>
            <wp:docPr id="11" name="图片 11" descr="c546e143c8245c013454411bc668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546e143c8245c013454411bc668f7f"/>
                    <pic:cNvPicPr>
                      <a:picLocks noChangeAspect="1"/>
                    </pic:cNvPicPr>
                  </pic:nvPicPr>
                  <pic:blipFill>
                    <a:blip r:embed="rId8"/>
                    <a:stretch>
                      <a:fillRect/>
                    </a:stretch>
                  </pic:blipFill>
                  <pic:spPr>
                    <a:xfrm>
                      <a:off x="0" y="0"/>
                      <a:ext cx="1800225" cy="3800475"/>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rPr>
      </w:pPr>
      <w:r>
        <w:rPr>
          <w:rFonts w:hint="eastAsia" w:ascii="仿宋" w:hAnsi="仿宋" w:eastAsia="仿宋"/>
          <w:sz w:val="32"/>
          <w:szCs w:val="32"/>
          <w:lang w:val="en-US" w:eastAsia="zh-CN"/>
        </w:rPr>
        <w:t>可以</w:t>
      </w:r>
      <w:r>
        <w:rPr>
          <w:rFonts w:hint="eastAsia" w:ascii="仿宋" w:hAnsi="仿宋" w:eastAsia="仿宋"/>
          <w:sz w:val="32"/>
          <w:szCs w:val="32"/>
        </w:rPr>
        <w:t>建立群组</w:t>
      </w:r>
      <w:r>
        <w:rPr>
          <w:rFonts w:hint="eastAsia" w:ascii="仿宋" w:hAnsi="仿宋" w:eastAsia="仿宋"/>
          <w:sz w:val="32"/>
          <w:szCs w:val="32"/>
          <w:lang w:eastAsia="zh-CN"/>
        </w:rPr>
        <w:t>，</w:t>
      </w:r>
      <w:r>
        <w:rPr>
          <w:rFonts w:hint="eastAsia" w:ascii="仿宋" w:hAnsi="仿宋" w:eastAsia="仿宋"/>
          <w:sz w:val="32"/>
          <w:szCs w:val="32"/>
          <w:lang w:val="en-US" w:eastAsia="zh-CN"/>
        </w:rPr>
        <w:t>且</w:t>
      </w:r>
      <w:r>
        <w:rPr>
          <w:rFonts w:hint="eastAsia" w:ascii="仿宋" w:hAnsi="仿宋" w:eastAsia="仿宋"/>
          <w:sz w:val="32"/>
          <w:szCs w:val="32"/>
        </w:rPr>
        <w:t>发消息无过滤</w:t>
      </w:r>
      <w:r>
        <w:rPr>
          <w:rFonts w:hint="eastAsia" w:ascii="仿宋" w:hAnsi="仿宋" w:eastAsia="仿宋"/>
          <w:sz w:val="32"/>
          <w:szCs w:val="32"/>
          <w:lang w:val="en-US" w:eastAsia="zh-CN"/>
        </w:rPr>
        <w:t>机制；</w:t>
      </w:r>
      <w:r>
        <w:rPr>
          <w:rFonts w:hint="eastAsia" w:ascii="仿宋" w:hAnsi="仿宋" w:eastAsia="仿宋"/>
          <w:b/>
          <w:sz w:val="32"/>
          <w:szCs w:val="32"/>
        </w:rPr>
        <w:t>风险程度：高</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建议：对应用中涉及到评论、留言、群组聊天功能都进行敏感词、敏感图片的审核；</w:t>
      </w:r>
    </w:p>
    <w:p>
      <w:pPr>
        <w:numPr>
          <w:ilvl w:val="0"/>
          <w:numId w:val="5"/>
        </w:numPr>
        <w:ind w:left="0" w:leftChars="0" w:firstLine="640" w:firstLineChars="200"/>
        <w:rPr>
          <w:rFonts w:hint="eastAsia" w:ascii="仿宋" w:hAnsi="仿宋" w:eastAsia="仿宋"/>
          <w:sz w:val="32"/>
          <w:szCs w:val="32"/>
        </w:rPr>
      </w:pPr>
      <w:r>
        <w:rPr>
          <w:rFonts w:hint="eastAsia" w:ascii="仿宋" w:hAnsi="仿宋" w:eastAsia="仿宋"/>
          <w:sz w:val="32"/>
          <w:szCs w:val="32"/>
          <w:lang w:val="en-US" w:eastAsia="zh-CN"/>
        </w:rPr>
        <w:t>敏感词库不完善；</w:t>
      </w:r>
      <w:r>
        <w:rPr>
          <w:rFonts w:hint="eastAsia" w:ascii="仿宋" w:hAnsi="仿宋" w:eastAsia="仿宋"/>
          <w:b/>
          <w:sz w:val="32"/>
          <w:szCs w:val="32"/>
        </w:rPr>
        <w:t>风险程度：高</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建议：实时更新完善敏感词库；</w:t>
      </w:r>
    </w:p>
    <w:p>
      <w:pPr>
        <w:numPr>
          <w:ilvl w:val="0"/>
          <w:numId w:val="5"/>
        </w:numPr>
        <w:ind w:left="0" w:leftChars="0"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会话失效机制无法有效执行，多点登陆无提示，一个账号登陆可同时登陆不同角色；且一方</w:t>
      </w:r>
      <w:r>
        <w:rPr>
          <w:rFonts w:hint="eastAsia" w:ascii="仿宋" w:hAnsi="仿宋" w:eastAsia="仿宋"/>
          <w:sz w:val="32"/>
          <w:szCs w:val="32"/>
        </w:rPr>
        <w:t>更改密码</w:t>
      </w:r>
      <w:r>
        <w:rPr>
          <w:rFonts w:hint="eastAsia" w:ascii="仿宋" w:hAnsi="仿宋" w:eastAsia="仿宋"/>
          <w:sz w:val="32"/>
          <w:szCs w:val="32"/>
          <w:lang w:val="en-US" w:eastAsia="zh-CN"/>
        </w:rPr>
        <w:t>时</w:t>
      </w:r>
      <w:r>
        <w:rPr>
          <w:rFonts w:hint="eastAsia" w:ascii="仿宋" w:hAnsi="仿宋" w:eastAsia="仿宋"/>
          <w:sz w:val="32"/>
          <w:szCs w:val="32"/>
          <w:lang w:eastAsia="zh-CN"/>
        </w:rPr>
        <w:t>，</w:t>
      </w:r>
      <w:r>
        <w:rPr>
          <w:rFonts w:hint="eastAsia" w:ascii="仿宋" w:hAnsi="仿宋" w:eastAsia="仿宋"/>
          <w:sz w:val="32"/>
          <w:szCs w:val="32"/>
          <w:lang w:val="en-US" w:eastAsia="zh-CN"/>
        </w:rPr>
        <w:t>其他</w:t>
      </w:r>
      <w:r>
        <w:rPr>
          <w:rFonts w:hint="eastAsia" w:ascii="仿宋" w:hAnsi="仿宋" w:eastAsia="仿宋"/>
          <w:sz w:val="32"/>
          <w:szCs w:val="32"/>
        </w:rPr>
        <w:t>登陆用户</w:t>
      </w:r>
      <w:r>
        <w:rPr>
          <w:rFonts w:hint="eastAsia" w:ascii="仿宋" w:hAnsi="仿宋" w:eastAsia="仿宋"/>
          <w:sz w:val="32"/>
          <w:szCs w:val="32"/>
          <w:lang w:val="en-US" w:eastAsia="zh-CN"/>
        </w:rPr>
        <w:t>无</w:t>
      </w:r>
      <w:r>
        <w:rPr>
          <w:rFonts w:hint="eastAsia" w:ascii="仿宋" w:hAnsi="仿宋" w:eastAsia="仿宋"/>
          <w:sz w:val="32"/>
          <w:szCs w:val="32"/>
        </w:rPr>
        <w:t>任何提示</w:t>
      </w:r>
      <w:r>
        <w:rPr>
          <w:rFonts w:hint="eastAsia" w:ascii="仿宋" w:hAnsi="仿宋" w:eastAsia="仿宋"/>
          <w:sz w:val="32"/>
          <w:szCs w:val="32"/>
          <w:lang w:eastAsia="zh-CN"/>
        </w:rPr>
        <w:t>。</w:t>
      </w:r>
      <w:r>
        <w:rPr>
          <w:rFonts w:hint="eastAsia" w:ascii="仿宋" w:hAnsi="仿宋" w:eastAsia="仿宋"/>
          <w:b/>
          <w:sz w:val="32"/>
          <w:szCs w:val="32"/>
        </w:rPr>
        <w:t>风险程度：</w:t>
      </w:r>
      <w:r>
        <w:rPr>
          <w:rFonts w:hint="eastAsia" w:ascii="仿宋" w:hAnsi="仿宋" w:eastAsia="仿宋"/>
          <w:b/>
          <w:sz w:val="32"/>
          <w:szCs w:val="32"/>
          <w:lang w:val="en-US" w:eastAsia="zh-CN"/>
        </w:rPr>
        <w:t>中</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建议：增加单点登陆校验，如：可采取优化SessionId等方式；</w:t>
      </w:r>
    </w:p>
    <w:p>
      <w:pPr>
        <w:numPr>
          <w:numId w:val="0"/>
        </w:numPr>
        <w:ind w:leftChars="200"/>
        <w:rPr>
          <w:rFonts w:hint="eastAsia" w:ascii="仿宋" w:hAnsi="仿宋" w:eastAsia="仿宋"/>
          <w:sz w:val="32"/>
          <w:szCs w:val="32"/>
          <w:lang w:val="en-US" w:eastAsia="zh-CN"/>
        </w:rPr>
      </w:pPr>
    </w:p>
    <w:p>
      <w:pPr>
        <w:numPr>
          <w:ilvl w:val="0"/>
          <w:numId w:val="0"/>
        </w:numPr>
        <w:ind w:leftChars="2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1800225" cy="2400300"/>
            <wp:effectExtent l="0" t="0" r="9525" b="0"/>
            <wp:docPr id="2" name="图片 2" descr="149ad5d2d0e9eafdc496f4f697f5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9ad5d2d0e9eafdc496f4f697f59e2"/>
                    <pic:cNvPicPr>
                      <a:picLocks noChangeAspect="1"/>
                    </pic:cNvPicPr>
                  </pic:nvPicPr>
                  <pic:blipFill>
                    <a:blip r:embed="rId9"/>
                    <a:stretch>
                      <a:fillRect/>
                    </a:stretch>
                  </pic:blipFill>
                  <pic:spPr>
                    <a:xfrm>
                      <a:off x="0" y="0"/>
                      <a:ext cx="1800225" cy="2400300"/>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rPr>
      </w:pPr>
      <w:r>
        <w:rPr>
          <w:rFonts w:hint="eastAsia" w:ascii="仿宋" w:hAnsi="仿宋" w:eastAsia="仿宋"/>
          <w:sz w:val="32"/>
          <w:szCs w:val="32"/>
          <w:lang w:val="en-US" w:eastAsia="zh-CN"/>
        </w:rPr>
        <w:t>保障用户身份信息的保密性不够健全：在app端的通信录等页面采用明文传输</w:t>
      </w:r>
      <w:r>
        <w:rPr>
          <w:rFonts w:hint="eastAsia" w:ascii="仿宋" w:hAnsi="仿宋" w:eastAsia="仿宋"/>
          <w:sz w:val="32"/>
          <w:szCs w:val="32"/>
        </w:rPr>
        <w:t>用户个人信息，容易受篡改劫持</w:t>
      </w:r>
      <w:r>
        <w:rPr>
          <w:rFonts w:hint="eastAsia" w:ascii="仿宋" w:hAnsi="仿宋" w:eastAsia="仿宋"/>
          <w:sz w:val="32"/>
          <w:szCs w:val="32"/>
          <w:lang w:val="en-US" w:eastAsia="zh-CN"/>
        </w:rPr>
        <w:t>;在web端也存在该风险；</w:t>
      </w:r>
      <w:r>
        <w:rPr>
          <w:rFonts w:hint="eastAsia" w:ascii="仿宋" w:hAnsi="仿宋" w:eastAsia="仿宋"/>
          <w:b/>
          <w:sz w:val="32"/>
          <w:szCs w:val="32"/>
        </w:rPr>
        <w:t>风险程度：高</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建议：对涉及敏感个人信息部分进行加密传输；</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仿宋" w:hAnsi="仿宋" w:eastAsia="仿宋"/>
          <w:b/>
          <w:sz w:val="32"/>
          <w:szCs w:val="32"/>
          <w:lang w:val="en-US" w:eastAsia="zh-CN"/>
        </w:rPr>
      </w:pPr>
      <w:r>
        <w:rPr>
          <w:rFonts w:hint="eastAsia" w:ascii="仿宋" w:hAnsi="仿宋" w:eastAsia="仿宋"/>
          <w:b/>
          <w:sz w:val="32"/>
          <w:szCs w:val="32"/>
          <w:lang w:val="en-US" w:eastAsia="zh-CN"/>
        </w:rPr>
        <w:drawing>
          <wp:inline distT="0" distB="0" distL="114300" distR="114300">
            <wp:extent cx="5264785" cy="2792730"/>
            <wp:effectExtent l="0" t="0" r="12065" b="7620"/>
            <wp:docPr id="3" name="图片 3" descr="明文传输用户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明文传输用户个人信息"/>
                    <pic:cNvPicPr>
                      <a:picLocks noChangeAspect="1"/>
                    </pic:cNvPicPr>
                  </pic:nvPicPr>
                  <pic:blipFill>
                    <a:blip r:embed="rId10"/>
                    <a:stretch>
                      <a:fillRect/>
                    </a:stretch>
                  </pic:blipFill>
                  <pic:spPr>
                    <a:xfrm>
                      <a:off x="0" y="0"/>
                      <a:ext cx="5264785" cy="27927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仿宋" w:hAnsi="仿宋" w:eastAsia="仿宋"/>
          <w:b/>
          <w:sz w:val="32"/>
          <w:szCs w:val="32"/>
          <w:lang w:val="en-US" w:eastAsia="zh-CN"/>
        </w:rPr>
      </w:pPr>
      <w:r>
        <w:rPr>
          <w:rFonts w:hint="eastAsia" w:ascii="黑体" w:hAnsi="黑体" w:eastAsia="黑体"/>
          <w:sz w:val="32"/>
          <w:lang w:eastAsia="zh-CN"/>
        </w:rPr>
        <w:drawing>
          <wp:inline distT="0" distB="0" distL="114300" distR="114300">
            <wp:extent cx="5268595" cy="2813050"/>
            <wp:effectExtent l="0" t="0" r="8255" b="6350"/>
            <wp:docPr id="5" name="图片 5" descr="明文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明文个人信息"/>
                    <pic:cNvPicPr>
                      <a:picLocks noChangeAspect="1"/>
                    </pic:cNvPicPr>
                  </pic:nvPicPr>
                  <pic:blipFill>
                    <a:blip r:embed="rId11"/>
                    <a:stretch>
                      <a:fillRect/>
                    </a:stretch>
                  </pic:blipFill>
                  <pic:spPr>
                    <a:xfrm>
                      <a:off x="0" y="0"/>
                      <a:ext cx="5268595" cy="2813050"/>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接口不健全，通过构造请求，修改userid参数，可获取任意个人信息内容，会成个人信息泄露，具有较大的个人信息泄露风险。</w:t>
      </w:r>
      <w:r>
        <w:rPr>
          <w:rFonts w:hint="eastAsia" w:ascii="仿宋" w:hAnsi="仿宋" w:eastAsia="仿宋"/>
          <w:b/>
          <w:sz w:val="32"/>
          <w:szCs w:val="32"/>
        </w:rPr>
        <w:t>风险程度：高</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建议：优化接口，如：可在该接口中加入随机数校验等方式；</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仿宋" w:hAnsi="仿宋" w:eastAsia="仿宋"/>
          <w:sz w:val="32"/>
          <w:szCs w:val="32"/>
          <w:lang w:val="en-US" w:eastAsia="zh-CN"/>
        </w:rPr>
      </w:pPr>
      <w:r>
        <w:rPr>
          <w:rFonts w:hint="eastAsia" w:ascii="黑体" w:hAnsi="黑体" w:eastAsia="黑体"/>
          <w:sz w:val="32"/>
          <w:lang w:eastAsia="zh-CN"/>
        </w:rPr>
        <w:drawing>
          <wp:inline distT="0" distB="0" distL="114300" distR="114300">
            <wp:extent cx="5269865" cy="2808605"/>
            <wp:effectExtent l="0" t="0" r="6985" b="10795"/>
            <wp:docPr id="7" name="图片 7" descr="重放可以获取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重放可以获取数据"/>
                    <pic:cNvPicPr>
                      <a:picLocks noChangeAspect="1"/>
                    </pic:cNvPicPr>
                  </pic:nvPicPr>
                  <pic:blipFill>
                    <a:blip r:embed="rId12"/>
                    <a:stretch>
                      <a:fillRect/>
                    </a:stretch>
                  </pic:blipFill>
                  <pic:spPr>
                    <a:xfrm>
                      <a:off x="0" y="0"/>
                      <a:ext cx="5269865" cy="2808605"/>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建议显示个人信息时，做适当隐藏，如向好友公开手机号时，建议对中间4位做隐藏。</w:t>
      </w:r>
      <w:r>
        <w:rPr>
          <w:rFonts w:hint="eastAsia" w:ascii="仿宋" w:hAnsi="仿宋" w:eastAsia="仿宋"/>
          <w:b/>
          <w:sz w:val="32"/>
          <w:szCs w:val="32"/>
        </w:rPr>
        <w:t>风险程度：</w:t>
      </w:r>
      <w:r>
        <w:rPr>
          <w:rFonts w:hint="eastAsia" w:ascii="仿宋" w:hAnsi="仿宋" w:eastAsia="仿宋"/>
          <w:b/>
          <w:sz w:val="32"/>
          <w:szCs w:val="32"/>
          <w:lang w:val="en-US" w:eastAsia="zh-CN"/>
        </w:rPr>
        <w:t>中</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建议：完善个人信息显示方式，如：可隐藏电话号码中间4位，人名只保留姓氏；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1800225" cy="3800475"/>
            <wp:effectExtent l="0" t="0" r="9525" b="9525"/>
            <wp:docPr id="9" name="图片 9" descr="b62e0270cf87a3600854f1d105ef1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62e0270cf87a3600854f1d105ef1df"/>
                    <pic:cNvPicPr>
                      <a:picLocks noChangeAspect="1"/>
                    </pic:cNvPicPr>
                  </pic:nvPicPr>
                  <pic:blipFill>
                    <a:blip r:embed="rId13"/>
                    <a:stretch>
                      <a:fillRect/>
                    </a:stretch>
                  </pic:blipFill>
                  <pic:spPr>
                    <a:xfrm>
                      <a:off x="0" y="0"/>
                      <a:ext cx="1800225" cy="3800475"/>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数据库安全风险：数据库明文存储用户个人数据，存在数据泄露的风险。</w:t>
      </w:r>
      <w:r>
        <w:rPr>
          <w:rFonts w:hint="eastAsia" w:ascii="仿宋" w:hAnsi="仿宋" w:eastAsia="仿宋"/>
          <w:b/>
          <w:bCs/>
          <w:sz w:val="32"/>
          <w:szCs w:val="32"/>
          <w:lang w:val="en-US" w:eastAsia="zh-CN"/>
        </w:rPr>
        <w:t>风险程度：高</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建议：对人名、电话等敏感信息应采取加密存储；</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5265420" cy="360045"/>
            <wp:effectExtent l="0" t="0" r="11430" b="1905"/>
            <wp:docPr id="12" name="图片 12" descr="902760657b5d48380dbc9316f57bc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02760657b5d48380dbc9316f57bc67"/>
                    <pic:cNvPicPr>
                      <a:picLocks noChangeAspect="1"/>
                    </pic:cNvPicPr>
                  </pic:nvPicPr>
                  <pic:blipFill>
                    <a:blip r:embed="rId14"/>
                    <a:stretch>
                      <a:fillRect/>
                    </a:stretch>
                  </pic:blipFill>
                  <pic:spPr>
                    <a:xfrm>
                      <a:off x="0" y="0"/>
                      <a:ext cx="5265420" cy="360045"/>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存在短信下发接口重大信息安全风险，可任意修改下发参数向任意手机号码或者一组号码群发信息内容，存在垃圾短信轰炸、诈骗等风险，具有违法信息较大范围传播风险；</w:t>
      </w:r>
      <w:r>
        <w:rPr>
          <w:rFonts w:hint="eastAsia" w:ascii="仿宋" w:hAnsi="仿宋" w:eastAsia="仿宋"/>
          <w:b/>
          <w:bCs/>
          <w:sz w:val="32"/>
          <w:szCs w:val="32"/>
          <w:lang w:val="en-US" w:eastAsia="zh-CN"/>
        </w:rPr>
        <w:t>风险程度：高</w:t>
      </w:r>
    </w:p>
    <w:p>
      <w:pPr>
        <w:numPr>
          <w:ilvl w:val="0"/>
          <w:numId w:val="0"/>
        </w:numPr>
        <w:ind w:firstLine="420" w:firstLineChars="0"/>
        <w:rPr>
          <w:rFonts w:hint="eastAsia" w:ascii="仿宋" w:hAnsi="仿宋" w:eastAsia="仿宋"/>
          <w:sz w:val="32"/>
          <w:szCs w:val="32"/>
          <w:lang w:val="en-US"/>
        </w:rPr>
      </w:pPr>
      <w:r>
        <w:rPr>
          <w:rFonts w:hint="eastAsia" w:ascii="仿宋" w:hAnsi="仿宋" w:eastAsia="仿宋"/>
          <w:b/>
          <w:sz w:val="32"/>
          <w:szCs w:val="32"/>
          <w:lang w:val="en-US" w:eastAsia="zh-CN"/>
        </w:rPr>
        <w:t>建议：优化接口，如：可在该接口中加入随机数校验等方式；</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仿宋" w:hAnsi="仿宋" w:eastAsia="仿宋"/>
          <w:sz w:val="32"/>
          <w:szCs w:val="32"/>
          <w:lang w:val="en-US" w:eastAsia="zh-CN"/>
        </w:rPr>
      </w:pPr>
      <w:r>
        <w:rPr>
          <w:rFonts w:hint="eastAsia" w:eastAsia="宋体"/>
          <w:lang w:eastAsia="zh-CN"/>
        </w:rPr>
        <w:drawing>
          <wp:inline distT="0" distB="0" distL="114300" distR="114300">
            <wp:extent cx="5270500" cy="2808605"/>
            <wp:effectExtent l="0" t="0" r="6350" b="10795"/>
            <wp:docPr id="1" name="图片 1"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111111111"/>
                    <pic:cNvPicPr>
                      <a:picLocks noChangeAspect="1"/>
                    </pic:cNvPicPr>
                  </pic:nvPicPr>
                  <pic:blipFill>
                    <a:blip r:embed="rId15"/>
                    <a:stretch>
                      <a:fillRect/>
                    </a:stretch>
                  </pic:blipFill>
                  <pic:spPr>
                    <a:xfrm>
                      <a:off x="0" y="0"/>
                      <a:ext cx="5270500" cy="2808605"/>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存在短信群发模版数据篡改重大信息安全风险，抽测期间，通过模版修改接口参数设置进行数据篡改，具有违法信息较大范围传播风险。</w:t>
      </w:r>
      <w:r>
        <w:rPr>
          <w:rFonts w:hint="eastAsia" w:ascii="仿宋" w:hAnsi="仿宋" w:eastAsia="仿宋"/>
          <w:b/>
          <w:bCs/>
          <w:sz w:val="32"/>
          <w:szCs w:val="32"/>
          <w:lang w:val="en-US" w:eastAsia="zh-CN"/>
        </w:rPr>
        <w:t>风险程度：高</w:t>
      </w:r>
    </w:p>
    <w:p>
      <w:pPr>
        <w:numPr>
          <w:ilvl w:val="0"/>
          <w:numId w:val="0"/>
        </w:numPr>
        <w:ind w:firstLine="420" w:firstLineChars="0"/>
        <w:rPr>
          <w:rFonts w:hint="eastAsia" w:ascii="仿宋" w:hAnsi="仿宋" w:eastAsia="仿宋"/>
          <w:b/>
          <w:sz w:val="32"/>
          <w:szCs w:val="32"/>
          <w:lang w:val="en-US" w:eastAsia="zh-CN"/>
        </w:rPr>
      </w:pPr>
      <w:r>
        <w:rPr>
          <w:rFonts w:hint="eastAsia" w:ascii="仿宋" w:hAnsi="仿宋" w:eastAsia="仿宋"/>
          <w:b/>
          <w:sz w:val="32"/>
          <w:szCs w:val="32"/>
          <w:lang w:val="en-US" w:eastAsia="zh-CN"/>
        </w:rPr>
        <w:t>建议：在短信群发模版中加入先审后发机制；</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仿宋" w:hAnsi="仿宋" w:eastAsia="仿宋"/>
          <w:sz w:val="32"/>
          <w:szCs w:val="32"/>
          <w:lang w:val="en-US" w:eastAsia="zh-CN"/>
        </w:rPr>
      </w:pPr>
      <w:r>
        <w:rPr>
          <w:rFonts w:hint="eastAsia"/>
          <w:lang w:val="en-US" w:eastAsia="zh-CN"/>
        </w:rPr>
        <w:drawing>
          <wp:inline distT="0" distB="0" distL="114300" distR="114300">
            <wp:extent cx="5273675" cy="3166110"/>
            <wp:effectExtent l="0" t="0" r="3175" b="15240"/>
            <wp:docPr id="10" name="图片 10" descr="2574d0f126502b837c288ec15a085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574d0f126502b837c288ec15a085c9"/>
                    <pic:cNvPicPr>
                      <a:picLocks noChangeAspect="1"/>
                    </pic:cNvPicPr>
                  </pic:nvPicPr>
                  <pic:blipFill>
                    <a:blip r:embed="rId16"/>
                    <a:stretch>
                      <a:fillRect/>
                    </a:stretch>
                  </pic:blipFill>
                  <pic:spPr>
                    <a:xfrm>
                      <a:off x="0" y="0"/>
                      <a:ext cx="5273675" cy="3166110"/>
                    </a:xfrm>
                    <a:prstGeom prst="rect">
                      <a:avLst/>
                    </a:prstGeom>
                  </pic:spPr>
                </pic:pic>
              </a:graphicData>
            </a:graphic>
          </wp:inline>
        </w:drawing>
      </w:r>
    </w:p>
    <w:p>
      <w:pPr>
        <w:numPr>
          <w:ilvl w:val="0"/>
          <w:numId w:val="5"/>
        </w:numPr>
        <w:ind w:left="0" w:leftChars="0" w:firstLine="640" w:firstLineChars="200"/>
        <w:rPr>
          <w:rFonts w:hint="eastAsia" w:ascii="仿宋" w:hAnsi="仿宋" w:eastAsia="仿宋"/>
          <w:sz w:val="32"/>
          <w:szCs w:val="32"/>
          <w:lang w:val="en-US" w:eastAsia="zh-CN"/>
        </w:rPr>
      </w:pPr>
      <w:r>
        <w:rPr>
          <w:rFonts w:hint="eastAsia" w:ascii="仿宋" w:hAnsi="仿宋" w:eastAsia="仿宋"/>
          <w:sz w:val="32"/>
          <w:szCs w:val="32"/>
          <w:lang w:val="en-US" w:eastAsia="zh-CN"/>
        </w:rPr>
        <w:t>用户在自行注销或是毕业后，没有及时删除用户信息。</w:t>
      </w:r>
      <w:r>
        <w:rPr>
          <w:rFonts w:hint="eastAsia" w:ascii="仿宋" w:hAnsi="仿宋" w:eastAsia="仿宋"/>
          <w:b/>
          <w:bCs/>
          <w:sz w:val="32"/>
          <w:szCs w:val="32"/>
          <w:lang w:val="en-US" w:eastAsia="zh-CN"/>
        </w:rPr>
        <w:t>风险程度：中</w:t>
      </w:r>
    </w:p>
    <w:p>
      <w:pPr>
        <w:numPr>
          <w:ilvl w:val="0"/>
          <w:numId w:val="0"/>
        </w:numPr>
        <w:ind w:firstLine="420" w:firstLineChars="0"/>
        <w:rPr>
          <w:rFonts w:hint="eastAsia" w:ascii="仿宋" w:hAnsi="仿宋" w:eastAsia="仿宋"/>
          <w:b/>
          <w:sz w:val="32"/>
          <w:szCs w:val="32"/>
          <w:lang w:val="en-US" w:eastAsia="zh-CN"/>
        </w:rPr>
      </w:pPr>
      <w:r>
        <w:rPr>
          <w:rFonts w:hint="eastAsia" w:ascii="仿宋" w:hAnsi="仿宋" w:eastAsia="仿宋"/>
          <w:b/>
          <w:sz w:val="32"/>
          <w:szCs w:val="32"/>
          <w:lang w:val="en-US" w:eastAsia="zh-CN"/>
        </w:rPr>
        <w:t>建议：对注销、已经毕业等用户信息进行及时的销毁</w:t>
      </w:r>
      <w:bookmarkStart w:id="2" w:name="_GoBack"/>
      <w:bookmarkEnd w:id="2"/>
      <w:r>
        <w:rPr>
          <w:rFonts w:hint="eastAsia" w:ascii="仿宋" w:hAnsi="仿宋" w:eastAsia="仿宋"/>
          <w:b/>
          <w:sz w:val="32"/>
          <w:szCs w:val="32"/>
          <w:lang w:val="en-US" w:eastAsia="zh-CN"/>
        </w:rPr>
        <w:t>；</w:t>
      </w:r>
    </w:p>
    <w:p>
      <w:pPr>
        <w:numPr>
          <w:numId w:val="0"/>
        </w:numPr>
        <w:ind w:leftChars="200"/>
        <w:rPr>
          <w:rFonts w:hint="eastAsia" w:ascii="仿宋" w:hAnsi="仿宋" w:eastAsia="仿宋"/>
          <w:sz w:val="32"/>
          <w:szCs w:val="32"/>
          <w:lang w:val="en-US" w:eastAsia="zh-CN"/>
        </w:rPr>
      </w:pPr>
    </w:p>
    <w:p>
      <w:pPr>
        <w:widowControl w:val="0"/>
        <w:numPr>
          <w:ilvl w:val="0"/>
          <w:numId w:val="0"/>
        </w:numPr>
        <w:jc w:val="center"/>
        <w:rPr>
          <w:rFonts w:hint="eastAsia"/>
          <w:lang w:val="en-US" w:eastAsia="zh-CN"/>
        </w:rPr>
      </w:pPr>
    </w:p>
    <w:sectPr>
      <w:headerReference r:id="rId5" w:type="first"/>
      <w:headerReference r:id="rId3" w:type="default"/>
      <w:head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28528528" o:spid="_x0000_s3074" o:spt="136" type="#_x0000_t136" style="position:absolute;left:0pt;height:167.3pt;width:418.2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NISAC" style="font-family:黑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28528527" o:spid="_x0000_s3075" o:spt="136" type="#_x0000_t136" style="position:absolute;left:0pt;height:167.3pt;width:418.2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NISAC" style="font-family:黑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28528526" o:spid="_x0000_s3073" o:spt="136" type="#_x0000_t136" style="position:absolute;left:0pt;height:167.3pt;width:418.2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NISAC" style="font-family:黑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D3BB8"/>
    <w:multiLevelType w:val="singleLevel"/>
    <w:tmpl w:val="B30D3BB8"/>
    <w:lvl w:ilvl="0" w:tentative="0">
      <w:start w:val="1"/>
      <w:numFmt w:val="decimal"/>
      <w:suff w:val="space"/>
      <w:lvlText w:val="%1."/>
      <w:lvlJc w:val="left"/>
    </w:lvl>
  </w:abstractNum>
  <w:abstractNum w:abstractNumId="1">
    <w:nsid w:val="2AD1487B"/>
    <w:multiLevelType w:val="multilevel"/>
    <w:tmpl w:val="2AD1487B"/>
    <w:lvl w:ilvl="0" w:tentative="0">
      <w:start w:val="1"/>
      <w:numFmt w:val="chineseCountingThousand"/>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
    <w:nsid w:val="36286BFE"/>
    <w:multiLevelType w:val="multilevel"/>
    <w:tmpl w:val="36286BFE"/>
    <w:lvl w:ilvl="0" w:tentative="0">
      <w:start w:val="1"/>
      <w:numFmt w:val="decimal"/>
      <w:lvlText w:val="%1."/>
      <w:lvlJc w:val="left"/>
      <w:pPr>
        <w:ind w:left="640" w:hanging="400"/>
      </w:pPr>
      <w:rPr>
        <w:rFonts w:hint="eastAsia"/>
      </w:rPr>
    </w:lvl>
    <w:lvl w:ilvl="1" w:tentative="0">
      <w:start w:val="1"/>
      <w:numFmt w:val="lowerLetter"/>
      <w:lvlText w:val="%2)"/>
      <w:lvlJc w:val="left"/>
      <w:pPr>
        <w:ind w:left="1200" w:hanging="480"/>
      </w:pPr>
    </w:lvl>
    <w:lvl w:ilvl="2" w:tentative="0">
      <w:start w:val="1"/>
      <w:numFmt w:val="lowerRoman"/>
      <w:lvlText w:val="%3."/>
      <w:lvlJc w:val="right"/>
      <w:pPr>
        <w:ind w:left="1680" w:hanging="480"/>
      </w:pPr>
    </w:lvl>
    <w:lvl w:ilvl="3" w:tentative="0">
      <w:start w:val="1"/>
      <w:numFmt w:val="decimal"/>
      <w:lvlText w:val="%4."/>
      <w:lvlJc w:val="left"/>
      <w:pPr>
        <w:ind w:left="2160" w:hanging="480"/>
      </w:pPr>
    </w:lvl>
    <w:lvl w:ilvl="4" w:tentative="0">
      <w:start w:val="1"/>
      <w:numFmt w:val="lowerLetter"/>
      <w:lvlText w:val="%5)"/>
      <w:lvlJc w:val="left"/>
      <w:pPr>
        <w:ind w:left="2640" w:hanging="480"/>
      </w:pPr>
    </w:lvl>
    <w:lvl w:ilvl="5" w:tentative="0">
      <w:start w:val="1"/>
      <w:numFmt w:val="lowerRoman"/>
      <w:lvlText w:val="%6."/>
      <w:lvlJc w:val="right"/>
      <w:pPr>
        <w:ind w:left="3120" w:hanging="480"/>
      </w:pPr>
    </w:lvl>
    <w:lvl w:ilvl="6" w:tentative="0">
      <w:start w:val="1"/>
      <w:numFmt w:val="decimal"/>
      <w:lvlText w:val="%7."/>
      <w:lvlJc w:val="left"/>
      <w:pPr>
        <w:ind w:left="3600" w:hanging="480"/>
      </w:pPr>
    </w:lvl>
    <w:lvl w:ilvl="7" w:tentative="0">
      <w:start w:val="1"/>
      <w:numFmt w:val="lowerLetter"/>
      <w:lvlText w:val="%8)"/>
      <w:lvlJc w:val="left"/>
      <w:pPr>
        <w:ind w:left="4080" w:hanging="480"/>
      </w:pPr>
    </w:lvl>
    <w:lvl w:ilvl="8" w:tentative="0">
      <w:start w:val="1"/>
      <w:numFmt w:val="lowerRoman"/>
      <w:lvlText w:val="%9."/>
      <w:lvlJc w:val="right"/>
      <w:pPr>
        <w:ind w:left="4560" w:hanging="480"/>
      </w:pPr>
    </w:lvl>
  </w:abstractNum>
  <w:abstractNum w:abstractNumId="3">
    <w:nsid w:val="57E41ED2"/>
    <w:multiLevelType w:val="multilevel"/>
    <w:tmpl w:val="57E41ED2"/>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4">
    <w:nsid w:val="7FF17344"/>
    <w:multiLevelType w:val="singleLevel"/>
    <w:tmpl w:val="7FF17344"/>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A735C"/>
    <w:rsid w:val="00035B17"/>
    <w:rsid w:val="000B5160"/>
    <w:rsid w:val="000C2554"/>
    <w:rsid w:val="0011760E"/>
    <w:rsid w:val="00152419"/>
    <w:rsid w:val="001604CA"/>
    <w:rsid w:val="00164066"/>
    <w:rsid w:val="00175C22"/>
    <w:rsid w:val="001832B6"/>
    <w:rsid w:val="001A1FCE"/>
    <w:rsid w:val="001B5D4C"/>
    <w:rsid w:val="001E6665"/>
    <w:rsid w:val="00201B7F"/>
    <w:rsid w:val="00213CDD"/>
    <w:rsid w:val="002216B2"/>
    <w:rsid w:val="0024145F"/>
    <w:rsid w:val="00251D96"/>
    <w:rsid w:val="002A1DFB"/>
    <w:rsid w:val="002B3750"/>
    <w:rsid w:val="002E5991"/>
    <w:rsid w:val="003002B5"/>
    <w:rsid w:val="00311124"/>
    <w:rsid w:val="00323BF9"/>
    <w:rsid w:val="00335DB5"/>
    <w:rsid w:val="00337399"/>
    <w:rsid w:val="00343969"/>
    <w:rsid w:val="00356DF9"/>
    <w:rsid w:val="00367E88"/>
    <w:rsid w:val="003E156F"/>
    <w:rsid w:val="00404AF1"/>
    <w:rsid w:val="0041323B"/>
    <w:rsid w:val="00437F55"/>
    <w:rsid w:val="00444F55"/>
    <w:rsid w:val="00464B20"/>
    <w:rsid w:val="00475F99"/>
    <w:rsid w:val="004C015C"/>
    <w:rsid w:val="004D4443"/>
    <w:rsid w:val="00502A10"/>
    <w:rsid w:val="00502B31"/>
    <w:rsid w:val="00510FFD"/>
    <w:rsid w:val="0051101F"/>
    <w:rsid w:val="00517EBB"/>
    <w:rsid w:val="00575915"/>
    <w:rsid w:val="00575F45"/>
    <w:rsid w:val="00582E48"/>
    <w:rsid w:val="0058320E"/>
    <w:rsid w:val="005A48CC"/>
    <w:rsid w:val="005A54A4"/>
    <w:rsid w:val="005B06D9"/>
    <w:rsid w:val="005B0EDB"/>
    <w:rsid w:val="005E444C"/>
    <w:rsid w:val="006429B1"/>
    <w:rsid w:val="00665C15"/>
    <w:rsid w:val="00685DED"/>
    <w:rsid w:val="006A0024"/>
    <w:rsid w:val="006A02BF"/>
    <w:rsid w:val="006C3C75"/>
    <w:rsid w:val="006C4FBA"/>
    <w:rsid w:val="006D4956"/>
    <w:rsid w:val="006E39DC"/>
    <w:rsid w:val="007108DF"/>
    <w:rsid w:val="00726C0E"/>
    <w:rsid w:val="007412ED"/>
    <w:rsid w:val="007448E3"/>
    <w:rsid w:val="00754D4C"/>
    <w:rsid w:val="00757790"/>
    <w:rsid w:val="00762328"/>
    <w:rsid w:val="00775341"/>
    <w:rsid w:val="007A529C"/>
    <w:rsid w:val="007D34EC"/>
    <w:rsid w:val="00845C5E"/>
    <w:rsid w:val="0085226D"/>
    <w:rsid w:val="00853B95"/>
    <w:rsid w:val="00865FA4"/>
    <w:rsid w:val="00876504"/>
    <w:rsid w:val="00877275"/>
    <w:rsid w:val="00894E93"/>
    <w:rsid w:val="008C315D"/>
    <w:rsid w:val="008C3EA8"/>
    <w:rsid w:val="008D5F70"/>
    <w:rsid w:val="008E4F12"/>
    <w:rsid w:val="008E647C"/>
    <w:rsid w:val="008E7C4A"/>
    <w:rsid w:val="008F3F47"/>
    <w:rsid w:val="009137BE"/>
    <w:rsid w:val="0091753B"/>
    <w:rsid w:val="00957971"/>
    <w:rsid w:val="00976215"/>
    <w:rsid w:val="009846CF"/>
    <w:rsid w:val="009A1AB7"/>
    <w:rsid w:val="009F5461"/>
    <w:rsid w:val="00A2347B"/>
    <w:rsid w:val="00A777CE"/>
    <w:rsid w:val="00A97879"/>
    <w:rsid w:val="00AA1569"/>
    <w:rsid w:val="00AA60A4"/>
    <w:rsid w:val="00AC10F2"/>
    <w:rsid w:val="00AE2892"/>
    <w:rsid w:val="00AF7378"/>
    <w:rsid w:val="00AF78D1"/>
    <w:rsid w:val="00B01555"/>
    <w:rsid w:val="00B316D9"/>
    <w:rsid w:val="00B60CD8"/>
    <w:rsid w:val="00B70D18"/>
    <w:rsid w:val="00B831A6"/>
    <w:rsid w:val="00BB57B9"/>
    <w:rsid w:val="00BD0672"/>
    <w:rsid w:val="00BD2580"/>
    <w:rsid w:val="00C14D34"/>
    <w:rsid w:val="00C17401"/>
    <w:rsid w:val="00C44F71"/>
    <w:rsid w:val="00CC34C2"/>
    <w:rsid w:val="00CD2B09"/>
    <w:rsid w:val="00CD4D77"/>
    <w:rsid w:val="00CE39FD"/>
    <w:rsid w:val="00CF402D"/>
    <w:rsid w:val="00CF5A1D"/>
    <w:rsid w:val="00D24A52"/>
    <w:rsid w:val="00D26D4E"/>
    <w:rsid w:val="00D279A1"/>
    <w:rsid w:val="00D35002"/>
    <w:rsid w:val="00D6478F"/>
    <w:rsid w:val="00D70800"/>
    <w:rsid w:val="00D71CC6"/>
    <w:rsid w:val="00D8198E"/>
    <w:rsid w:val="00DC2276"/>
    <w:rsid w:val="00DD106A"/>
    <w:rsid w:val="00DD6AE7"/>
    <w:rsid w:val="00DE002B"/>
    <w:rsid w:val="00E00B04"/>
    <w:rsid w:val="00E45BC1"/>
    <w:rsid w:val="00E7346E"/>
    <w:rsid w:val="00E73B88"/>
    <w:rsid w:val="00E83228"/>
    <w:rsid w:val="00E847A7"/>
    <w:rsid w:val="00E94A41"/>
    <w:rsid w:val="00EA0E8F"/>
    <w:rsid w:val="00EF165A"/>
    <w:rsid w:val="00F1489B"/>
    <w:rsid w:val="00F54968"/>
    <w:rsid w:val="00F7028D"/>
    <w:rsid w:val="00F8406F"/>
    <w:rsid w:val="00F92C94"/>
    <w:rsid w:val="00F96E66"/>
    <w:rsid w:val="00FA735C"/>
    <w:rsid w:val="00FE749D"/>
    <w:rsid w:val="00FE7823"/>
    <w:rsid w:val="00FF793C"/>
    <w:rsid w:val="02291158"/>
    <w:rsid w:val="030C50F4"/>
    <w:rsid w:val="05C201A6"/>
    <w:rsid w:val="0990196A"/>
    <w:rsid w:val="165A0A91"/>
    <w:rsid w:val="188B70A4"/>
    <w:rsid w:val="1C231BAC"/>
    <w:rsid w:val="21CE369E"/>
    <w:rsid w:val="22E54D78"/>
    <w:rsid w:val="328A4867"/>
    <w:rsid w:val="38D0502F"/>
    <w:rsid w:val="3CED6A8D"/>
    <w:rsid w:val="429C4DD7"/>
    <w:rsid w:val="44910272"/>
    <w:rsid w:val="49BD231E"/>
    <w:rsid w:val="50DD6B9B"/>
    <w:rsid w:val="58E04517"/>
    <w:rsid w:val="5BC34766"/>
    <w:rsid w:val="5F425AD8"/>
    <w:rsid w:val="61CD22AB"/>
    <w:rsid w:val="6A9518A4"/>
    <w:rsid w:val="76BA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qFormat/>
    <w:uiPriority w:val="99"/>
    <w:rPr>
      <w:b/>
      <w:bCs/>
    </w:rPr>
  </w:style>
  <w:style w:type="paragraph" w:styleId="3">
    <w:name w:val="annotation text"/>
    <w:basedOn w:val="1"/>
    <w:link w:val="14"/>
    <w:unhideWhenUsed/>
    <w:uiPriority w:val="99"/>
    <w:pPr>
      <w:jc w:val="left"/>
    </w:p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kern w:val="0"/>
      <w:sz w:val="24"/>
    </w:rPr>
  </w:style>
  <w:style w:type="character" w:styleId="9">
    <w:name w:val="annotation reference"/>
    <w:unhideWhenUsed/>
    <w:qFormat/>
    <w:uiPriority w:val="99"/>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框文本字符"/>
    <w:link w:val="4"/>
    <w:qFormat/>
    <w:uiPriority w:val="0"/>
    <w:rPr>
      <w:kern w:val="2"/>
      <w:sz w:val="18"/>
      <w:szCs w:val="18"/>
    </w:rPr>
  </w:style>
  <w:style w:type="character" w:customStyle="1" w:styleId="13">
    <w:name w:val="批注主题字符"/>
    <w:link w:val="2"/>
    <w:semiHidden/>
    <w:qFormat/>
    <w:uiPriority w:val="99"/>
    <w:rPr>
      <w:b/>
      <w:bCs/>
      <w:kern w:val="2"/>
      <w:sz w:val="21"/>
      <w:szCs w:val="24"/>
    </w:rPr>
  </w:style>
  <w:style w:type="character" w:customStyle="1" w:styleId="14">
    <w:name w:val="批注文字字符"/>
    <w:link w:val="3"/>
    <w:semiHidden/>
    <w:qFormat/>
    <w:uiPriority w:val="99"/>
    <w:rPr>
      <w:kern w:val="2"/>
      <w:sz w:val="21"/>
      <w:szCs w:val="24"/>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191</Words>
  <Characters>1094</Characters>
  <Lines>9</Lines>
  <Paragraphs>2</Paragraphs>
  <TotalTime>0</TotalTime>
  <ScaleCrop>false</ScaleCrop>
  <LinksUpToDate>false</LinksUpToDate>
  <CharactersWithSpaces>1283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2018-12-29T07:12:00Z</dcterms:created>
  <dc:creator>TDF-lbh</dc:creator>
  <cp:lastModifiedBy>Song</cp:lastModifiedBy>
  <dcterms:modified xsi:type="dcterms:W3CDTF">2019-10-10T10:58:48Z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