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关于文件解析机制的情况报告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技术运营部门</w:t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2025年1月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相关技术部门：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为规范系统文件解析流程，确保各类文件高效、准确处理，现就文件解析机制有关情况报告如下：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一、总体架构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系统采用智能路由决策机制，文件上传后依据扩展名自动分流：文本类文件直接本地解析，非文本类文件优先调用MinerU引擎，失败时自动降级至本地Python库处理。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二、分类处理机制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（一）文本类文件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支持格式包括.txt、.md、.csv、.json、.log、.yaml、.xml、.html等12种类型。采用UTF-8编码直接读取，毫秒级完成，无需外部依赖。HTML文件经BeautifulSoup抽取纯文本，剔除脚本及样式代码。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楷体"/>
          <w:b w:val="0"/>
          <w:sz w:val="32"/>
        </w:rPr>
        <w:t>（二）非文本类文件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支持PDF、Word、Excel、PPT及图片等格式。优先调用MinerU云端服务，完整流程包括：申请预签名上传地址、直传文件二进制、轮询提取结果、获取Markdown文本四步。实测PDF解析平均耗时约16秒，字符上限20000。若MinerU服务不可用或超时，自动降级至本地Python库处理，确保业务连续性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三、降级兜底机制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当MinerU配置禁用、密钥缺失或调用异常时，触发本地Python库fallback：PDF采用pypdf逐页提取，Word调用python-docx读取段落及表格，Excel使用openpyxl遍历sheet。本地处理优势为零网络依赖、毫秒级响应；局限在于缺乏OCR能力，扫描件无法识别，不支持公式及复杂表格解析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四、私有化部署路径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如需切换至私有化MinerU部署，仅需修改环境变量：MINERU_MODE设为local，BASE_URL指向内网地址，API_KEY留空。业务代码零侵入，接口层自动适配云端/本地两种模式差异。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五、解析结果管理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解析结果统一入库管理，包含Markdown内容、字符数、解析引擎类型、状态及时间戳。超长文本自动截断（头60%+尾40%），避免超出模型上下文限制。用户发起对话时，系统按"文件名·字符数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```内容```"格式注入提示词。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六、运维保障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文件物理隔离存储，跨用户访问受权限控制；30天未被引用的文件自动清理；前端1.5秒轮询状态更新；支持重新解析触发。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专此报告。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