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小标宋"/>
          <w:b w:val="0"/>
          <w:sz w:val="44"/>
        </w:rPr>
        <w:t>抢抓人工智能战略机遇 培育高质量发展新动能</w:t>
      </w:r>
    </w:p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XXX</w:t>
      </w: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2025年1月</w:t>
      </w:r>
    </w:p>
    <w:p>
      <w:pPr>
        <w:spacing w:line="576" w:lineRule="exact" w:before="0" w:after="0"/>
      </w:pPr>
    </w:p>
    <w:p>
      <w:pPr>
        <w:spacing w:line="576" w:lineRule="exact" w:before="0" w:after="0"/>
      </w:pPr>
      <w:r>
        <w:rPr>
          <w:rFonts w:ascii="Times New Roman" w:hAnsi="Times New Roman" w:eastAsia="仿宋_GB2312"/>
          <w:b w:val="0"/>
          <w:sz w:val="32"/>
        </w:rPr>
        <w:t>各位领导、各位专家，同志们、朋友们：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今天，我们齐聚一堂，共商人工智能发展大计。当前，以ChatGPT、Claude为代表的大语言模型掀起新一轮AI浪潮，智能体（AI Agent）技术日趋成熟，人工智能正从"工具时代"迈向"助手时代"，并加速向"伙伴时代"演进。面对这一百年未有之大变局，如何抢抓战略机遇、培育发展新动能，是我们必须回答好的时代课题。下面，我围绕人工智能发展谈四点建议，供大家参考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一、认清大势：准确把握人工智能发展的历史方位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第一，人工智能是科技革命的核心引擎。从蒸汽机到电力，从信息技术到人工智能，历次科技革命都重塑了人类生产生活方式。今天，AI正在以前所未有的速度渗透千行百业——从代码生成到药物研发，从金融风控到智能制造，从教育辅导到政务服务，其通用性、赋能性、溢出性远超以往任何技术。可以说，得AI者得未来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第二，智能体（Agent）是AI落地的关键形态。大模型解决了"能思考"的问题，但距离"能做事"还有一步之遥。智能体通过"感知-决策-执行"闭环，将AI能力转化为解决实际问题的行动，是连接大模型能力与业务场景需求的桥梁。未来的竞争，不仅是模型参数的比拼，更是Agent生态的较量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第三，我国AI发展面临"不进则退"的窗口期。一方面，我们在应用场景、数据资源、工程化能力上具有独特优势；另一方面，在基础模型、高端芯片、开发框架等底层环节仍有短板。未来3-5年是关键窗口期，必须抢抓时间、加快布局，才能在新一轮竞争中占据主动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二、把准方向：坚持"四个并重"的战略选择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推进人工智能发展，必须立足国情、务实理性，避免盲目跟风或运动式投入。建议坚持"四个并重"：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（一）自主创新与开放合作并重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底层技术要自主可控。聚焦大模型架构、高效训练、推理优化等关键技术，支持本土框架和工具链发展，防止"卡脖子"风险。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生态建设要开放包容。积极对接国际先进成果，参与全球AI治理规则制定，在开放合作中提升影响力。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（二）技术创新与场景应用并重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做深技术。支持长文本、多模态、智能体等前沿方向，鼓励算法创新和工程优化。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做透场景。立足制造业、农业、医疗、教育、政务等优势领域，打造一批"AI+行业"标杆应用，以用促研、迭代提升。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（三）发展速度与安全底线并重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发展要提速。简化审批流程，优化算力供给，降低创新门槛，让企业和人才轻装上阵。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安全要托底。建立AI安全评估、内容审核、风险预警机制，对深度伪造、算法歧视、数据滥用等问题保持高度警觉。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（四）政府引导与市场主导并重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政府"搭台"。做好规划引领、政策支持、基础设施建设，营造公平竞争环境。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企业"唱戏"。发挥企业在技术创新、场景挖掘、商业模式探索中的主体作用，让市场机制发挥决定性作用。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三、务实推进：聚焦"五大工程"精准发力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建议当前阶段重点实施"五大工程"：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（一）智能体平台建设工程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借鉴Claude Agent SDK等先进架构，建设统一的智能体开发平台：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一是建立Skill标准化体系，实现能力模块的复用与组合；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二是支持多模型接入，兼容不同厂商、不同规模的AI模型；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三是构建安全沙箱机制，确保Agent执行可控、可追溯。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（二）行业大模型培育工程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避免"千模一面"的重复建设，聚焦重点行业：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一是制造业领域，重点推进工艺优化、质量检测、预测性维护；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二是医疗健康领域，重点开展辅助诊断、药物研发、健康管理；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三是政务治理领域，重点发展智能客服、公文处理、决策辅助；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四是教育科研领域，重点推动个性化学习、科研加速、知识管理。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每个领域扶持1-2个标杆项目，形成示范效应。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（三）算力基础设施提升工程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一是优化布局。建设国家级智算中心，形成东中西部梯次配置的算力网络。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二是普惠共享。通过算力券、补贴等方式，降低中小企业算力成本。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三是绿色低碳。推广液冷、余热回收等技术，打造绿色智算中心。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（四）AI人才梯队建设工程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一是顶尖人才。引进全球AI领军人才，给予科研自主权和生活保障。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二是应用人才。大规模开展"AI+专业"复合型人才培养。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三是全民素养。推进AI通识教育，提升全社会数字素养。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（五）数据要素价值释放工程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一是质量提升。建立行业数据标准，加强数据清洗和标注。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二是流通共享。在确保安全前提下，推动公共数据开放、企业数据流通。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三是价值评估。探索数据资产入表、数据产权分置等制度创新。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四、共建生态：构建协同创新的发展格局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人工智能发展不是单打独斗，需要政产学研用各方协同：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政府层面，加强统筹协调，避免重复建设和恶性竞争；完善法规标准，为新业态留足发展空间；优化治理方式，从"事前审批"向"事中事后监管"转变。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企业层面，龙头企业要开放生态，带动上下游协同创新；中小企业要聚焦细分领域，做专做精；初创企业要敢于试错，探索新技术、新模式。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科研层面，高校院所要加强基础研究，突破"从0到1"的原创成果；深化产学研合作，打通"从1到100"的转化通道。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社会层面，加强AI科普宣传，消除公众疑虑；倡导负责任AI，确保技术发展符合人类共同价值。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各位同仁，人工智能的浪潮已经到来，这是时代赋予我们的重大机遇。让我们以更加开放的姿态拥抱技术变革，以更加务实的行动推进创新发展，以更加负责的态度守护安全底线，共同开创人工智能赋能高质量发展的新局面！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最后，借用一句话与大家共勉："预测未来的最好方式，就是创造未来。" 让我们携手同行，在人工智能的星辰大海中，书写属于我们的精彩篇章！</w:t>
      </w:r>
    </w:p>
    <w:p>
      <w:pPr>
        <w:spacing w:line="576" w:lineRule="exact" w:before="0" w:after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- </w:t>
      <w:rPr>
        <w:rFonts w:eastAsia="宋体"/>
        <w:sz w:val="24"/>
      </w:rPr>
    </w:r>
    <w:r>
      <w:fldChar w:fldCharType="begin"/>
    </w:r>
    <w:r>
      <w:instrText>PAGE</w:instrText>
    </w:r>
    <w:r>
      <w:fldChar w:fldCharType="end"/>
    </w:r>
    <w:r>
      <w:t> -</w:t>
      <w:rPr>
        <w:rFonts w:eastAsia="宋体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