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4"/>
        </w:rPr>
        <w:t>Hackathon Execution Blueprint &amp; Asynchronous Team Task Division</w:t>
      </w:r>
    </w:p>
    <w:p>
      <w:pPr>
        <w:spacing w:before="0" w:after="240"/>
      </w:pPr>
      <w:r>
        <w:rPr>
          <w:rFonts w:ascii="Segoe UI" w:hAnsi="Segoe UI"/>
          <w:i/>
          <w:color w:val="64748B"/>
          <w:sz w:val="20"/>
        </w:rPr>
        <w:t>Project: Agentic AI Management Consulting Platform | Course: SJSU CMPE256 | Team of 4 | Deadline: Sunday 1:30 PM</w:t>
      </w:r>
    </w:p>
    <w:tbl>
      <w:tblPr>
        <w:tblW w:type="auto" w:w="0"/>
        <w:jc w:val="center"/>
        <w:tblLayout w:type="fixed"/>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24" w:space="0" w:color="0284C7"/>
              <w:bottom w:val="none"/>
              <w:right w:val="none"/>
            </w:tcBorders>
          </w:tcPr>
          <w:p>
            <w:pPr>
              <w:spacing w:before="0" w:after="40"/>
            </w:pPr>
            <w:r>
              <w:rPr>
                <w:rFonts w:ascii="Segoe UI" w:hAnsi="Segoe UI"/>
                <w:b/>
                <w:color w:val="1E3A8A"/>
                <w:sz w:val="21"/>
              </w:rPr>
              <w:t>📌 Hackathon Mission &amp; 26-Hour Strategy</w:t>
              <w:br/>
            </w:r>
            <w:r>
              <w:rPr>
                <w:rFonts w:ascii="Segoe UI" w:hAnsi="Segoe UI"/>
                <w:color w:val="1F2937"/>
                <w:sz w:val="19"/>
              </w:rPr>
              <w:t>Goal: Build an enterprise-grade AI Coworker consulting platform capable of hierarchical intent routing, domain-grounded RAG, intelligent recommendations, cross-domain reasoning, and explainable evaluation.</w:t>
              <w:br/>
              <w:t>Key to Winning: Complete decoupling of components via clean Pydantic/JSON schemas so all 4 team members can develop and test independently without blocking each other.</w:t>
            </w:r>
          </w:p>
        </w:tc>
      </w:tr>
    </w:tbl>
    <w:p>
      <w:pPr>
        <w:spacing w:before="0" w:after="80"/>
      </w:pPr>
    </w:p>
    <w:p>
      <w:pPr>
        <w:keepNext/>
        <w:spacing w:before="320" w:after="120"/>
      </w:pPr>
      <w:r>
        <w:rPr>
          <w:rFonts w:ascii="Segoe UI Semibold" w:hAnsi="Segoe UI Semibold"/>
          <w:color w:val="0F172A"/>
          <w:sz w:val="32"/>
        </w:rPr>
        <w:t>1. Executive Summary &amp; Required Deliverables</w:t>
      </w:r>
    </w:p>
    <w:p>
      <w:r>
        <w:t>The platform transforms traditional consulting into an automated, evidence-grounded AI coworker. The assignment outlines seven core capabilities that must be proven in the final submission:</w:t>
      </w:r>
    </w:p>
    <w:p>
      <w:pPr>
        <w:spacing w:before="40" w:after="40"/>
      </w:pPr>
      <w:r>
        <w:rPr>
          <w:rFonts w:ascii="Segoe UI" w:hAnsi="Segoe UI"/>
          <w:b/>
          <w:sz w:val="20"/>
        </w:rPr>
        <w:t xml:space="preserve">• 1. Multi-Agent Orchestration: </w:t>
      </w:r>
      <w:r>
        <w:rPr>
          <w:rFonts w:ascii="Segoe UI" w:hAnsi="Segoe UI"/>
          <w:sz w:val="19"/>
        </w:rPr>
        <w:t>A top-level Management Consulting Manager Agent that analyzes client inquiries, detects intent, and routes sub-tasks to domain specialists.</w:t>
      </w:r>
    </w:p>
    <w:p>
      <w:pPr>
        <w:spacing w:before="40" w:after="40"/>
      </w:pPr>
      <w:r>
        <w:rPr>
          <w:rFonts w:ascii="Segoe UI" w:hAnsi="Segoe UI"/>
          <w:b/>
          <w:sz w:val="20"/>
        </w:rPr>
        <w:t xml:space="preserve">• 2. Domain Knowledge Grounding: </w:t>
      </w:r>
      <w:r>
        <w:rPr>
          <w:rFonts w:ascii="Segoe UI" w:hAnsi="Segoe UI"/>
          <w:sz w:val="19"/>
        </w:rPr>
        <w:t>Dedicated vector &amp; document knowledge bases across 4 domains (Technology, Clinical, SEC, CSR) using provided files (Cisco, Agilent, GCP, SEC 10-K, ESG).</w:t>
      </w:r>
    </w:p>
    <w:p>
      <w:pPr>
        <w:spacing w:before="40" w:after="40"/>
      </w:pPr>
      <w:r>
        <w:rPr>
          <w:rFonts w:ascii="Segoe UI" w:hAnsi="Segoe UI"/>
          <w:b/>
          <w:sz w:val="20"/>
        </w:rPr>
        <w:t xml:space="preserve">• 3. Retrieval-Augmented Generation (RAG): </w:t>
      </w:r>
      <w:r>
        <w:rPr>
          <w:rFonts w:ascii="Segoe UI" w:hAnsi="Segoe UI"/>
          <w:sz w:val="19"/>
        </w:rPr>
        <w:t>Evidence-based generation with explicit source grounding, page/section citations, and zero tolerance for ungrounded hallucination.</w:t>
      </w:r>
    </w:p>
    <w:p>
      <w:pPr>
        <w:spacing w:before="40" w:after="40"/>
      </w:pPr>
      <w:r>
        <w:rPr>
          <w:rFonts w:ascii="Segoe UI" w:hAnsi="Segoe UI"/>
          <w:b/>
          <w:sz w:val="20"/>
        </w:rPr>
        <w:t xml:space="preserve">• 4. Intelligent Recommender System: </w:t>
      </w:r>
      <w:r>
        <w:rPr>
          <w:rFonts w:ascii="Segoe UI" w:hAnsi="Segoe UI"/>
          <w:sz w:val="19"/>
        </w:rPr>
        <w:t>Similarity matching, component compatibility filtering, and contextual ranking to recommend exact parts, instruments, or strategic business actions.</w:t>
      </w:r>
    </w:p>
    <w:p>
      <w:pPr>
        <w:spacing w:before="40" w:after="40"/>
      </w:pPr>
      <w:r>
        <w:rPr>
          <w:rFonts w:ascii="Segoe UI" w:hAnsi="Segoe UI"/>
          <w:b/>
          <w:sz w:val="20"/>
        </w:rPr>
        <w:t xml:space="preserve">• 5. Cross-Domain Reasoning: </w:t>
      </w:r>
      <w:r>
        <w:rPr>
          <w:rFonts w:ascii="Segoe UI" w:hAnsi="Segoe UI"/>
          <w:sz w:val="19"/>
        </w:rPr>
        <w:t>Collaborative problem-solving when a prompt spans multiple domains (e.g., procurement cost + hardware compatibility + ESG carbon reduction).</w:t>
      </w:r>
    </w:p>
    <w:p>
      <w:pPr>
        <w:spacing w:before="40" w:after="40"/>
      </w:pPr>
      <w:r>
        <w:rPr>
          <w:rFonts w:ascii="Segoe UI" w:hAnsi="Segoe UI"/>
          <w:b/>
          <w:sz w:val="20"/>
        </w:rPr>
        <w:t xml:space="preserve">• 6. Explainability &amp; Evaluation: </w:t>
      </w:r>
      <w:r>
        <w:rPr>
          <w:rFonts w:ascii="Segoe UI" w:hAnsi="Segoe UI"/>
          <w:sz w:val="19"/>
        </w:rPr>
        <w:t>Measurable evaluation metrics: routing accuracy (test set), retrieval hit-rate/precision, recommendation relevance, and confidence/uncertainty flags.</w:t>
      </w:r>
    </w:p>
    <w:p>
      <w:pPr>
        <w:spacing w:before="40" w:after="40"/>
      </w:pPr>
      <w:r>
        <w:rPr>
          <w:rFonts w:ascii="Segoe UI" w:hAnsi="Segoe UI"/>
          <w:b/>
          <w:sz w:val="20"/>
        </w:rPr>
        <w:t xml:space="preserve">• 7. Actionable Business Consulting Value: </w:t>
      </w:r>
      <w:r>
        <w:rPr>
          <w:rFonts w:ascii="Segoe UI" w:hAnsi="Segoe UI"/>
          <w:sz w:val="19"/>
        </w:rPr>
        <w:t>Outputs structured as executive deliverables: 'What to do next', 'Why this action is justified', and 'Measurable business impact (KPIs/ROI)'.</w:t>
      </w:r>
    </w:p>
    <w:p>
      <w:pPr>
        <w:keepNext/>
        <w:spacing w:before="320" w:after="120"/>
      </w:pPr>
      <w:r>
        <w:rPr>
          <w:rFonts w:ascii="Segoe UI Semibold" w:hAnsi="Segoe UI Semibold"/>
          <w:color w:val="0F172A"/>
          <w:sz w:val="32"/>
        </w:rPr>
        <w:t>2. Core Architectural Concepts &amp; How They Work</w:t>
      </w:r>
    </w:p>
    <w:p>
      <w:pPr>
        <w:keepNext/>
        <w:spacing w:before="240" w:after="80"/>
      </w:pPr>
      <w:r>
        <w:rPr>
          <w:rFonts w:ascii="Segoe UI Semibold" w:hAnsi="Segoe UI Semibold"/>
          <w:color w:val="0284C7"/>
          <w:sz w:val="26"/>
        </w:rPr>
        <w:t>Hierarchical Multi-Agent Supervisor Pattern</w:t>
      </w:r>
    </w:p>
    <w:p>
      <w:pPr>
        <w:spacing w:before="20" w:after="80"/>
      </w:pPr>
      <w:r>
        <w:rPr>
          <w:rFonts w:ascii="Segoe UI" w:hAnsi="Segoe UI"/>
          <w:sz w:val="19"/>
        </w:rPr>
        <w:t>Rather than an unconstrained swarm of agents talking in circles, a Hierarchical Supervisor (Manager Agent) serves as the primary entry point. The Manager uses an Intent Classifier to parse the user's inquiry, detects whether it is single-domain or multi-domain, decomposes multi-domain queries into sub-tasks, dispatches them in parallel (using asyncio), and consolidates findings into an executive briefing.</w:t>
      </w:r>
    </w:p>
    <w:p>
      <w:pPr>
        <w:keepNext/>
        <w:spacing w:before="240" w:after="80"/>
      </w:pPr>
      <w:r>
        <w:rPr>
          <w:rFonts w:ascii="Segoe UI Semibold" w:hAnsi="Segoe UI Semibold"/>
          <w:color w:val="0284C7"/>
          <w:sz w:val="26"/>
        </w:rPr>
        <w:t>Knowledge Grounding vs. Diagnostic Uncertainty</w:t>
      </w:r>
    </w:p>
    <w:p>
      <w:pPr>
        <w:spacing w:before="20" w:after="80"/>
      </w:pPr>
      <w:r>
        <w:rPr>
          <w:rFonts w:ascii="Segoe UI" w:hAnsi="Segoe UI"/>
          <w:sz w:val="19"/>
        </w:rPr>
        <w:t>A critical requirement highlighted in the prompt: The Technology and Clinical agents must distinguish confirmed faults from hypotheses and request missing diagnostics rather than assuming a component has failed. If a user says 'intermittent connectivity failures', the agent must NOT prematurely recommend buying an expensive motherboard; it must request logs/telemetry and provide ranked hypotheses.</w:t>
      </w:r>
    </w:p>
    <w:p>
      <w:pPr>
        <w:keepNext/>
        <w:spacing w:before="240" w:after="80"/>
      </w:pPr>
      <w:r>
        <w:rPr>
          <w:rFonts w:ascii="Segoe UI Semibold" w:hAnsi="Segoe UI Semibold"/>
          <w:color w:val="0284C7"/>
          <w:sz w:val="26"/>
        </w:rPr>
        <w:t>Hybrid Retrieval-Augmented Generation (RAG)</w:t>
      </w:r>
    </w:p>
    <w:p>
      <w:pPr>
        <w:spacing w:before="20" w:after="80"/>
      </w:pPr>
      <w:r>
        <w:rPr>
          <w:rFonts w:ascii="Segoe UI" w:hAnsi="Segoe UI"/>
          <w:sz w:val="19"/>
        </w:rPr>
        <w:t>Each specialized agent accesses its own Vector Index (e.g., ChromaDB or FAISS) populated with authoritative data chunks with rich metadata (company, document_type, section_id, publication_year). Grounded generation enforces that every claim cites its exact source.</w:t>
      </w:r>
    </w:p>
    <w:p>
      <w:pPr>
        <w:keepNext/>
        <w:spacing w:before="240" w:after="80"/>
      </w:pPr>
      <w:r>
        <w:rPr>
          <w:rFonts w:ascii="Segoe UI Semibold" w:hAnsi="Segoe UI Semibold"/>
          <w:color w:val="0284C7"/>
          <w:sz w:val="26"/>
        </w:rPr>
        <w:t>Recommender Algorithms for Consulting</w:t>
      </w:r>
    </w:p>
    <w:p>
      <w:pPr>
        <w:spacing w:before="20" w:after="80"/>
      </w:pPr>
      <w:r>
        <w:rPr>
          <w:rFonts w:ascii="Segoe UI" w:hAnsi="Segoe UI"/>
          <w:sz w:val="19"/>
        </w:rPr>
        <w:t>Enterprise recommendations require more than generative prose. We implement a Hybrid Recommender: (1) Vector Similarity (cosine distance between problem embedding and product catalog embeddings), (2) Rule-Based Constraints (compatibility matrix, model family filters), and (3) Multi-Criteria Ranking (cost, availability, ESG score, risk level).</w:t>
      </w:r>
    </w:p>
    <w:p>
      <w:pPr>
        <w:keepNext/>
        <w:spacing w:before="240" w:after="80"/>
      </w:pPr>
      <w:r>
        <w:rPr>
          <w:rFonts w:ascii="Segoe UI Semibold" w:hAnsi="Segoe UI Semibold"/>
          <w:color w:val="0284C7"/>
          <w:sz w:val="26"/>
        </w:rPr>
        <w:t>Cross-Domain Synthesis Engine</w:t>
      </w:r>
    </w:p>
    <w:p>
      <w:pPr>
        <w:spacing w:before="20" w:after="80"/>
      </w:pPr>
      <w:r>
        <w:rPr>
          <w:rFonts w:ascii="Segoe UI" w:hAnsi="Segoe UI"/>
          <w:sz w:val="19"/>
        </w:rPr>
        <w:t>When a query asks about upgrading lab network switches while considering financial risk and sustainability, the Manager Agent invokes Tech Agent, SEC Agent, and CSR Agent in parallel. The Consolidator merges their findings into a cohesive consulting report resolving trade-offs (e.g., higher upfront capex vs. 30% lower power consumption).</w:t>
      </w:r>
    </w:p>
    <w:p>
      <w:pPr>
        <w:keepNext/>
        <w:spacing w:before="240" w:after="80"/>
      </w:pPr>
      <w:r>
        <w:rPr>
          <w:rFonts w:ascii="Segoe UI Semibold" w:hAnsi="Segoe UI Semibold"/>
          <w:color w:val="0284C7"/>
          <w:sz w:val="26"/>
        </w:rPr>
        <w:t>Measurable Quantitative Evaluation</w:t>
      </w:r>
    </w:p>
    <w:p>
      <w:pPr>
        <w:spacing w:before="20" w:after="80"/>
      </w:pPr>
      <w:r>
        <w:rPr>
          <w:rFonts w:ascii="Segoe UI" w:hAnsi="Segoe UI"/>
          <w:sz w:val="19"/>
        </w:rPr>
        <w:t>Judges look for metrics. We build an automated evaluation script that tests: Routing Accuracy (% correct domain classification on 20 benchmark queries), Retrieval Hit Rate (% relevant docs in top-k), Recommendation Relevance (NDCG/Precision@3), and Faithfulness (hallucination rate using LLM-as-a-judge).</w:t>
      </w:r>
    </w:p>
    <w:p>
      <w:pPr>
        <w:keepNext/>
        <w:spacing w:before="320" w:after="120"/>
      </w:pPr>
      <w:r>
        <w:rPr>
          <w:rFonts w:ascii="Segoe UI Semibold" w:hAnsi="Segoe UI Semibold"/>
          <w:color w:val="0F172A"/>
          <w:sz w:val="32"/>
        </w:rPr>
        <w:t>3. Shared Pydantic Schema Contracts (The Key to Async Work)</w:t>
      </w:r>
    </w:p>
    <w:p>
      <w:r>
        <w:t>To enable true asynchronous work, all 4 teammates adhere to the following strict schemas. Anyone can run and test their module using mock outputs conforming to these classes:</w:t>
      </w:r>
    </w:p>
    <w:tbl>
      <w:tblPr>
        <w:tblW w:type="auto" w:w="0"/>
        <w:jc w:val="center"/>
        <w:tblLayout w:type="fixed"/>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Borders>
              <w:top w:val="single" w:sz="4" w:space="0" w:color="CBD5E1"/>
              <w:left w:val="single" w:sz="16" w:space="0" w:color="0284C7"/>
              <w:bottom w:val="single" w:sz="4" w:space="0" w:color="CBD5E1"/>
              <w:right w:val="single" w:sz="4" w:space="0" w:color="CBD5E1"/>
            </w:tcBorders>
          </w:tcPr>
          <w:p>
            <w:pPr>
              <w:spacing w:before="0" w:after="0"/>
            </w:pPr>
            <w:r>
              <w:rPr>
                <w:rFonts w:ascii="Consolas" w:hAnsi="Consolas"/>
                <w:color w:val="0F172A"/>
                <w:sz w:val="18"/>
              </w:rPr>
              <w:t>from pydantic import BaseModel, Field</w:t>
              <w:br/>
              <w:t>from typing import List, Optional, Dict, Any</w:t>
              <w:br/>
              <w:t>from enum import Enum</w:t>
              <w:br/>
              <w:br/>
              <w:t>class DomainType(str, Enum):</w:t>
              <w:br/>
              <w:t xml:space="preserve">    TECHNOLOGY = "technology"</w:t>
              <w:br/>
              <w:t xml:space="preserve">    CLINICAL = "clinical"</w:t>
              <w:br/>
              <w:t xml:space="preserve">    SEC = "sec"</w:t>
              <w:br/>
              <w:t xml:space="preserve">    CSR = "corporate_responsibility"</w:t>
              <w:br/>
              <w:t xml:space="preserve">    CROSS_DOMAIN = "cross_domain"</w:t>
              <w:br/>
              <w:br/>
              <w:t>class Citation(BaseModel):</w:t>
              <w:br/>
              <w:t xml:space="preserve">    source_doc: str</w:t>
              <w:br/>
              <w:t xml:space="preserve">    section: Optional[str] = None</w:t>
              <w:br/>
              <w:t xml:space="preserve">    page: Optional[int] = None</w:t>
              <w:br/>
              <w:t xml:space="preserve">    snippet: str</w:t>
              <w:br/>
              <w:br/>
              <w:t>class RecommendationItem(BaseModel):</w:t>
              <w:br/>
              <w:t xml:space="preserve">    item_id: str</w:t>
              <w:br/>
              <w:t xml:space="preserve">    title: str</w:t>
              <w:br/>
              <w:t xml:space="preserve">    category: str # e.g. "Replacement Part", "Diagnostic Action", "Capital Allocation"</w:t>
              <w:br/>
              <w:t xml:space="preserve">    confidence_score: float # 0.0 - 1.0</w:t>
              <w:br/>
              <w:t xml:space="preserve">    rationale: str</w:t>
              <w:br/>
              <w:t xml:space="preserve">    compatibility_notes: Optional[str] = None</w:t>
              <w:br/>
              <w:t xml:space="preserve">    estimated_impact: str # e.g. "Reduces packet loss by 95%"</w:t>
              <w:br/>
              <w:br/>
              <w:t>class DomainResponse(BaseModel):</w:t>
              <w:br/>
              <w:t xml:space="preserve">    domain: DomainType</w:t>
              <w:br/>
              <w:t xml:space="preserve">    status: str # "CONFIRMED_FAULT", "HYPOTHESIS", "INFORMATION_REQUEST", "ANALYSIS_COMPLETE"</w:t>
              <w:br/>
              <w:t xml:space="preserve">    findings_summary: str</w:t>
              <w:br/>
              <w:t xml:space="preserve">    missing_diagnostics_needed: List[str] = Field(default_factory=list)</w:t>
              <w:br/>
              <w:t xml:space="preserve">    recommendations: List[RecommendationItem] = Field(default_factory=list)</w:t>
              <w:br/>
              <w:t xml:space="preserve">    citations: List[Citation] = Field(default_factory=list)</w:t>
              <w:br/>
              <w:t xml:space="preserve">    uncertainty_level: str # "LOW", "MEDIUM", "HIGH"</w:t>
              <w:br/>
              <w:br/>
              <w:t>class ConsultingReport(BaseModel):</w:t>
              <w:br/>
              <w:t xml:space="preserve">    query: str</w:t>
              <w:br/>
              <w:t xml:space="preserve">    detected_domains: List[DomainType]</w:t>
              <w:br/>
              <w:t xml:space="preserve">    executive_summary: str</w:t>
              <w:br/>
              <w:t xml:space="preserve">    domain_findings: Dict[str, DomainResponse]</w:t>
              <w:br/>
              <w:t xml:space="preserve">    cross_domain_synthesis: Optional[str] = None</w:t>
              <w:br/>
              <w:t xml:space="preserve">    consolidated_recommendations: List[RecommendationItem]</w:t>
              <w:br/>
              <w:t xml:space="preserve">    next_steps: List[str]</w:t>
              <w:br/>
              <w:t xml:space="preserve">    measuring_impact_kpis: List[str]</w:t>
              <w:br/>
              <w:t xml:space="preserve">    audit_trace: Dict[str, Any]</w:t>
            </w:r>
          </w:p>
        </w:tc>
      </w:tr>
    </w:tbl>
    <w:p>
      <w:pPr>
        <w:spacing w:before="0" w:after="80"/>
      </w:pPr>
    </w:p>
    <w:p>
      <w:pPr>
        <w:keepNext/>
        <w:spacing w:before="320" w:after="120"/>
      </w:pPr>
      <w:r>
        <w:rPr>
          <w:rFonts w:ascii="Segoe UI Semibold" w:hAnsi="Segoe UI Semibold"/>
          <w:color w:val="0F172A"/>
          <w:sz w:val="32"/>
        </w:rPr>
        <w:t>4. Team of 4: Asynchronous Task Allocation</w:t>
      </w:r>
    </w:p>
    <w:p>
      <w:r>
        <w:t>Each teammate owns a self-contained vertical module with defined inputs, outputs, and unit-test scripts. No one waits for another member's code to run their tests.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Mar>
              <w:top w:w="100" w:type="dxa"/>
              <w:bottom w:w="100" w:type="dxa"/>
              <w:left w:w="100" w:type="dxa"/>
              <w:right w:w="100" w:type="dxa"/>
            </w:tcMar>
          </w:tcPr>
          <w:p>
            <w:r>
              <w:rPr>
                <w:rFonts w:ascii="Segoe UI Semibold" w:hAnsi="Segoe UI Semibold"/>
                <w:b/>
                <w:color w:val="FFFFFF"/>
                <w:sz w:val="19"/>
              </w:rPr>
              <w:t>Member &amp; Role</w:t>
            </w:r>
          </w:p>
        </w:tc>
        <w:tc>
          <w:tcPr>
            <w:tcW w:type="dxa" w:w="3168"/>
            <w:shd w:fill="1E3A8A"/>
            <w:tcMar>
              <w:top w:w="100" w:type="dxa"/>
              <w:bottom w:w="100" w:type="dxa"/>
              <w:left w:w="100" w:type="dxa"/>
              <w:right w:w="100" w:type="dxa"/>
            </w:tcMar>
          </w:tcPr>
          <w:p>
            <w:r>
              <w:rPr>
                <w:rFonts w:ascii="Segoe UI Semibold" w:hAnsi="Segoe UI Semibold"/>
                <w:b/>
                <w:color w:val="FFFFFF"/>
                <w:sz w:val="19"/>
              </w:rPr>
              <w:t>Core Responsibilities</w:t>
            </w:r>
          </w:p>
        </w:tc>
        <w:tc>
          <w:tcPr>
            <w:tcW w:type="dxa" w:w="2160"/>
            <w:shd w:fill="1E3A8A"/>
            <w:tcMar>
              <w:top w:w="100" w:type="dxa"/>
              <w:bottom w:w="100" w:type="dxa"/>
              <w:left w:w="100" w:type="dxa"/>
              <w:right w:w="100" w:type="dxa"/>
            </w:tcMar>
          </w:tcPr>
          <w:p>
            <w:r>
              <w:rPr>
                <w:rFonts w:ascii="Segoe UI Semibold" w:hAnsi="Segoe UI Semibold"/>
                <w:b/>
                <w:color w:val="FFFFFF"/>
                <w:sz w:val="19"/>
              </w:rPr>
              <w:t>Key Files Owned</w:t>
            </w:r>
          </w:p>
        </w:tc>
        <w:tc>
          <w:tcPr>
            <w:tcW w:type="dxa" w:w="2592"/>
            <w:shd w:fill="1E3A8A"/>
            <w:tcMar>
              <w:top w:w="100" w:type="dxa"/>
              <w:bottom w:w="100" w:type="dxa"/>
              <w:left w:w="100" w:type="dxa"/>
              <w:right w:w="100" w:type="dxa"/>
            </w:tcMar>
          </w:tcPr>
          <w:p>
            <w:r>
              <w:rPr>
                <w:rFonts w:ascii="Segoe UI Semibold" w:hAnsi="Segoe UI Semibold"/>
                <w:b/>
                <w:color w:val="FFFFFF"/>
                <w:sz w:val="19"/>
              </w:rPr>
              <w:t>Async Testable Deliverable</w:t>
            </w:r>
          </w:p>
        </w:tc>
      </w:tr>
      <w:tr>
        <w:tc>
          <w:tcPr>
            <w:tcW w:type="dxa" w:w="2160"/>
            <w:shd w:fill="FFFFFF"/>
            <w:tcMar>
              <w:top w:w="80" w:type="dxa"/>
              <w:bottom w:w="80" w:type="dxa"/>
              <w:left w:w="100" w:type="dxa"/>
              <w:right w:w="100" w:type="dxa"/>
            </w:tcMar>
          </w:tcPr>
          <w:p>
            <w:pPr>
              <w:spacing w:before="0" w:after="0"/>
            </w:pPr>
            <w:r>
              <w:rPr>
                <w:rFonts w:ascii="Segoe UI" w:hAnsi="Segoe UI"/>
                <w:sz w:val="17"/>
              </w:rPr>
              <w:t>Person 1</w:t>
              <w:br/>
              <w:t>(Lead Architect &amp;</w:t>
              <w:br/>
              <w:t>Orchestrator)</w:t>
            </w:r>
          </w:p>
        </w:tc>
        <w:tc>
          <w:tcPr>
            <w:tcW w:type="dxa" w:w="3168"/>
            <w:shd w:fill="FFFFFF"/>
            <w:tcMar>
              <w:top w:w="80" w:type="dxa"/>
              <w:bottom w:w="80" w:type="dxa"/>
              <w:left w:w="100" w:type="dxa"/>
              <w:right w:w="100" w:type="dxa"/>
            </w:tcMar>
          </w:tcPr>
          <w:p>
            <w:pPr>
              <w:spacing w:before="0" w:after="0"/>
            </w:pPr>
            <w:r>
              <w:rPr>
                <w:rFonts w:ascii="Segoe UI" w:hAnsi="Segoe UI"/>
                <w:sz w:val="17"/>
              </w:rPr>
              <w:t>• Intent Classifier &amp; Domain Router</w:t>
              <w:br/>
              <w:t>• Query Decomposition for cross-domain</w:t>
              <w:br/>
              <w:t>• Consolidation &amp; Executive Synthesizer</w:t>
              <w:br/>
              <w:t>• Main Pipeline Driver &amp; CLI / API entrypoint</w:t>
            </w:r>
          </w:p>
        </w:tc>
        <w:tc>
          <w:tcPr>
            <w:tcW w:type="dxa" w:w="2160"/>
            <w:shd w:fill="FFFFFF"/>
            <w:tcMar>
              <w:top w:w="80" w:type="dxa"/>
              <w:bottom w:w="80" w:type="dxa"/>
              <w:left w:w="100" w:type="dxa"/>
              <w:right w:w="100" w:type="dxa"/>
            </w:tcMar>
          </w:tcPr>
          <w:p>
            <w:pPr>
              <w:spacing w:before="0" w:after="0"/>
            </w:pPr>
            <w:r>
              <w:rPr>
                <w:rFonts w:ascii="Segoe UI" w:hAnsi="Segoe UI"/>
                <w:sz w:val="17"/>
              </w:rPr>
              <w:t>core/schemas.py</w:t>
              <w:br/>
              <w:t>agents/manager.py</w:t>
              <w:br/>
              <w:t>agents/synthesizer.py</w:t>
              <w:br/>
              <w:t>main.py</w:t>
            </w:r>
          </w:p>
        </w:tc>
        <w:tc>
          <w:tcPr>
            <w:tcW w:type="dxa" w:w="2592"/>
            <w:shd w:fill="FFFFFF"/>
            <w:tcMar>
              <w:top w:w="80" w:type="dxa"/>
              <w:bottom w:w="80" w:type="dxa"/>
              <w:left w:w="100" w:type="dxa"/>
              <w:right w:w="100" w:type="dxa"/>
            </w:tcMar>
          </w:tcPr>
          <w:p>
            <w:pPr>
              <w:spacing w:before="0" w:after="0"/>
            </w:pPr>
            <w:r>
              <w:rPr>
                <w:rFonts w:ascii="Segoe UI" w:hAnsi="Segoe UI"/>
                <w:sz w:val="17"/>
              </w:rPr>
              <w:t>Router accurately classifies 20 sample prompts and outputs synthetic ConsultingReport using mocked domain agents.</w:t>
            </w:r>
          </w:p>
        </w:tc>
      </w:tr>
      <w:tr>
        <w:tc>
          <w:tcPr>
            <w:tcW w:type="dxa" w:w="2160"/>
            <w:shd w:fill="F8FAFC"/>
            <w:tcMar>
              <w:top w:w="80" w:type="dxa"/>
              <w:bottom w:w="80" w:type="dxa"/>
              <w:left w:w="100" w:type="dxa"/>
              <w:right w:w="100" w:type="dxa"/>
            </w:tcMar>
          </w:tcPr>
          <w:p>
            <w:pPr>
              <w:spacing w:before="0" w:after="0"/>
            </w:pPr>
            <w:r>
              <w:rPr>
                <w:rFonts w:ascii="Segoe UI" w:hAnsi="Segoe UI"/>
                <w:sz w:val="17"/>
              </w:rPr>
              <w:t>Person 2</w:t>
              <w:br/>
              <w:t>(Systems &amp; Hardware</w:t>
              <w:br/>
              <w:t>AI Lead)</w:t>
            </w:r>
          </w:p>
        </w:tc>
        <w:tc>
          <w:tcPr>
            <w:tcW w:type="dxa" w:w="3168"/>
            <w:shd w:fill="F8FAFC"/>
            <w:tcMar>
              <w:top w:w="80" w:type="dxa"/>
              <w:bottom w:w="80" w:type="dxa"/>
              <w:left w:w="100" w:type="dxa"/>
              <w:right w:w="100" w:type="dxa"/>
            </w:tcMar>
          </w:tcPr>
          <w:p>
            <w:pPr>
              <w:spacing w:before="0" w:after="0"/>
            </w:pPr>
            <w:r>
              <w:rPr>
                <w:rFonts w:ascii="Segoe UI" w:hAnsi="Segoe UI"/>
                <w:sz w:val="17"/>
              </w:rPr>
              <w:t>• RAG for Tech (Cisco, IBM, GCP) &amp; Clinical (Agilent)</w:t>
              <w:br/>
              <w:t>• Symptom parser &amp; fault vs hypothesis engine</w:t>
              <w:br/>
              <w:t>• Recommender: Replacement parts &amp; diagnostic instruments matching</w:t>
            </w:r>
          </w:p>
        </w:tc>
        <w:tc>
          <w:tcPr>
            <w:tcW w:type="dxa" w:w="2160"/>
            <w:shd w:fill="F8FAFC"/>
            <w:tcMar>
              <w:top w:w="80" w:type="dxa"/>
              <w:bottom w:w="80" w:type="dxa"/>
              <w:left w:w="100" w:type="dxa"/>
              <w:right w:w="100" w:type="dxa"/>
            </w:tcMar>
          </w:tcPr>
          <w:p>
            <w:pPr>
              <w:spacing w:before="0" w:after="0"/>
            </w:pPr>
            <w:r>
              <w:rPr>
                <w:rFonts w:ascii="Segoe UI" w:hAnsi="Segoe UI"/>
                <w:sz w:val="17"/>
              </w:rPr>
              <w:t>knowledge/tech_kb.py</w:t>
              <w:br/>
              <w:t>knowledge/clinical_kb.py</w:t>
              <w:br/>
              <w:t>agents/tech_agent.py</w:t>
              <w:br/>
              <w:t>agents/clinical_agent.py</w:t>
              <w:br/>
              <w:t>recommenders/hardware.py</w:t>
            </w:r>
          </w:p>
        </w:tc>
        <w:tc>
          <w:tcPr>
            <w:tcW w:type="dxa" w:w="2592"/>
            <w:shd w:fill="F8FAFC"/>
            <w:tcMar>
              <w:top w:w="80" w:type="dxa"/>
              <w:bottom w:w="80" w:type="dxa"/>
              <w:left w:w="100" w:type="dxa"/>
              <w:right w:w="100" w:type="dxa"/>
            </w:tcMar>
          </w:tcPr>
          <w:p>
            <w:pPr>
              <w:spacing w:before="0" w:after="0"/>
            </w:pPr>
            <w:r>
              <w:rPr>
                <w:rFonts w:ascii="Segoe UI" w:hAnsi="Segoe UI"/>
                <w:sz w:val="17"/>
              </w:rPr>
              <w:t>Unit test returns grounded Cisco router fixes with citations and Agilent instrument replacement rankings.</w:t>
            </w:r>
          </w:p>
        </w:tc>
      </w:tr>
      <w:tr>
        <w:tc>
          <w:tcPr>
            <w:tcW w:type="dxa" w:w="2160"/>
            <w:shd w:fill="FFFFFF"/>
            <w:tcMar>
              <w:top w:w="80" w:type="dxa"/>
              <w:bottom w:w="80" w:type="dxa"/>
              <w:left w:w="100" w:type="dxa"/>
              <w:right w:w="100" w:type="dxa"/>
            </w:tcMar>
          </w:tcPr>
          <w:p>
            <w:pPr>
              <w:spacing w:before="0" w:after="0"/>
            </w:pPr>
            <w:r>
              <w:rPr>
                <w:rFonts w:ascii="Segoe UI" w:hAnsi="Segoe UI"/>
                <w:sz w:val="17"/>
              </w:rPr>
              <w:t>Person 3</w:t>
              <w:br/>
              <w:t>(Enterprise Strategy</w:t>
              <w:br/>
              <w:t>&amp; Governance Lead)</w:t>
            </w:r>
          </w:p>
        </w:tc>
        <w:tc>
          <w:tcPr>
            <w:tcW w:type="dxa" w:w="3168"/>
            <w:shd w:fill="FFFFFF"/>
            <w:tcMar>
              <w:top w:w="80" w:type="dxa"/>
              <w:bottom w:w="80" w:type="dxa"/>
              <w:left w:w="100" w:type="dxa"/>
              <w:right w:w="100" w:type="dxa"/>
            </w:tcMar>
          </w:tcPr>
          <w:p>
            <w:pPr>
              <w:spacing w:before="0" w:after="0"/>
            </w:pPr>
            <w:r>
              <w:rPr>
                <w:rFonts w:ascii="Segoe UI" w:hAnsi="Segoe UI"/>
                <w:sz w:val="17"/>
              </w:rPr>
              <w:t>• RAG for SEC Filings (Cisco/Agilent 10-K) &amp; Corporate CSR / ESG docs</w:t>
              <w:br/>
              <w:t>• Risk analysis extractor (financial, operational, competitive)</w:t>
              <w:br/>
              <w:t>• Recommender: Strategic investments for sustainability &amp; food security</w:t>
            </w:r>
          </w:p>
        </w:tc>
        <w:tc>
          <w:tcPr>
            <w:tcW w:type="dxa" w:w="2160"/>
            <w:shd w:fill="FFFFFF"/>
            <w:tcMar>
              <w:top w:w="80" w:type="dxa"/>
              <w:bottom w:w="80" w:type="dxa"/>
              <w:left w:w="100" w:type="dxa"/>
              <w:right w:w="100" w:type="dxa"/>
            </w:tcMar>
          </w:tcPr>
          <w:p>
            <w:pPr>
              <w:spacing w:before="0" w:after="0"/>
            </w:pPr>
            <w:r>
              <w:rPr>
                <w:rFonts w:ascii="Segoe UI" w:hAnsi="Segoe UI"/>
                <w:sz w:val="17"/>
              </w:rPr>
              <w:t>knowledge/sec_kb.py</w:t>
              <w:br/>
              <w:t>knowledge/csr_kb.py</w:t>
              <w:br/>
              <w:t>agents/sec_agent.py</w:t>
              <w:br/>
              <w:t>agents/csr_agent.py</w:t>
              <w:br/>
              <w:t>recommenders/strategy.py</w:t>
            </w:r>
          </w:p>
        </w:tc>
        <w:tc>
          <w:tcPr>
            <w:tcW w:type="dxa" w:w="2592"/>
            <w:shd w:fill="FFFFFF"/>
            <w:tcMar>
              <w:top w:w="80" w:type="dxa"/>
              <w:bottom w:w="80" w:type="dxa"/>
              <w:left w:w="100" w:type="dxa"/>
              <w:right w:w="100" w:type="dxa"/>
            </w:tcMar>
          </w:tcPr>
          <w:p>
            <w:pPr>
              <w:spacing w:before="0" w:after="0"/>
            </w:pPr>
            <w:r>
              <w:rPr>
                <w:rFonts w:ascii="Segoe UI" w:hAnsi="Segoe UI"/>
                <w:sz w:val="17"/>
              </w:rPr>
              <w:t>Unit test queries Cisco 2025 SEC risk factors and outputs food security tech investment recommendations.</w:t>
            </w:r>
          </w:p>
        </w:tc>
      </w:tr>
      <w:tr>
        <w:tc>
          <w:tcPr>
            <w:tcW w:type="dxa" w:w="2160"/>
            <w:shd w:fill="F8FAFC"/>
            <w:tcMar>
              <w:top w:w="80" w:type="dxa"/>
              <w:bottom w:w="80" w:type="dxa"/>
              <w:left w:w="100" w:type="dxa"/>
              <w:right w:w="100" w:type="dxa"/>
            </w:tcMar>
          </w:tcPr>
          <w:p>
            <w:pPr>
              <w:spacing w:before="0" w:after="0"/>
            </w:pPr>
            <w:r>
              <w:rPr>
                <w:rFonts w:ascii="Segoe UI" w:hAnsi="Segoe UI"/>
                <w:sz w:val="17"/>
              </w:rPr>
              <w:t>Person 4</w:t>
              <w:br/>
              <w:t>(Evaluation, Explainability</w:t>
              <w:br/>
              <w:t>&amp; UI / Presentation)</w:t>
            </w:r>
          </w:p>
        </w:tc>
        <w:tc>
          <w:tcPr>
            <w:tcW w:type="dxa" w:w="3168"/>
            <w:shd w:fill="F8FAFC"/>
            <w:tcMar>
              <w:top w:w="80" w:type="dxa"/>
              <w:bottom w:w="80" w:type="dxa"/>
              <w:left w:w="100" w:type="dxa"/>
              <w:right w:w="100" w:type="dxa"/>
            </w:tcMar>
          </w:tcPr>
          <w:p>
            <w:pPr>
              <w:spacing w:before="0" w:after="0"/>
            </w:pPr>
            <w:r>
              <w:rPr>
                <w:rFonts w:ascii="Segoe UI" w:hAnsi="Segoe UI"/>
                <w:sz w:val="17"/>
              </w:rPr>
              <w:t>• Evaluation benchmark suite (routing, retrieval, recommendation relevance)</w:t>
              <w:br/>
              <w:t>• Uncertainty &amp; Confidence scoring module</w:t>
              <w:br/>
              <w:t>• Interactive Dashboard (Streamlit / Gradio)</w:t>
              <w:br/>
              <w:t>• Final Pitch Slides &amp; Video Demo walk-through</w:t>
            </w:r>
          </w:p>
        </w:tc>
        <w:tc>
          <w:tcPr>
            <w:tcW w:type="dxa" w:w="2160"/>
            <w:shd w:fill="F8FAFC"/>
            <w:tcMar>
              <w:top w:w="80" w:type="dxa"/>
              <w:bottom w:w="80" w:type="dxa"/>
              <w:left w:w="100" w:type="dxa"/>
              <w:right w:w="100" w:type="dxa"/>
            </w:tcMar>
          </w:tcPr>
          <w:p>
            <w:pPr>
              <w:spacing w:before="0" w:after="0"/>
            </w:pPr>
            <w:r>
              <w:rPr>
                <w:rFonts w:ascii="Segoe UI" w:hAnsi="Segoe UI"/>
                <w:sz w:val="17"/>
              </w:rPr>
              <w:t>evaluation/benchmark.py</w:t>
              <w:br/>
              <w:t>evaluation/metrics.py</w:t>
              <w:br/>
              <w:t>ui/dashboard.py</w:t>
              <w:br/>
              <w:t>presentation/slides.pdf</w:t>
            </w:r>
          </w:p>
        </w:tc>
        <w:tc>
          <w:tcPr>
            <w:tcW w:type="dxa" w:w="2592"/>
            <w:shd w:fill="F8FAFC"/>
            <w:tcMar>
              <w:top w:w="80" w:type="dxa"/>
              <w:bottom w:w="80" w:type="dxa"/>
              <w:left w:w="100" w:type="dxa"/>
              <w:right w:w="100" w:type="dxa"/>
            </w:tcMar>
          </w:tcPr>
          <w:p>
            <w:pPr>
              <w:spacing w:before="0" w:after="0"/>
            </w:pPr>
            <w:r>
              <w:rPr>
                <w:rFonts w:ascii="Segoe UI" w:hAnsi="Segoe UI"/>
                <w:sz w:val="17"/>
              </w:rPr>
              <w:t>Interactive UI showing query input, agent execution trace, citations, confidence meters, and quantitative eval scorecards.</w:t>
            </w:r>
          </w:p>
        </w:tc>
      </w:tr>
    </w:tbl>
    <w:p>
      <w:pPr>
        <w:spacing w:before="80"/>
      </w:pPr>
    </w:p>
    <w:p>
      <w:pPr>
        <w:keepNext/>
        <w:spacing w:before="240" w:after="80"/>
      </w:pPr>
      <w:r>
        <w:rPr>
          <w:rFonts w:ascii="Segoe UI Semibold" w:hAnsi="Segoe UI Semibold"/>
          <w:color w:val="0284C7"/>
          <w:sz w:val="26"/>
        </w:rPr>
        <w:t>Person 1 Deep-Dive: Manager Agent &amp; Orchestration</w:t>
      </w:r>
    </w:p>
    <w:p>
      <w:pPr>
        <w:spacing w:before="20" w:after="40"/>
      </w:pPr>
      <w:r>
        <w:rPr>
          <w:rFonts w:ascii="Segoe UI" w:hAnsi="Segoe UI"/>
          <w:b/>
          <w:sz w:val="19"/>
        </w:rPr>
        <w:t xml:space="preserve">• Phase 1 (Hours 1-3): </w:t>
      </w:r>
      <w:r>
        <w:rPr>
          <w:rFonts w:ascii="Segoe UI" w:hAnsi="Segoe UI"/>
          <w:sz w:val="18"/>
        </w:rPr>
        <w:t>Establish repo structure, define pydantic schemas in core/schemas.py, and create MockDomainAgent classes so teammates can clone and start immediately.</w:t>
      </w:r>
    </w:p>
    <w:p>
      <w:pPr>
        <w:spacing w:before="20" w:after="40"/>
      </w:pPr>
      <w:r>
        <w:rPr>
          <w:rFonts w:ascii="Segoe UI" w:hAnsi="Segoe UI"/>
          <w:b/>
          <w:sz w:val="19"/>
        </w:rPr>
        <w:t xml:space="preserve">• Phase 2 (Hours 4-9): </w:t>
      </w:r>
      <w:r>
        <w:rPr>
          <w:rFonts w:ascii="Segoe UI" w:hAnsi="Segoe UI"/>
          <w:sz w:val="18"/>
        </w:rPr>
        <w:t>Implement Intent Classifier using Few-Shot prompt or Instructor/LiteLLM. Support multi-label routing for cross-domain queries (e.g., query touches both SEC and Tech).</w:t>
      </w:r>
    </w:p>
    <w:p>
      <w:pPr>
        <w:spacing w:before="20" w:after="40"/>
      </w:pPr>
      <w:r>
        <w:rPr>
          <w:rFonts w:ascii="Segoe UI" w:hAnsi="Segoe UI"/>
          <w:b/>
          <w:sz w:val="19"/>
        </w:rPr>
        <w:t xml:space="preserve">• Phase 3 (Hours 10-15): </w:t>
      </w:r>
      <w:r>
        <w:rPr>
          <w:rFonts w:ascii="Segoe UI" w:hAnsi="Segoe UI"/>
          <w:sz w:val="18"/>
        </w:rPr>
        <w:t>Build Query Decomposer (breaks 'Upgrade network considering SEC risks and ESG' into 3 targeted sub-queries) and Async Dispatcher (asyncio.gather).</w:t>
      </w:r>
    </w:p>
    <w:p>
      <w:pPr>
        <w:spacing w:before="20" w:after="40"/>
      </w:pPr>
      <w:r>
        <w:rPr>
          <w:rFonts w:ascii="Segoe UI" w:hAnsi="Segoe UI"/>
          <w:b/>
          <w:sz w:val="19"/>
        </w:rPr>
        <w:t xml:space="preserve">• Phase 4 (Hours 16-20): </w:t>
      </w:r>
      <w:r>
        <w:rPr>
          <w:rFonts w:ascii="Segoe UI" w:hAnsi="Segoe UI"/>
          <w:sz w:val="18"/>
        </w:rPr>
        <w:t>Implement Executive Synthesizer: Merges sub-agent DomainResponses into an executive consulting memo with Next Steps and KPI Impact metrics.</w:t>
      </w:r>
    </w:p>
    <w:p>
      <w:pPr>
        <w:spacing w:before="20" w:after="40"/>
      </w:pPr>
      <w:r>
        <w:rPr>
          <w:rFonts w:ascii="Segoe UI" w:hAnsi="Segoe UI"/>
          <w:b/>
          <w:sz w:val="19"/>
        </w:rPr>
        <w:t xml:space="preserve">• Phase 5 (Hours 21-24): </w:t>
      </w:r>
      <w:r>
        <w:rPr>
          <w:rFonts w:ascii="Segoe UI" w:hAnsi="Segoe UI"/>
          <w:sz w:val="18"/>
        </w:rPr>
        <w:t>End-to-end integration with Person 2 and 3's real agents; connect with Person 4's UI.</w:t>
      </w:r>
    </w:p>
    <w:p>
      <w:pPr>
        <w:keepNext/>
        <w:spacing w:before="240" w:after="80"/>
      </w:pPr>
      <w:r>
        <w:rPr>
          <w:rFonts w:ascii="Segoe UI Semibold" w:hAnsi="Segoe UI Semibold"/>
          <w:color w:val="0284C7"/>
          <w:sz w:val="26"/>
        </w:rPr>
        <w:t>Person 2 Deep-Dive: Tech &amp; Clinical Agents + Hardware Recommender</w:t>
      </w:r>
    </w:p>
    <w:p>
      <w:pPr>
        <w:spacing w:before="20" w:after="40"/>
      </w:pPr>
      <w:r>
        <w:rPr>
          <w:rFonts w:ascii="Segoe UI" w:hAnsi="Segoe UI"/>
          <w:b/>
          <w:sz w:val="19"/>
        </w:rPr>
        <w:t xml:space="preserve">• Phase 1 (Hours 1-4): </w:t>
      </w:r>
      <w:r>
        <w:rPr>
          <w:rFonts w:ascii="Segoe UI" w:hAnsi="Segoe UI"/>
          <w:sz w:val="18"/>
        </w:rPr>
        <w:t>Ingest DataSource-Cisco.txt, Google GCP.txt, and Agilent.txt. Chunk documents and build vector indexes (ChromaDB or FAISS) with metadata (vendor, model, part_type).</w:t>
      </w:r>
    </w:p>
    <w:p>
      <w:pPr>
        <w:spacing w:before="20" w:after="40"/>
      </w:pPr>
      <w:r>
        <w:rPr>
          <w:rFonts w:ascii="Segoe UI" w:hAnsi="Segoe UI"/>
          <w:b/>
          <w:sz w:val="19"/>
        </w:rPr>
        <w:t xml:space="preserve">• Phase 2 (Hours 5-10): </w:t>
      </w:r>
      <w:r>
        <w:rPr>
          <w:rFonts w:ascii="Segoe UI" w:hAnsi="Segoe UI"/>
          <w:sz w:val="18"/>
        </w:rPr>
        <w:t>Implement Technology Agent: Parse symptoms, check if required diagnostics (show tech-support, logs) are present. If missing, return status='INFORMATION_REQUEST' instead of guessing!</w:t>
      </w:r>
    </w:p>
    <w:p>
      <w:pPr>
        <w:spacing w:before="20" w:after="40"/>
      </w:pPr>
      <w:r>
        <w:rPr>
          <w:rFonts w:ascii="Segoe UI" w:hAnsi="Segoe UI"/>
          <w:b/>
          <w:sz w:val="19"/>
        </w:rPr>
        <w:t xml:space="preserve">• Phase 3 (Hours 11-15): </w:t>
      </w:r>
      <w:r>
        <w:rPr>
          <w:rFonts w:ascii="Segoe UI" w:hAnsi="Segoe UI"/>
          <w:sz w:val="18"/>
        </w:rPr>
        <w:t>Implement Clinical Agent: Search Agilent equipment manuals, match diagnostic lab requirements to instrument specifications and replacement cartridges.</w:t>
      </w:r>
    </w:p>
    <w:p>
      <w:pPr>
        <w:spacing w:before="20" w:after="40"/>
      </w:pPr>
      <w:r>
        <w:rPr>
          <w:rFonts w:ascii="Segoe UI" w:hAnsi="Segoe UI"/>
          <w:b/>
          <w:sz w:val="19"/>
        </w:rPr>
        <w:t xml:space="preserve">• Phase 4 (Hours 16-19): </w:t>
      </w:r>
      <w:r>
        <w:rPr>
          <w:rFonts w:ascii="Segoe UI" w:hAnsi="Segoe UI"/>
          <w:sz w:val="18"/>
        </w:rPr>
        <w:t>Build Recommender Engine: Calculate Cosine Similarity between problem description and component catalog; apply compatibility rules (e.g., Cisco ASR vs Catalyst). Rank top-3 recommendations with confidence scores.</w:t>
      </w:r>
    </w:p>
    <w:p>
      <w:pPr>
        <w:spacing w:before="20" w:after="40"/>
      </w:pPr>
      <w:r>
        <w:rPr>
          <w:rFonts w:ascii="Segoe UI" w:hAnsi="Segoe UI"/>
          <w:b/>
          <w:sz w:val="19"/>
        </w:rPr>
        <w:t xml:space="preserve">• Phase 5 (Hours 20-23): </w:t>
      </w:r>
      <w:r>
        <w:rPr>
          <w:rFonts w:ascii="Segoe UI" w:hAnsi="Segoe UI"/>
          <w:sz w:val="18"/>
        </w:rPr>
        <w:t>Package into TechAgent.run(query) and ClinicalAgent.run(query) returning validated DomainResponse.</w:t>
      </w:r>
    </w:p>
    <w:p>
      <w:pPr>
        <w:keepNext/>
        <w:spacing w:before="240" w:after="80"/>
      </w:pPr>
      <w:r>
        <w:rPr>
          <w:rFonts w:ascii="Segoe UI Semibold" w:hAnsi="Segoe UI Semibold"/>
          <w:color w:val="0284C7"/>
          <w:sz w:val="26"/>
        </w:rPr>
        <w:t>Person 3 Deep-Dive: SEC &amp; CSR Agents + Strategic Recommender</w:t>
      </w:r>
    </w:p>
    <w:p>
      <w:pPr>
        <w:spacing w:before="20" w:after="40"/>
      </w:pPr>
      <w:r>
        <w:rPr>
          <w:rFonts w:ascii="Segoe UI" w:hAnsi="Segoe UI"/>
          <w:b/>
          <w:sz w:val="19"/>
        </w:rPr>
        <w:t xml:space="preserve">• Phase 1 (Hours 1-4): </w:t>
      </w:r>
      <w:r>
        <w:rPr>
          <w:rFonts w:ascii="Segoe UI" w:hAnsi="Segoe UI"/>
          <w:sz w:val="18"/>
        </w:rPr>
        <w:t>Download/parse Cisco &amp; Agilent 2025 SEC filings (10-K Item 1A Risks, Item 7 MD&amp;A) and Corporate Responsibility / ESG reports (food security, carbon emissions).</w:t>
      </w:r>
    </w:p>
    <w:p>
      <w:pPr>
        <w:spacing w:before="20" w:after="40"/>
      </w:pPr>
      <w:r>
        <w:rPr>
          <w:rFonts w:ascii="Segoe UI" w:hAnsi="Segoe UI"/>
          <w:b/>
          <w:sz w:val="19"/>
        </w:rPr>
        <w:t xml:space="preserve">• Phase 2 (Hours 5-10): </w:t>
      </w:r>
      <w:r>
        <w:rPr>
          <w:rFonts w:ascii="Segoe UI" w:hAnsi="Segoe UI"/>
          <w:sz w:val="18"/>
        </w:rPr>
        <w:t>Implement SEC Agent: Extract financial risks, supply chain risks, regulatory compliance challenges, and operational exposures with source citations.</w:t>
      </w:r>
    </w:p>
    <w:p>
      <w:pPr>
        <w:spacing w:before="20" w:after="40"/>
      </w:pPr>
      <w:r>
        <w:rPr>
          <w:rFonts w:ascii="Segoe UI" w:hAnsi="Segoe UI"/>
          <w:b/>
          <w:sz w:val="19"/>
        </w:rPr>
        <w:t xml:space="preserve">• Phase 3 (Hours 11-15): </w:t>
      </w:r>
      <w:r>
        <w:rPr>
          <w:rFonts w:ascii="Segoe UI" w:hAnsi="Segoe UI"/>
          <w:sz w:val="18"/>
        </w:rPr>
        <w:t>Implement Corporate Responsibility Agent: Analyze sustainability initiatives, food security technology interventions, and calculate projected carbon/ESG impact.</w:t>
      </w:r>
    </w:p>
    <w:p>
      <w:pPr>
        <w:spacing w:before="20" w:after="40"/>
      </w:pPr>
      <w:r>
        <w:rPr>
          <w:rFonts w:ascii="Segoe UI" w:hAnsi="Segoe UI"/>
          <w:b/>
          <w:sz w:val="19"/>
        </w:rPr>
        <w:t xml:space="preserve">• Phase 4 (Hours 16-19): </w:t>
      </w:r>
      <w:r>
        <w:rPr>
          <w:rFonts w:ascii="Segoe UI" w:hAnsi="Segoe UI"/>
          <w:sz w:val="18"/>
        </w:rPr>
        <w:t>Build Strategic Recommender: Rank business actions and capital investments using a weighted scoring model (Impact vs Regulatory Risk vs Feasibility).</w:t>
      </w:r>
    </w:p>
    <w:p>
      <w:pPr>
        <w:spacing w:before="20" w:after="40"/>
      </w:pPr>
      <w:r>
        <w:rPr>
          <w:rFonts w:ascii="Segoe UI" w:hAnsi="Segoe UI"/>
          <w:b/>
          <w:sz w:val="19"/>
        </w:rPr>
        <w:t xml:space="preserve">• Phase 5 (Hours 20-23): </w:t>
      </w:r>
      <w:r>
        <w:rPr>
          <w:rFonts w:ascii="Segoe UI" w:hAnsi="Segoe UI"/>
          <w:sz w:val="18"/>
        </w:rPr>
        <w:t>Package into SECAgent.run(query) and CSRAgent.run(query) returning validated DomainResponse.</w:t>
      </w:r>
    </w:p>
    <w:p>
      <w:pPr>
        <w:keepNext/>
        <w:spacing w:before="240" w:after="80"/>
      </w:pPr>
      <w:r>
        <w:rPr>
          <w:rFonts w:ascii="Segoe UI Semibold" w:hAnsi="Segoe UI Semibold"/>
          <w:color w:val="0284C7"/>
          <w:sz w:val="26"/>
        </w:rPr>
        <w:t>Person 4 Deep-Dive: Evaluation, Explainability &amp; Front-End UI</w:t>
      </w:r>
    </w:p>
    <w:p>
      <w:pPr>
        <w:spacing w:before="20" w:after="40"/>
      </w:pPr>
      <w:r>
        <w:rPr>
          <w:rFonts w:ascii="Segoe UI" w:hAnsi="Segoe UI"/>
          <w:b/>
          <w:sz w:val="19"/>
        </w:rPr>
        <w:t xml:space="preserve">• Phase 1 (Hours 1-4): </w:t>
      </w:r>
      <w:r>
        <w:rPr>
          <w:rFonts w:ascii="Segoe UI" w:hAnsi="Segoe UI"/>
          <w:sz w:val="18"/>
        </w:rPr>
        <w:t>Curate a golden benchmark dataset: 20 comprehensive test queries (5 Tech, 5 Clinical, 5 SEC, 5 CSR, and 5 Cross-Domain) with ground-truth expected domains and keywords.</w:t>
      </w:r>
    </w:p>
    <w:p>
      <w:pPr>
        <w:spacing w:before="20" w:after="40"/>
      </w:pPr>
      <w:r>
        <w:rPr>
          <w:rFonts w:ascii="Segoe UI" w:hAnsi="Segoe UI"/>
          <w:b/>
          <w:sz w:val="19"/>
        </w:rPr>
        <w:t xml:space="preserve">• Phase 2 (Hours 5-10): </w:t>
      </w:r>
      <w:r>
        <w:rPr>
          <w:rFonts w:ascii="Segoe UI" w:hAnsi="Segoe UI"/>
          <w:sz w:val="18"/>
        </w:rPr>
        <w:t>Build Quantitative Evaluation Script: Calculate Routing Accuracy (Confusion Matrix), Retrieval Hit Rate, and Recommendation Relevance (NDCG/Precision@K).</w:t>
      </w:r>
    </w:p>
    <w:p>
      <w:pPr>
        <w:spacing w:before="20" w:after="40"/>
      </w:pPr>
      <w:r>
        <w:rPr>
          <w:rFonts w:ascii="Segoe UI" w:hAnsi="Segoe UI"/>
          <w:b/>
          <w:sz w:val="19"/>
        </w:rPr>
        <w:t xml:space="preserve">• Phase 3 (Hours 11-15): </w:t>
      </w:r>
      <w:r>
        <w:rPr>
          <w:rFonts w:ascii="Segoe UI" w:hAnsi="Segoe UI"/>
          <w:sz w:val="18"/>
        </w:rPr>
        <w:t>Build Explainability Module: Generate confidence indicators, explain WHY an action was recommended, and highlight uncertainty when telemetry is missing.</w:t>
      </w:r>
    </w:p>
    <w:p>
      <w:pPr>
        <w:spacing w:before="20" w:after="40"/>
      </w:pPr>
      <w:r>
        <w:rPr>
          <w:rFonts w:ascii="Segoe UI" w:hAnsi="Segoe UI"/>
          <w:b/>
          <w:sz w:val="19"/>
        </w:rPr>
        <w:t xml:space="preserve">• Phase 4 (Hours 16-20): </w:t>
      </w:r>
      <w:r>
        <w:rPr>
          <w:rFonts w:ascii="Segoe UI" w:hAnsi="Segoe UI"/>
          <w:sz w:val="18"/>
        </w:rPr>
        <w:t>Build Interactive UI in Streamlit: Query input box, live multi-agent execution trace visualization, domain findings cards with collapsible citations, and an 'Evaluation Benchmark' dashboard tab.</w:t>
      </w:r>
    </w:p>
    <w:p>
      <w:pPr>
        <w:spacing w:before="20" w:after="40"/>
      </w:pPr>
      <w:r>
        <w:rPr>
          <w:rFonts w:ascii="Segoe UI" w:hAnsi="Segoe UI"/>
          <w:b/>
          <w:sz w:val="19"/>
        </w:rPr>
        <w:t xml:space="preserve">• Phase 5 (Hours 21-25): </w:t>
      </w:r>
      <w:r>
        <w:rPr>
          <w:rFonts w:ascii="Segoe UI" w:hAnsi="Segoe UI"/>
          <w:sz w:val="18"/>
        </w:rPr>
        <w:t>Record a polished 3-5 minute demo video walkthrough, assemble the final presentation slide deck, and prepare the submission package.</w:t>
      </w:r>
    </w:p>
    <w:p>
      <w:pPr>
        <w:keepNext/>
        <w:spacing w:before="320" w:after="120"/>
      </w:pPr>
      <w:r>
        <w:rPr>
          <w:rFonts w:ascii="Segoe UI Semibold" w:hAnsi="Segoe UI Semibold"/>
          <w:color w:val="0F172A"/>
          <w:sz w:val="32"/>
        </w:rPr>
        <w:t>5. Asynchronous Hourly Timeline (Saturday 11:30 AM – Sunday 1:30 PM)</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766E"/>
            <w:tcMar>
              <w:top w:w="100" w:type="dxa"/>
              <w:bottom w:w="100" w:type="dxa"/>
              <w:left w:w="100" w:type="dxa"/>
              <w:right w:w="100" w:type="dxa"/>
            </w:tcMar>
          </w:tcPr>
          <w:p>
            <w:r>
              <w:rPr>
                <w:rFonts w:ascii="Segoe UI Semibold" w:hAnsi="Segoe UI Semibold"/>
                <w:b/>
                <w:color w:val="FFFFFF"/>
                <w:sz w:val="19"/>
              </w:rPr>
              <w:t>Time Window</w:t>
            </w:r>
          </w:p>
        </w:tc>
        <w:tc>
          <w:tcPr>
            <w:tcW w:type="dxa" w:w="3168"/>
            <w:shd w:fill="0F766E"/>
            <w:tcMar>
              <w:top w:w="100" w:type="dxa"/>
              <w:bottom w:w="100" w:type="dxa"/>
              <w:left w:w="100" w:type="dxa"/>
              <w:right w:w="100" w:type="dxa"/>
            </w:tcMar>
          </w:tcPr>
          <w:p>
            <w:r>
              <w:rPr>
                <w:rFonts w:ascii="Segoe UI Semibold" w:hAnsi="Segoe UI Semibold"/>
                <w:b/>
                <w:color w:val="FFFFFF"/>
                <w:sz w:val="19"/>
              </w:rPr>
              <w:t>Team Synchronization Milestone</w:t>
            </w:r>
          </w:p>
        </w:tc>
        <w:tc>
          <w:tcPr>
            <w:tcW w:type="dxa" w:w="4320"/>
            <w:shd w:fill="0F766E"/>
            <w:tcMar>
              <w:top w:w="100" w:type="dxa"/>
              <w:bottom w:w="100" w:type="dxa"/>
              <w:left w:w="100" w:type="dxa"/>
              <w:right w:w="100" w:type="dxa"/>
            </w:tcMar>
          </w:tcPr>
          <w:p>
            <w:r>
              <w:rPr>
                <w:rFonts w:ascii="Segoe UI Semibold" w:hAnsi="Segoe UI Semibold"/>
                <w:b/>
                <w:color w:val="FFFFFF"/>
                <w:sz w:val="19"/>
              </w:rPr>
              <w:t>Action Items &amp; Deliverables</w:t>
            </w:r>
          </w:p>
        </w:tc>
      </w:tr>
      <w:tr>
        <w:tc>
          <w:tcPr>
            <w:tcW w:type="dxa" w:w="2592"/>
            <w:shd w:fill="FFFFFF"/>
            <w:tcMar>
              <w:top w:w="80" w:type="dxa"/>
              <w:bottom w:w="80" w:type="dxa"/>
              <w:left w:w="100" w:type="dxa"/>
              <w:right w:w="100" w:type="dxa"/>
            </w:tcMar>
          </w:tcPr>
          <w:p>
            <w:r>
              <w:rPr>
                <w:rFonts w:ascii="Segoe UI" w:hAnsi="Segoe UI"/>
                <w:sz w:val="17"/>
              </w:rPr>
              <w:t>Sat 11:30 AM – 1:00 PM</w:t>
              <w:br/>
              <w:t>(Hour 0 – 1.5)</w:t>
            </w:r>
          </w:p>
        </w:tc>
        <w:tc>
          <w:tcPr>
            <w:tcW w:type="dxa" w:w="3168"/>
            <w:shd w:fill="FFFFFF"/>
            <w:tcMar>
              <w:top w:w="80" w:type="dxa"/>
              <w:bottom w:w="80" w:type="dxa"/>
              <w:left w:w="100" w:type="dxa"/>
              <w:right w:w="100" w:type="dxa"/>
            </w:tcMar>
          </w:tcPr>
          <w:p>
            <w:r>
              <w:rPr>
                <w:rFonts w:ascii="Segoe UI" w:hAnsi="Segoe UI"/>
                <w:sz w:val="17"/>
              </w:rPr>
              <w:t>Kickoff &amp; Contract Lock</w:t>
              <w:br/>
              <w:t>(30-min sync call)</w:t>
            </w:r>
          </w:p>
        </w:tc>
        <w:tc>
          <w:tcPr>
            <w:tcW w:type="dxa" w:w="4320"/>
            <w:shd w:fill="FFFFFF"/>
            <w:tcMar>
              <w:top w:w="80" w:type="dxa"/>
              <w:bottom w:w="80" w:type="dxa"/>
              <w:left w:w="100" w:type="dxa"/>
              <w:right w:w="100" w:type="dxa"/>
            </w:tcMar>
          </w:tcPr>
          <w:p>
            <w:r>
              <w:rPr>
                <w:rFonts w:ascii="Segoe UI" w:hAnsi="Segoe UI"/>
                <w:sz w:val="17"/>
              </w:rPr>
              <w:t>Agree on roles. Person 1 pushes initial Git repo with core/schemas.py and dummy mocks. All members clone and verify local python environment.</w:t>
            </w:r>
          </w:p>
        </w:tc>
      </w:tr>
      <w:tr>
        <w:tc>
          <w:tcPr>
            <w:tcW w:type="dxa" w:w="2592"/>
            <w:shd w:fill="F0FDFA"/>
            <w:tcMar>
              <w:top w:w="80" w:type="dxa"/>
              <w:bottom w:w="80" w:type="dxa"/>
              <w:left w:w="100" w:type="dxa"/>
              <w:right w:w="100" w:type="dxa"/>
            </w:tcMar>
          </w:tcPr>
          <w:p>
            <w:r>
              <w:rPr>
                <w:rFonts w:ascii="Segoe UI" w:hAnsi="Segoe UI"/>
                <w:sz w:val="17"/>
              </w:rPr>
              <w:t>Sat 1:00 PM – 6:00 PM</w:t>
              <w:br/>
              <w:t>(Hour 1.5 – 6.5)</w:t>
            </w:r>
          </w:p>
        </w:tc>
        <w:tc>
          <w:tcPr>
            <w:tcW w:type="dxa" w:w="3168"/>
            <w:shd w:fill="F0FDFA"/>
            <w:tcMar>
              <w:top w:w="80" w:type="dxa"/>
              <w:bottom w:w="80" w:type="dxa"/>
              <w:left w:w="100" w:type="dxa"/>
              <w:right w:w="100" w:type="dxa"/>
            </w:tcMar>
          </w:tcPr>
          <w:p>
            <w:r>
              <w:rPr>
                <w:rFonts w:ascii="Segoe UI" w:hAnsi="Segoe UI"/>
                <w:sz w:val="17"/>
              </w:rPr>
              <w:t>Independent Module Build</w:t>
              <w:br/>
              <w:t>(Async deep work)</w:t>
            </w:r>
          </w:p>
        </w:tc>
        <w:tc>
          <w:tcPr>
            <w:tcW w:type="dxa" w:w="4320"/>
            <w:shd w:fill="F0FDFA"/>
            <w:tcMar>
              <w:top w:w="80" w:type="dxa"/>
              <w:bottom w:w="80" w:type="dxa"/>
              <w:left w:w="100" w:type="dxa"/>
              <w:right w:w="100" w:type="dxa"/>
            </w:tcMar>
          </w:tcPr>
          <w:p>
            <w:r>
              <w:rPr>
                <w:rFonts w:ascii="Segoe UI" w:hAnsi="Segoe UI"/>
                <w:sz w:val="17"/>
              </w:rPr>
              <w:t>T2 builds Tech/Clinical RAG. T3 builds SEC/CSR RAG. T1 builds Manager Router. T4 builds benchmark dataset &amp; evaluation harness. Test locally against mocks.</w:t>
            </w:r>
          </w:p>
        </w:tc>
      </w:tr>
      <w:tr>
        <w:tc>
          <w:tcPr>
            <w:tcW w:type="dxa" w:w="2592"/>
            <w:shd w:fill="FFFFFF"/>
            <w:tcMar>
              <w:top w:w="80" w:type="dxa"/>
              <w:bottom w:w="80" w:type="dxa"/>
              <w:left w:w="100" w:type="dxa"/>
              <w:right w:w="100" w:type="dxa"/>
            </w:tcMar>
          </w:tcPr>
          <w:p>
            <w:r>
              <w:rPr>
                <w:rFonts w:ascii="Segoe UI" w:hAnsi="Segoe UI"/>
                <w:sz w:val="17"/>
              </w:rPr>
              <w:t>Sat 6:00 PM – 7:00 PM</w:t>
              <w:br/>
              <w:t>(Hour 6.5 – 7.5)</w:t>
            </w:r>
          </w:p>
        </w:tc>
        <w:tc>
          <w:tcPr>
            <w:tcW w:type="dxa" w:w="3168"/>
            <w:shd w:fill="FFFFFF"/>
            <w:tcMar>
              <w:top w:w="80" w:type="dxa"/>
              <w:bottom w:w="80" w:type="dxa"/>
              <w:left w:w="100" w:type="dxa"/>
              <w:right w:w="100" w:type="dxa"/>
            </w:tcMar>
          </w:tcPr>
          <w:p>
            <w:r>
              <w:rPr>
                <w:rFonts w:ascii="Segoe UI" w:hAnsi="Segoe UI"/>
                <w:sz w:val="17"/>
              </w:rPr>
              <w:t>Mid-Point Health Check</w:t>
              <w:br/>
              <w:t>(15-min sync call / Slack)</w:t>
            </w:r>
          </w:p>
        </w:tc>
        <w:tc>
          <w:tcPr>
            <w:tcW w:type="dxa" w:w="4320"/>
            <w:shd w:fill="FFFFFF"/>
            <w:tcMar>
              <w:top w:w="80" w:type="dxa"/>
              <w:bottom w:w="80" w:type="dxa"/>
              <w:left w:w="100" w:type="dxa"/>
              <w:right w:w="100" w:type="dxa"/>
            </w:tcMar>
          </w:tcPr>
          <w:p>
            <w:r>
              <w:rPr>
                <w:rFonts w:ascii="Segoe UI" w:hAnsi="Segoe UI"/>
                <w:sz w:val="17"/>
              </w:rPr>
              <w:t>Quick check-in: Verify data ingestion complete. Test Router output against MockDomainAgent. Resolve any schema mismatches.</w:t>
            </w:r>
          </w:p>
        </w:tc>
      </w:tr>
      <w:tr>
        <w:tc>
          <w:tcPr>
            <w:tcW w:type="dxa" w:w="2592"/>
            <w:shd w:fill="F0FDFA"/>
            <w:tcMar>
              <w:top w:w="80" w:type="dxa"/>
              <w:bottom w:w="80" w:type="dxa"/>
              <w:left w:w="100" w:type="dxa"/>
              <w:right w:w="100" w:type="dxa"/>
            </w:tcMar>
          </w:tcPr>
          <w:p>
            <w:r>
              <w:rPr>
                <w:rFonts w:ascii="Segoe UI" w:hAnsi="Segoe UI"/>
                <w:sz w:val="17"/>
              </w:rPr>
              <w:t>Sat 7:00 PM – 11:30 PM</w:t>
              <w:br/>
              <w:t>(Hour 7.5 – 12)</w:t>
            </w:r>
          </w:p>
        </w:tc>
        <w:tc>
          <w:tcPr>
            <w:tcW w:type="dxa" w:w="3168"/>
            <w:shd w:fill="F0FDFA"/>
            <w:tcMar>
              <w:top w:w="80" w:type="dxa"/>
              <w:bottom w:w="80" w:type="dxa"/>
              <w:left w:w="100" w:type="dxa"/>
              <w:right w:w="100" w:type="dxa"/>
            </w:tcMar>
          </w:tcPr>
          <w:p>
            <w:r>
              <w:rPr>
                <w:rFonts w:ascii="Segoe UI" w:hAnsi="Segoe UI"/>
                <w:sz w:val="17"/>
              </w:rPr>
              <w:t>Algorithms &amp; Recommenders</w:t>
              <w:br/>
              <w:t>(Async deep work)</w:t>
            </w:r>
          </w:p>
        </w:tc>
        <w:tc>
          <w:tcPr>
            <w:tcW w:type="dxa" w:w="4320"/>
            <w:shd w:fill="F0FDFA"/>
            <w:tcMar>
              <w:top w:w="80" w:type="dxa"/>
              <w:bottom w:w="80" w:type="dxa"/>
              <w:left w:w="100" w:type="dxa"/>
              <w:right w:w="100" w:type="dxa"/>
            </w:tcMar>
          </w:tcPr>
          <w:p>
            <w:r>
              <w:rPr>
                <w:rFonts w:ascii="Segoe UI" w:hAnsi="Segoe UI"/>
                <w:sz w:val="17"/>
              </w:rPr>
              <w:t>T2 &amp; T3 implement ranking &amp; recommender scoring. T1 implements Cross-Domain Query Decomposition. T4 implements Streamlit UI skeleton with mock responses.</w:t>
            </w:r>
          </w:p>
        </w:tc>
      </w:tr>
      <w:tr>
        <w:tc>
          <w:tcPr>
            <w:tcW w:type="dxa" w:w="2592"/>
            <w:shd w:fill="FFFFFF"/>
            <w:tcMar>
              <w:top w:w="80" w:type="dxa"/>
              <w:bottom w:w="80" w:type="dxa"/>
              <w:left w:w="100" w:type="dxa"/>
              <w:right w:w="100" w:type="dxa"/>
            </w:tcMar>
          </w:tcPr>
          <w:p>
            <w:r>
              <w:rPr>
                <w:rFonts w:ascii="Segoe UI" w:hAnsi="Segoe UI"/>
                <w:sz w:val="17"/>
              </w:rPr>
              <w:t>Sun 12:00 AM – 8:00 AM</w:t>
              <w:br/>
              <w:t>(Hour 12.5 – 20.5)</w:t>
            </w:r>
          </w:p>
        </w:tc>
        <w:tc>
          <w:tcPr>
            <w:tcW w:type="dxa" w:w="3168"/>
            <w:shd w:fill="FFFFFF"/>
            <w:tcMar>
              <w:top w:w="80" w:type="dxa"/>
              <w:bottom w:w="80" w:type="dxa"/>
              <w:left w:w="100" w:type="dxa"/>
              <w:right w:w="100" w:type="dxa"/>
            </w:tcMar>
          </w:tcPr>
          <w:p>
            <w:r>
              <w:rPr>
                <w:rFonts w:ascii="Segoe UI" w:hAnsi="Segoe UI"/>
                <w:sz w:val="17"/>
              </w:rPr>
              <w:t>Night Rest &amp; Offline Runs</w:t>
            </w:r>
          </w:p>
        </w:tc>
        <w:tc>
          <w:tcPr>
            <w:tcW w:type="dxa" w:w="4320"/>
            <w:shd w:fill="FFFFFF"/>
            <w:tcMar>
              <w:top w:w="80" w:type="dxa"/>
              <w:bottom w:w="80" w:type="dxa"/>
              <w:left w:w="100" w:type="dxa"/>
              <w:right w:w="100" w:type="dxa"/>
            </w:tcMar>
          </w:tcPr>
          <w:p>
            <w:r>
              <w:rPr>
                <w:rFonts w:ascii="Segoe UI" w:hAnsi="Segoe UI"/>
                <w:sz w:val="17"/>
              </w:rPr>
              <w:t>Team rests. Vector embeddings finish indexing. Automated batch evaluation runs on benchmark queries.</w:t>
            </w:r>
          </w:p>
        </w:tc>
      </w:tr>
      <w:tr>
        <w:tc>
          <w:tcPr>
            <w:tcW w:type="dxa" w:w="2592"/>
            <w:shd w:fill="F0FDFA"/>
            <w:tcMar>
              <w:top w:w="80" w:type="dxa"/>
              <w:bottom w:w="80" w:type="dxa"/>
              <w:left w:w="100" w:type="dxa"/>
              <w:right w:w="100" w:type="dxa"/>
            </w:tcMar>
          </w:tcPr>
          <w:p>
            <w:r>
              <w:rPr>
                <w:rFonts w:ascii="Segoe UI" w:hAnsi="Segoe UI"/>
                <w:sz w:val="17"/>
              </w:rPr>
              <w:t>Sun 8:00 AM – 10:30 AM</w:t>
              <w:br/>
              <w:t>(Hour 20.5 – 23)</w:t>
            </w:r>
          </w:p>
        </w:tc>
        <w:tc>
          <w:tcPr>
            <w:tcW w:type="dxa" w:w="3168"/>
            <w:shd w:fill="F0FDFA"/>
            <w:tcMar>
              <w:top w:w="80" w:type="dxa"/>
              <w:bottom w:w="80" w:type="dxa"/>
              <w:left w:w="100" w:type="dxa"/>
              <w:right w:w="100" w:type="dxa"/>
            </w:tcMar>
          </w:tcPr>
          <w:p>
            <w:r>
              <w:rPr>
                <w:rFonts w:ascii="Segoe UI" w:hAnsi="Segoe UI"/>
                <w:sz w:val="17"/>
              </w:rPr>
              <w:t>Full System Integration</w:t>
              <w:br/>
              <w:t>(Branch Merge)</w:t>
            </w:r>
          </w:p>
        </w:tc>
        <w:tc>
          <w:tcPr>
            <w:tcW w:type="dxa" w:w="4320"/>
            <w:shd w:fill="F0FDFA"/>
            <w:tcMar>
              <w:top w:w="80" w:type="dxa"/>
              <w:bottom w:w="80" w:type="dxa"/>
              <w:left w:w="100" w:type="dxa"/>
              <w:right w:w="100" w:type="dxa"/>
            </w:tcMar>
          </w:tcPr>
          <w:p>
            <w:r>
              <w:rPr>
                <w:rFonts w:ascii="Segoe UI" w:hAnsi="Segoe UI"/>
                <w:sz w:val="17"/>
              </w:rPr>
              <w:t>Merge feature branches into main. Replace mock agents with real Tech, Clinical, SEC, and CSR agents in main pipeline. Run end-to-end integration test.</w:t>
            </w:r>
          </w:p>
        </w:tc>
      </w:tr>
      <w:tr>
        <w:tc>
          <w:tcPr>
            <w:tcW w:type="dxa" w:w="2592"/>
            <w:shd w:fill="FFFFFF"/>
            <w:tcMar>
              <w:top w:w="80" w:type="dxa"/>
              <w:bottom w:w="80" w:type="dxa"/>
              <w:left w:w="100" w:type="dxa"/>
              <w:right w:w="100" w:type="dxa"/>
            </w:tcMar>
          </w:tcPr>
          <w:p>
            <w:r>
              <w:rPr>
                <w:rFonts w:ascii="Segoe UI" w:hAnsi="Segoe UI"/>
                <w:sz w:val="17"/>
              </w:rPr>
              <w:t>Sun 10:30 AM – 12:00 PM</w:t>
              <w:br/>
              <w:t>(Hour 23 – 24.5)</w:t>
            </w:r>
          </w:p>
        </w:tc>
        <w:tc>
          <w:tcPr>
            <w:tcW w:type="dxa" w:w="3168"/>
            <w:shd w:fill="FFFFFF"/>
            <w:tcMar>
              <w:top w:w="80" w:type="dxa"/>
              <w:bottom w:w="80" w:type="dxa"/>
              <w:left w:w="100" w:type="dxa"/>
              <w:right w:w="100" w:type="dxa"/>
            </w:tcMar>
          </w:tcPr>
          <w:p>
            <w:r>
              <w:rPr>
                <w:rFonts w:ascii="Segoe UI" w:hAnsi="Segoe UI"/>
                <w:sz w:val="17"/>
              </w:rPr>
              <w:t>Evaluation &amp; UI Polish</w:t>
              <w:br/>
              <w:t>(Metric Validation)</w:t>
            </w:r>
          </w:p>
        </w:tc>
        <w:tc>
          <w:tcPr>
            <w:tcW w:type="dxa" w:w="4320"/>
            <w:shd w:fill="FFFFFF"/>
            <w:tcMar>
              <w:top w:w="80" w:type="dxa"/>
              <w:bottom w:w="80" w:type="dxa"/>
              <w:left w:w="100" w:type="dxa"/>
              <w:right w:w="100" w:type="dxa"/>
            </w:tcMar>
          </w:tcPr>
          <w:p>
            <w:r>
              <w:rPr>
                <w:rFonts w:ascii="Segoe UI" w:hAnsi="Segoe UI"/>
                <w:sz w:val="17"/>
              </w:rPr>
              <w:t>Run Person 4's benchmark against the live integrated system. Record routing accuracy, retrieval hit rate, and generate evaluation charts. Hook up Streamlit UI.</w:t>
            </w:r>
          </w:p>
        </w:tc>
      </w:tr>
      <w:tr>
        <w:tc>
          <w:tcPr>
            <w:tcW w:type="dxa" w:w="2592"/>
            <w:shd w:fill="F0FDFA"/>
            <w:tcMar>
              <w:top w:w="80" w:type="dxa"/>
              <w:bottom w:w="80" w:type="dxa"/>
              <w:left w:w="100" w:type="dxa"/>
              <w:right w:w="100" w:type="dxa"/>
            </w:tcMar>
          </w:tcPr>
          <w:p>
            <w:r>
              <w:rPr>
                <w:rFonts w:ascii="Segoe UI" w:hAnsi="Segoe UI"/>
                <w:sz w:val="17"/>
              </w:rPr>
              <w:t>Sun 12:00 PM – 1:30 PM</w:t>
              <w:br/>
              <w:t>(Hour 24.5 – 26)</w:t>
            </w:r>
          </w:p>
        </w:tc>
        <w:tc>
          <w:tcPr>
            <w:tcW w:type="dxa" w:w="3168"/>
            <w:shd w:fill="F0FDFA"/>
            <w:tcMar>
              <w:top w:w="80" w:type="dxa"/>
              <w:bottom w:w="80" w:type="dxa"/>
              <w:left w:w="100" w:type="dxa"/>
              <w:right w:w="100" w:type="dxa"/>
            </w:tcMar>
          </w:tcPr>
          <w:p>
            <w:r>
              <w:rPr>
                <w:rFonts w:ascii="Segoe UI" w:hAnsi="Segoe UI"/>
                <w:sz w:val="17"/>
              </w:rPr>
              <w:t>Final Polish, Demo &amp; Submission</w:t>
              <w:br/>
              <w:t>(Hard Stop 1:30 PM)</w:t>
            </w:r>
          </w:p>
        </w:tc>
        <w:tc>
          <w:tcPr>
            <w:tcW w:type="dxa" w:w="4320"/>
            <w:shd w:fill="F0FDFA"/>
            <w:tcMar>
              <w:top w:w="80" w:type="dxa"/>
              <w:bottom w:w="80" w:type="dxa"/>
              <w:left w:w="100" w:type="dxa"/>
              <w:right w:w="100" w:type="dxa"/>
            </w:tcMar>
          </w:tcPr>
          <w:p>
            <w:r>
              <w:rPr>
                <w:rFonts w:ascii="Segoe UI" w:hAnsi="Segoe UI"/>
                <w:sz w:val="17"/>
              </w:rPr>
              <w:t>Record 3-minute video walk-through, generate final PDF report / presentation slides, double-check rubric, and submit to Canvas before 1:30 PM.</w:t>
            </w:r>
          </w:p>
        </w:tc>
      </w:tr>
    </w:tbl>
    <w:p>
      <w:pPr>
        <w:spacing w:before="80"/>
      </w:pPr>
    </w:p>
    <w:p>
      <w:pPr>
        <w:keepNext/>
        <w:spacing w:before="320" w:after="120"/>
      </w:pPr>
      <w:r>
        <w:rPr>
          <w:rFonts w:ascii="Segoe UI Semibold" w:hAnsi="Segoe UI Semibold"/>
          <w:color w:val="0F172A"/>
          <w:sz w:val="32"/>
        </w:rPr>
        <w:t>6. Asynchronous Collaboration &amp; Git Protocol</w:t>
      </w:r>
    </w:p>
    <w:p>
      <w:pPr>
        <w:spacing w:before="40" w:after="40"/>
      </w:pPr>
      <w:r>
        <w:rPr>
          <w:rFonts w:ascii="Segoe UI" w:hAnsi="Segoe UI"/>
          <w:b/>
          <w:sz w:val="19"/>
        </w:rPr>
        <w:t xml:space="preserve">• Zero-Dependency Rule: </w:t>
      </w:r>
      <w:r>
        <w:rPr>
          <w:rFonts w:ascii="Segoe UI" w:hAnsi="Segoe UI"/>
          <w:sz w:val="18"/>
        </w:rPr>
        <w:t>Never import another teammate's unmerged code directly. Always import from core.schemas and program to interfaces. If you need Person 2's output before they are done, use a mock instance of DomainResponse.</w:t>
      </w:r>
    </w:p>
    <w:p>
      <w:pPr>
        <w:spacing w:before="40" w:after="40"/>
      </w:pPr>
      <w:r>
        <w:rPr>
          <w:rFonts w:ascii="Segoe UI" w:hAnsi="Segoe UI"/>
          <w:b/>
          <w:sz w:val="19"/>
        </w:rPr>
        <w:t xml:space="preserve">• Branching Strategy: </w:t>
      </w:r>
      <w:r>
        <w:rPr>
          <w:rFonts w:ascii="Segoe UI" w:hAnsi="Segoe UI"/>
          <w:sz w:val="18"/>
        </w:rPr>
        <w:t>Main branch is protected. Teammates work on: feature/router-orchestrator (P1), feature/tech-clinical-agent (P2), feature/sec-csr-agent (P3), and feature/eval-ui (P4).</w:t>
      </w:r>
    </w:p>
    <w:p>
      <w:pPr>
        <w:spacing w:before="40" w:after="40"/>
      </w:pPr>
      <w:r>
        <w:rPr>
          <w:rFonts w:ascii="Segoe UI" w:hAnsi="Segoe UI"/>
          <w:b/>
          <w:sz w:val="19"/>
        </w:rPr>
        <w:t xml:space="preserve">• Single Source of Secrets: </w:t>
      </w:r>
      <w:r>
        <w:rPr>
          <w:rFonts w:ascii="Segoe UI" w:hAnsi="Segoe UI"/>
          <w:sz w:val="18"/>
        </w:rPr>
        <w:t>Create a .env.example with placeholders (OPENAI_API_KEY, ANTHROPIC_API_KEY, or GEMINI_API_KEY). Never commit .env to GitHub.</w:t>
      </w:r>
    </w:p>
    <w:p>
      <w:pPr>
        <w:spacing w:before="40" w:after="40"/>
      </w:pPr>
      <w:r>
        <w:rPr>
          <w:rFonts w:ascii="Segoe UI" w:hAnsi="Segoe UI"/>
          <w:b/>
          <w:sz w:val="19"/>
        </w:rPr>
        <w:t xml:space="preserve">• Non-Blocking Communication: </w:t>
      </w:r>
      <w:r>
        <w:rPr>
          <w:rFonts w:ascii="Segoe UI" w:hAnsi="Segoe UI"/>
          <w:sz w:val="18"/>
        </w:rPr>
        <w:t>Use Discord / Slack thread channels (#orchestrator, #knowledge-rag, #evaluation, #submission) with structured status updates: [Status] / [Working On] / [Needs From Others].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