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p>
    <w:p>
      <w:pPr>
        <w:spacing w:after="120" w:before="0"/>
        <w:jc w:val="left"/>
      </w:pPr>
      <w:r>
        <w:rPr>
          <w:rFonts w:ascii="Calibri" w:cs="Calibri" w:eastAsia="Calibri" w:hAnsi="Calibri"/>
          <w:b/>
          <w:bCs/>
          <w:color w:val="1B3A5C"/>
          <w:sz w:val="64"/>
          <w:szCs w:val="64"/>
        </w:rPr>
        <w:t xml:space="preserve">Shadow AI Scan</w:t>
      </w:r>
    </w:p>
    <w:p>
      <w:pPr>
        <w:pBdr>
          <w:bottom w:val="single" w:color="2563A8" w:sz="8" w:space="8"/>
        </w:pBdr>
        <w:spacing w:after="80" w:before="0"/>
        <w:jc w:val="left"/>
      </w:pPr>
      <w:r>
        <w:rPr>
          <w:rFonts w:ascii="Calibri" w:cs="Calibri" w:eastAsia="Calibri" w:hAnsi="Calibri"/>
          <w:b w:val="false"/>
          <w:bCs w:val="false"/>
          <w:color w:val="2563A8"/>
          <w:sz w:val="40"/>
          <w:szCs w:val="40"/>
        </w:rPr>
        <w:t xml:space="preserve">Handleiding voor de DPO</w:t>
      </w:r>
    </w:p>
    <w:p>
      <w:pPr>
        <w:spacing w:after="400" w:before="0"/>
      </w:pPr>
      <w:r>
        <w:rPr>
          <w:rFonts w:ascii="Calibri" w:cs="Calibri" w:eastAsia="Calibri" w:hAnsi="Calibri"/>
          <w:b w:val="false"/>
          <w:bCs w:val="false"/>
          <w:i w:val="false"/>
          <w:iCs w:val="false"/>
          <w:color w:val="1A1A1A"/>
          <w:sz w:val="22"/>
          <w:szCs w:val="22"/>
        </w:rPr>
        <w:t xml:space="preserve"/>
      </w:r>
    </w:p>
    <w:p>
      <w:pPr>
        <w:spacing w:after="600" w:before="0"/>
        <w:jc w:val="left"/>
      </w:pPr>
      <w:r>
        <w:rPr>
          <w:rFonts w:ascii="Calibri" w:cs="Calibri" w:eastAsia="Calibri" w:hAnsi="Calibri"/>
          <w:color w:val="595959"/>
          <w:sz w:val="24"/>
          <w:szCs w:val="24"/>
        </w:rPr>
        <w:t xml:space="preserve">Hoe de scan werkt · Wat u instelt · Hoe u de uitkomsten gebruikt</w:t>
      </w:r>
    </w:p>
    <w:p>
      <w:pPr>
        <w:spacing w:after="40" w:before="0"/>
      </w:pPr>
      <w:r>
        <w:rPr>
          <w:rFonts w:ascii="Calibri" w:cs="Calibri" w:eastAsia="Calibri" w:hAnsi="Calibri"/>
          <w:color w:val="595959"/>
          <w:sz w:val="22"/>
          <w:szCs w:val="22"/>
        </w:rPr>
        <w:t xml:space="preserve">Gericht op de DPO in het Nederlandse MKB</w:t>
      </w:r>
    </w:p>
    <w:p>
      <w:pPr>
        <w:spacing w:after="0" w:before="0"/>
      </w:pPr>
      <w:r>
        <w:rPr>
          <w:rFonts w:ascii="Calibri" w:cs="Calibri" w:eastAsia="Calibri" w:hAnsi="Calibri"/>
          <w:color w:val="595959"/>
          <w:sz w:val="22"/>
          <w:szCs w:val="22"/>
        </w:rPr>
        <w:t xml:space="preserve">Versie 8.1  ·  Intern gebruik</w:t>
      </w:r>
    </w:p>
    <w:p>
      <w:pPr>
        <w:spacing w:after="0" w:before="0"/>
      </w:pPr>
      <w:r>
        <w:br w:type="page"/>
      </w:r>
    </w:p>
    <w:p>
      <w:pPr>
        <w:pStyle w:val="Heading1"/>
        <w:pBdr>
          <w:bottom w:val="single" w:color="2563A8" w:sz="6" w:space="6"/>
        </w:pBdr>
        <w:spacing w:after="160" w:before="400"/>
      </w:pPr>
      <w:r>
        <w:rPr>
          <w:rFonts w:ascii="Calibri" w:cs="Calibri" w:eastAsia="Calibri" w:hAnsi="Calibri"/>
          <w:b/>
          <w:bCs/>
          <w:color w:val="1B3A5C"/>
          <w:sz w:val="36"/>
          <w:szCs w:val="36"/>
        </w:rPr>
        <w:t xml:space="preserve">Wat deze handleiding is</w:t>
      </w:r>
    </w:p>
    <w:p>
      <w:pPr>
        <w:spacing w:after="100" w:before="60" w:line="300"/>
        <w:jc w:val="left"/>
      </w:pPr>
      <w:r>
        <w:rPr>
          <w:rFonts w:ascii="Calibri" w:cs="Calibri" w:eastAsia="Calibri" w:hAnsi="Calibri"/>
          <w:b w:val="false"/>
          <w:bCs w:val="false"/>
          <w:i w:val="false"/>
          <w:iCs w:val="false"/>
          <w:color w:val="1A1A1A"/>
          <w:sz w:val="22"/>
          <w:szCs w:val="22"/>
        </w:rPr>
        <w:t xml:space="preserve">Deze handleiding legt in gewone taal uit hoe de Shadow AI Scan werkt, wat u als DPO instelt, hoe de scan risico bepaalt en wat u met de uitkomsten doet. De handleiding is geschreven voor DPO's, privacy officers en projectverantwoordelijken in het Nederlandse MKB.</w:t>
      </w:r>
    </w:p>
    <w:p>
      <w:pPr>
        <w:spacing w:after="100" w:before="60" w:line="300"/>
        <w:jc w:val="left"/>
      </w:pPr>
      <w:r>
        <w:rPr>
          <w:rFonts w:ascii="Calibri" w:cs="Calibri" w:eastAsia="Calibri" w:hAnsi="Calibri"/>
          <w:b w:val="false"/>
          <w:bCs w:val="false"/>
          <w:i w:val="false"/>
          <w:iCs w:val="false"/>
          <w:color w:val="1A1A1A"/>
          <w:sz w:val="22"/>
          <w:szCs w:val="22"/>
        </w:rPr>
        <w:t xml:space="preserve">U hoeft de technische architectuur niet te kennen om de scan goed in te zetten. Wat u wel nodig heeft, staat in deze handleiding: de logica achter de scores, de keuzes die u maakt vóór de scan, en de stappen daarna.</w:t>
      </w:r>
    </w:p>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595959" w:sz="6"/>
              <w:left w:val="none" w:color="FFFFFF" w:sz="0"/>
              <w:bottom w:val="none" w:color="FFFFFF" w:sz="0"/>
              <w:right w:val="none" w:color="FFFFFF" w:sz="0"/>
            </w:tcBorders>
            <w:shd w:fill="F2F4F6" w:val="clear"/>
            <w:tcMar>
              <w:top w:type="dxa" w:w="160"/>
              <w:left w:type="dxa" w:w="200"/>
              <w:bottom w:type="dxa" w:w="160"/>
              <w:right w:type="dxa" w:w="200"/>
            </w:tcMar>
          </w:tcPr>
          <w:p>
            <w:pPr>
              <w:spacing w:after="80" w:before="0"/>
            </w:pPr>
            <w:r>
              <w:rPr>
                <w:rFonts w:ascii="Calibri" w:cs="Calibri" w:eastAsia="Calibri" w:hAnsi="Calibri"/>
                <w:b/>
                <w:bCs/>
                <w:i w:val="false"/>
                <w:iCs w:val="false"/>
                <w:color w:val="595959"/>
                <w:sz w:val="20"/>
                <w:szCs w:val="20"/>
              </w:rPr>
              <w:t xml:space="preserve">Wat deze handleiding níét is</w:t>
            </w:r>
          </w:p>
          <w:p>
            <w:pPr>
              <w:spacing w:after="30" w:before="30"/>
            </w:pPr>
            <w:r>
              <w:rPr>
                <w:rFonts w:ascii="Calibri" w:cs="Calibri" w:eastAsia="Calibri" w:hAnsi="Calibri"/>
                <w:b w:val="false"/>
                <w:bCs w:val="false"/>
                <w:i w:val="false"/>
                <w:iCs w:val="false"/>
                <w:color w:val="1A1A1A"/>
                <w:sz w:val="21"/>
                <w:szCs w:val="21"/>
              </w:rPr>
              <w:t xml:space="preserve">Een technische systeemspecificatie of databasehandleiding.</w:t>
            </w:r>
          </w:p>
          <w:p>
            <w:pPr>
              <w:spacing w:after="30" w:before="30"/>
            </w:pPr>
            <w:r>
              <w:rPr>
                <w:rFonts w:ascii="Calibri" w:cs="Calibri" w:eastAsia="Calibri" w:hAnsi="Calibri"/>
                <w:b w:val="false"/>
                <w:bCs w:val="false"/>
                <w:i w:val="false"/>
                <w:iCs w:val="false"/>
                <w:color w:val="1A1A1A"/>
                <w:sz w:val="21"/>
                <w:szCs w:val="21"/>
              </w:rPr>
              <w:t xml:space="preserve">Een juridisch advies. De scan signaleert — een DPO beoordeelt.</w:t>
            </w:r>
          </w:p>
          <w:p>
            <w:pPr>
              <w:spacing w:after="30" w:before="30"/>
            </w:pPr>
            <w:r>
              <w:rPr>
                <w:rFonts w:ascii="Calibri" w:cs="Calibri" w:eastAsia="Calibri" w:hAnsi="Calibri"/>
                <w:b w:val="false"/>
                <w:bCs w:val="false"/>
                <w:i w:val="false"/>
                <w:iCs w:val="false"/>
                <w:color w:val="1A1A1A"/>
                <w:sz w:val="21"/>
                <w:szCs w:val="21"/>
              </w:rPr>
              <w:t xml:space="preserve">Een AI-training of volledige beleidshandleiding.</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Achtergrond — waarom de scan zo werkt</w:t>
      </w:r>
    </w:p>
    <w:p>
      <w:pPr>
        <w:spacing w:after="100" w:before="60" w:line="300"/>
        <w:jc w:val="left"/>
      </w:pPr>
      <w:r>
        <w:rPr>
          <w:rFonts w:ascii="Calibri" w:cs="Calibri" w:eastAsia="Calibri" w:hAnsi="Calibri"/>
          <w:b w:val="false"/>
          <w:bCs w:val="false"/>
          <w:i w:val="false"/>
          <w:iCs w:val="false"/>
          <w:color w:val="1A1A1A"/>
          <w:sz w:val="22"/>
          <w:szCs w:val="22"/>
        </w:rPr>
        <w:t xml:space="preserve">Om de uitkomsten goed te kunnen lezen, helpt het te begrijpen waarom de scan op deze manier is ontworpen.</w:t>
      </w:r>
    </w:p>
    <w:p>
      <w:pPr>
        <w:pStyle w:val="Heading2"/>
        <w:spacing w:after="120" w:before="300"/>
      </w:pPr>
      <w:r>
        <w:rPr>
          <w:rFonts w:ascii="Calibri" w:cs="Calibri" w:eastAsia="Calibri" w:hAnsi="Calibri"/>
          <w:b/>
          <w:bCs/>
          <w:color w:val="2563A8"/>
          <w:sz w:val="28"/>
          <w:szCs w:val="28"/>
        </w:rPr>
        <w:t xml:space="preserve">Inventariseren werkt beter dan blokkeren</w:t>
      </w:r>
    </w:p>
    <w:p>
      <w:pPr>
        <w:spacing w:after="100" w:before="60" w:line="300"/>
        <w:jc w:val="left"/>
      </w:pPr>
      <w:r>
        <w:rPr>
          <w:rFonts w:ascii="Calibri" w:cs="Calibri" w:eastAsia="Calibri" w:hAnsi="Calibri"/>
          <w:b w:val="false"/>
          <w:bCs w:val="false"/>
          <w:i w:val="false"/>
          <w:iCs w:val="false"/>
          <w:color w:val="1A1A1A"/>
          <w:sz w:val="22"/>
          <w:szCs w:val="22"/>
        </w:rPr>
        <w:t xml:space="preserve">Shadow AI is in veel organisaties geen tijdelijk incident, maar een structurele verschuiving in kenniswerk. Medewerkers die behoefte hebben aan betere tools vinden in de praktijk andere wegen als die worden geblokkeerd — en het feitelijke gebruik wordt dan juist minder zichtbaar.</w:t>
      </w:r>
    </w:p>
    <w:p>
      <w:pPr>
        <w:spacing w:after="100" w:before="60" w:line="300"/>
        <w:jc w:val="left"/>
      </w:pPr>
      <w:r>
        <w:rPr>
          <w:rFonts w:ascii="Calibri" w:cs="Calibri" w:eastAsia="Calibri" w:hAnsi="Calibri"/>
          <w:b w:val="false"/>
          <w:bCs w:val="false"/>
          <w:i w:val="false"/>
          <w:iCs w:val="false"/>
          <w:color w:val="1A1A1A"/>
          <w:sz w:val="22"/>
          <w:szCs w:val="22"/>
        </w:rPr>
        <w:t xml:space="preserve">De scan kiest daarom voor openheid en gerichte opvolging. Eerst zicht op wat werkelijk gebeurt, daarna proportioneel sturen.</w:t>
      </w:r>
    </w:p>
    <w:p>
      <w:pPr>
        <w:pStyle w:val="Heading2"/>
        <w:spacing w:after="120" w:before="300"/>
      </w:pPr>
      <w:r>
        <w:rPr>
          <w:rFonts w:ascii="Calibri" w:cs="Calibri" w:eastAsia="Calibri" w:hAnsi="Calibri"/>
          <w:b/>
          <w:bCs/>
          <w:color w:val="2563A8"/>
          <w:sz w:val="28"/>
          <w:szCs w:val="28"/>
        </w:rPr>
        <w:t xml:space="preserve">Neutrale toon verhoogt de kwaliteit van de informatie</w:t>
      </w:r>
    </w:p>
    <w:p>
      <w:pPr>
        <w:spacing w:after="100" w:before="60" w:line="300"/>
        <w:jc w:val="left"/>
      </w:pPr>
      <w:r>
        <w:rPr>
          <w:rFonts w:ascii="Calibri" w:cs="Calibri" w:eastAsia="Calibri" w:hAnsi="Calibri"/>
          <w:b w:val="false"/>
          <w:bCs w:val="false"/>
          <w:i w:val="false"/>
          <w:iCs w:val="false"/>
          <w:color w:val="1A1A1A"/>
          <w:sz w:val="22"/>
          <w:szCs w:val="22"/>
        </w:rPr>
        <w:t xml:space="preserve">De vragen zijn bewust neutraal en beschrijvend. Dat is geen stijlkeuze maar een inhoudelijke keuze: hoe veiliger de ervaring, hoe groter de kans dat medewerkers hun werkelijke gebruik delen. Betere disclosure leidt tot betrouwbaardere inventarisatie.</w:t>
      </w:r>
    </w:p>
    <w:p>
      <w:pPr>
        <w:pStyle w:val="Heading2"/>
        <w:spacing w:after="120" w:before="300"/>
      </w:pPr>
      <w:r>
        <w:rPr>
          <w:rFonts w:ascii="Calibri" w:cs="Calibri" w:eastAsia="Calibri" w:hAnsi="Calibri"/>
          <w:b/>
          <w:bCs/>
          <w:color w:val="2563A8"/>
          <w:sz w:val="28"/>
          <w:szCs w:val="28"/>
        </w:rPr>
        <w:t xml:space="preserve">Shadow AI verschilt van klassieke Shadow IT</w:t>
      </w:r>
    </w:p>
    <w:p>
      <w:pPr>
        <w:spacing w:after="100" w:before="60" w:line="300"/>
        <w:jc w:val="left"/>
      </w:pPr>
      <w:r>
        <w:rPr>
          <w:rFonts w:ascii="Calibri" w:cs="Calibri" w:eastAsia="Calibri" w:hAnsi="Calibri"/>
          <w:b w:val="false"/>
          <w:bCs w:val="false"/>
          <w:i w:val="false"/>
          <w:iCs w:val="false"/>
          <w:color w:val="1A1A1A"/>
          <w:sz w:val="22"/>
          <w:szCs w:val="22"/>
        </w:rPr>
        <w:t xml:space="preserve">Traditionele Shadow IT draait om ongeautoriseerde opslag of software. Shadow AI voegt daar actieve dataconsumptie aan toe: informatie wordt ingevoerd, verwerkt en mogelijk buiten de beheersbare context van de organisatie gebruikt. Juist daarom zijn accounttype, datatype en context in deze scan zo belangrijk.</w:t>
      </w:r>
    </w:p>
    <w:p>
      <w:pPr>
        <w:pStyle w:val="Heading2"/>
        <w:spacing w:after="120" w:before="300"/>
      </w:pPr>
      <w:r>
        <w:rPr>
          <w:rFonts w:ascii="Calibri" w:cs="Calibri" w:eastAsia="Calibri" w:hAnsi="Calibri"/>
          <w:b/>
          <w:bCs/>
          <w:color w:val="2563A8"/>
          <w:sz w:val="28"/>
          <w:szCs w:val="28"/>
        </w:rPr>
        <w:t xml:space="preserve">Voorlopers zijn ook een signaal</w:t>
      </w:r>
    </w:p>
    <w:p>
      <w:pPr>
        <w:spacing w:after="100" w:before="60" w:line="300"/>
        <w:jc w:val="left"/>
      </w:pPr>
      <w:r>
        <w:rPr>
          <w:rFonts w:ascii="Calibri" w:cs="Calibri" w:eastAsia="Calibri" w:hAnsi="Calibri"/>
          <w:b w:val="false"/>
          <w:bCs w:val="false"/>
          <w:i w:val="false"/>
          <w:iCs w:val="false"/>
          <w:color w:val="1A1A1A"/>
          <w:sz w:val="22"/>
          <w:szCs w:val="22"/>
        </w:rPr>
        <w:t xml:space="preserve">Gebruikers van Shadow AI zijn vaak voorlopers: hun gedrag laat zien waar de organisatiebehoefte groter is dan het beschikbare veilige aanbod. Opvolging hoeft dan ook niet alleen uit begrenzen te bestaan. Soms ligt de beste maatregel juist in faciliteren, trainen of een veiliger alternatief organiseren.</w:t>
      </w:r>
    </w:p>
    <w:p>
      <w:pPr>
        <w:pStyle w:val="Heading2"/>
        <w:spacing w:after="120" w:before="300"/>
      </w:pPr>
      <w:r>
        <w:rPr>
          <w:rFonts w:ascii="Calibri" w:cs="Calibri" w:eastAsia="Calibri" w:hAnsi="Calibri"/>
          <w:b/>
          <w:bCs/>
          <w:color w:val="2563A8"/>
          <w:sz w:val="28"/>
          <w:szCs w:val="28"/>
        </w:rPr>
        <w:t xml:space="preserve">De rol van de DPO in dit geheel</w:t>
      </w:r>
    </w:p>
    <w:p>
      <w:pPr>
        <w:spacing w:after="100" w:before="60" w:line="300"/>
        <w:jc w:val="left"/>
      </w:pPr>
      <w:r>
        <w:rPr>
          <w:rFonts w:ascii="Calibri" w:cs="Calibri" w:eastAsia="Calibri" w:hAnsi="Calibri"/>
          <w:b w:val="false"/>
          <w:bCs w:val="false"/>
          <w:i w:val="false"/>
          <w:iCs w:val="false"/>
          <w:color w:val="1A1A1A"/>
          <w:sz w:val="22"/>
          <w:szCs w:val="22"/>
        </w:rPr>
        <w:t xml:space="preserve">De DPO gebruikt de scan idealiter niet als sanctie-instrument, maar als governance-instrument. De kernvragen zijn: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Waar zit feitelijk gebruik dat nog onvoldoende zichtbaar of gereguleerd is?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Waar is extra review nodig?</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Waar zijn training, beleidsverduidelijking of veilige alternatieven nodig?</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Waar kunnen voorlopers of afdelingen juist helpen om verantwoord gebruik op te schalen?</w:t>
      </w:r>
    </w:p>
    <w:p>
      <w:pPr>
        <w:spacing w:after="8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Wat de scan is — en wat niet</w:t>
      </w:r>
    </w:p>
    <w:p>
      <w:pPr>
        <w:spacing w:after="100" w:before="60" w:line="300"/>
        <w:jc w:val="left"/>
      </w:pPr>
      <w:r>
        <w:rPr>
          <w:rFonts w:ascii="Calibri" w:cs="Calibri" w:eastAsia="Calibri" w:hAnsi="Calibri"/>
          <w:b w:val="false"/>
          <w:bCs w:val="false"/>
          <w:i w:val="false"/>
          <w:iCs w:val="false"/>
          <w:color w:val="1A1A1A"/>
          <w:sz w:val="22"/>
          <w:szCs w:val="22"/>
        </w:rPr>
        <w:t xml:space="preserve">De Shadow AI Scan brengt in kaart welke AI-tools medewerkers in de praktijk gebruiken, waarvoor ze die inzetten, met welke data ze werken en waar governance-risico's ontstaan. Dat doet de scan via een korte, stapsgewijze vragenlijst die medewerkers zelf invullen.</w:t>
      </w:r>
    </w:p>
    <w:p>
      <w:pPr>
        <w:spacing w:after="100" w:before="60" w:line="300"/>
        <w:jc w:val="left"/>
      </w:pPr>
      <w:r>
        <w:rPr>
          <w:rFonts w:ascii="Calibri" w:cs="Calibri" w:eastAsia="Calibri" w:hAnsi="Calibri"/>
          <w:b w:val="false"/>
          <w:bCs w:val="false"/>
          <w:i w:val="false"/>
          <w:iCs w:val="false"/>
          <w:color w:val="1A1A1A"/>
          <w:sz w:val="22"/>
          <w:szCs w:val="22"/>
        </w:rPr>
        <w:t xml:space="preserve">De scan combineert twee functies in één flow: inventariseren én bewustwording vergroten. Medewerkers bouwen al invullend inzicht op over veilig gebruik.</w:t>
      </w:r>
    </w:p>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De scan is wél</w:t>
            </w:r>
          </w:p>
        </w:tc>
        <w:tc>
          <w:tcPr>
            <w:tcW w:type="dxa" w:w="54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De scan is níét</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disclosure- en inventarisatie-instrument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juridisch eindoordeel</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governance-signaal voor de DPO</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automatisch sanctie-instrument</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awareness-tool voor medewerkers</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technische blokkade of netwerkmonitor</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Input voor beleid, training en toolkeuzes</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garantie dat tools daarna worden toegestaan</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nul- of voortgangsmeting</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Een volledige AI-training of compliance-assessment</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Hoe de flow werkt</w:t>
      </w:r>
    </w:p>
    <w:p>
      <w:pPr>
        <w:spacing w:after="100" w:before="60" w:line="300"/>
        <w:jc w:val="left"/>
      </w:pPr>
      <w:r>
        <w:rPr>
          <w:rFonts w:ascii="Calibri" w:cs="Calibri" w:eastAsia="Calibri" w:hAnsi="Calibri"/>
          <w:b w:val="false"/>
          <w:bCs w:val="false"/>
          <w:i w:val="false"/>
          <w:iCs w:val="false"/>
          <w:color w:val="1A1A1A"/>
          <w:sz w:val="22"/>
          <w:szCs w:val="22"/>
        </w:rPr>
        <w:t xml:space="preserve">De totale flow voor de DPO bestaat uit zeven stappen. Elke stap wordt verderop in deze handleiding toegelicht.</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626"/>
      </w:tblGrid>
      <w:tr>
        <w:tc>
          <w:tcPr>
            <w:tcW w:type="dxa" w:w="8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Stap</w:t>
            </w:r>
          </w:p>
        </w:tc>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Wat u doet</w:t>
            </w:r>
          </w:p>
        </w:tc>
        <w:tc>
          <w:tcPr>
            <w:tcW w:type="dxa" w:w="46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Doel</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Organisatiecontext instellen</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Interpretatiekader voor rapportage</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Disclosure-venster en beleidsstatus instellen</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Betrouwbare data en governancebasis</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3</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Medewerkers uitnodigen</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Gecontroleerde start van de scan</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4</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Scan loopt</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Medewerkers vullen de vragenlijst in</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5</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Dashboard bekijken</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Hotspots, reviewlijst en risicoprofiel</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6</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Opvolging bepalen per patroon of casus</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Gerichte governance-actie</w:t>
            </w:r>
          </w:p>
        </w:tc>
      </w:tr>
      <w:tr>
        <w:tc>
          <w:tcPr>
            <w:tcW w:type="dxa" w:w="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7</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Uitkomsten gebruiken voor beleid en toolkeuzes</w:t>
            </w:r>
          </w:p>
        </w:tc>
        <w:tc>
          <w:tcPr>
            <w:tcW w:type="dxa" w:w="46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Structurele verbetering</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Vóór de start — wat u instelt</w:t>
      </w:r>
    </w:p>
    <w:p>
      <w:pPr>
        <w:spacing w:after="100" w:before="60" w:line="300"/>
        <w:jc w:val="left"/>
      </w:pPr>
      <w:r>
        <w:rPr>
          <w:rFonts w:ascii="Calibri" w:cs="Calibri" w:eastAsia="Calibri" w:hAnsi="Calibri"/>
          <w:b w:val="false"/>
          <w:bCs w:val="false"/>
          <w:i w:val="false"/>
          <w:iCs w:val="false"/>
          <w:color w:val="1A1A1A"/>
          <w:sz w:val="22"/>
          <w:szCs w:val="22"/>
        </w:rPr>
        <w:t xml:space="preserve">De kwaliteit van de uitkomsten hangt voor een groot deel af van wat u vóór de scan instelt. Dit zijn geen technische details, maar bestuurlijke keuzes.</w:t>
      </w:r>
    </w:p>
    <w:p>
      <w:pPr>
        <w:pStyle w:val="Heading2"/>
        <w:spacing w:after="120" w:before="300"/>
      </w:pPr>
      <w:r>
        <w:rPr>
          <w:rFonts w:ascii="Calibri" w:cs="Calibri" w:eastAsia="Calibri" w:hAnsi="Calibri"/>
          <w:b/>
          <w:bCs/>
          <w:color w:val="2563A8"/>
          <w:sz w:val="28"/>
          <w:szCs w:val="28"/>
        </w:rPr>
        <w:t xml:space="preserve">Organisatiecontext</w:t>
      </w:r>
    </w:p>
    <w:p>
      <w:pPr>
        <w:spacing w:after="100" w:before="60" w:line="300"/>
        <w:jc w:val="left"/>
      </w:pPr>
      <w:r>
        <w:rPr>
          <w:rFonts w:ascii="Calibri" w:cs="Calibri" w:eastAsia="Calibri" w:hAnsi="Calibri"/>
          <w:b w:val="false"/>
          <w:bCs w:val="false"/>
          <w:i w:val="false"/>
          <w:iCs w:val="false"/>
          <w:color w:val="1A1A1A"/>
          <w:sz w:val="22"/>
          <w:szCs w:val="22"/>
        </w:rPr>
        <w:t xml:space="preserve">U legt de basiscontext van de scan vast: sector, omvang van de organisatie, doel van de scan en de doelgroep of scope. Dit helpt om de uitkomsten later beter te interpreteren en te rapporteren.</w:t>
      </w:r>
    </w:p>
    <w:p>
      <w:pPr>
        <w:pStyle w:val="Heading2"/>
        <w:spacing w:after="120" w:before="300"/>
      </w:pPr>
      <w:r>
        <w:rPr>
          <w:rFonts w:ascii="Calibri" w:cs="Calibri" w:eastAsia="Calibri" w:hAnsi="Calibri"/>
          <w:b/>
          <w:bCs/>
          <w:color w:val="2563A8"/>
          <w:sz w:val="28"/>
          <w:szCs w:val="28"/>
        </w:rPr>
        <w:t xml:space="preserve">Disclosure-venster</w:t>
      </w:r>
    </w:p>
    <w:p>
      <w:pPr>
        <w:spacing w:after="100" w:before="60" w:line="300"/>
        <w:jc w:val="left"/>
      </w:pPr>
      <w:r>
        <w:rPr>
          <w:rFonts w:ascii="Calibri" w:cs="Calibri" w:eastAsia="Calibri" w:hAnsi="Calibri"/>
          <w:b w:val="false"/>
          <w:bCs w:val="false"/>
          <w:i w:val="false"/>
          <w:iCs w:val="false"/>
          <w:color w:val="1A1A1A"/>
          <w:sz w:val="22"/>
          <w:szCs w:val="22"/>
        </w:rPr>
        <w:t xml:space="preserve">Het disclosure-venster is een tijdelijke en expliciete uitnodiging aan medewerkers om eerlijk gebruik te melden, zonder dat dit direct als schuldbekentenis wordt behandeld. Dit is meer dan een communicatiekeuze — het is een governance-instrument.</w:t>
      </w:r>
    </w:p>
    <w:p>
      <w:pPr>
        <w:spacing w:after="100" w:before="60" w:line="300"/>
        <w:jc w:val="left"/>
      </w:pPr>
      <w:r>
        <w:rPr>
          <w:rFonts w:ascii="Calibri" w:cs="Calibri" w:eastAsia="Calibri" w:hAnsi="Calibri"/>
          <w:b w:val="false"/>
          <w:bCs w:val="false"/>
          <w:i w:val="false"/>
          <w:iCs w:val="false"/>
          <w:color w:val="1A1A1A"/>
          <w:sz w:val="22"/>
          <w:szCs w:val="22"/>
        </w:rPr>
        <w:t xml:space="preserve">Het vergroot de kans op eerlijke antwoorden aanzienlijk. U bepaalt: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Wie verantwoordelijk is voor het venster</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 lang het openstaat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Welke toelichting medewerkers krijgen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Wat wel en niet onder deze openheid valt</w:t>
      </w:r>
    </w:p>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47B00" w:sz="6"/>
              <w:left w:val="none" w:color="FFFFFF" w:sz="0"/>
              <w:bottom w:val="none" w:color="FFFFFF" w:sz="0"/>
              <w:right w:val="none" w:color="FFFFFF" w:sz="0"/>
            </w:tcBorders>
            <w:shd w:fill="FEF3CD" w:val="clear"/>
            <w:tcMar>
              <w:top w:type="dxa" w:w="160"/>
              <w:left w:type="dxa" w:w="200"/>
              <w:bottom w:type="dxa" w:w="160"/>
              <w:right w:type="dxa" w:w="200"/>
            </w:tcMar>
          </w:tcPr>
          <w:p>
            <w:pPr>
              <w:spacing w:after="60" w:before="0"/>
            </w:pPr>
            <w:r>
              <w:rPr>
                <w:rFonts w:ascii="Calibri" w:cs="Calibri" w:eastAsia="Calibri" w:hAnsi="Calibri"/>
                <w:b/>
                <w:bCs/>
                <w:i w:val="false"/>
                <w:iCs w:val="false"/>
                <w:color w:val="C47B00"/>
                <w:sz w:val="20"/>
                <w:szCs w:val="20"/>
              </w:rPr>
              <w:t xml:space="preserve">Let op: deelname vs. inhoud</w:t>
            </w:r>
          </w:p>
          <w:p>
            <w:pPr>
              <w:spacing w:after="0" w:before="0"/>
            </w:pPr>
            <w:r>
              <w:rPr>
                <w:rFonts w:ascii="Calibri" w:cs="Calibri" w:eastAsia="Calibri" w:hAnsi="Calibri"/>
                <w:b w:val="false"/>
                <w:bCs w:val="false"/>
                <w:i w:val="false"/>
                <w:iCs w:val="false"/>
                <w:color w:val="1A1A1A"/>
                <w:sz w:val="21"/>
                <w:szCs w:val="21"/>
              </w:rPr>
              <w:t xml:space="preserve">De organisatie mag kunnen volgen wie nog niet heeft gereageerd, zodat reminders mogelijk zijn. De survey-inhoud zelf blijft anoniem en wordt logisch gescheiden van de invite-laag. Leg dit vooraf transparant uit aan medewerkers.</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Beleidsstatus per tool</w:t>
      </w:r>
    </w:p>
    <w:p>
      <w:pPr>
        <w:spacing w:after="100" w:before="60" w:line="300"/>
        <w:jc w:val="left"/>
      </w:pPr>
      <w:r>
        <w:rPr>
          <w:rFonts w:ascii="Calibri" w:cs="Calibri" w:eastAsia="Calibri" w:hAnsi="Calibri"/>
          <w:b w:val="false"/>
          <w:bCs w:val="false"/>
          <w:i w:val="false"/>
          <w:iCs w:val="false"/>
          <w:color w:val="1A1A1A"/>
          <w:sz w:val="22"/>
          <w:szCs w:val="22"/>
        </w:rPr>
        <w:t xml:space="preserve">Per tool legt u vast wat de organisatiestatus is. Dit is de governancebasis waarop de score-engine draait. Er zijn vier statussen:</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500"/>
        <w:gridCol w:w="2226"/>
      </w:tblGrid>
      <w:tr>
        <w:tc>
          <w:tcPr>
            <w:tcW w:type="dxa" w:w="21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Status</w:t>
            </w:r>
          </w:p>
        </w:tc>
        <w:tc>
          <w:tcPr>
            <w:tcW w:type="dxa" w:w="3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Betekenis</w:t>
            </w:r>
          </w:p>
        </w:tc>
        <w:tc>
          <w:tcPr>
            <w:tcW w:type="dxa" w:w="15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Shadow-basis</w:t>
            </w:r>
          </w:p>
        </w:tc>
        <w:tc>
          <w:tcPr>
            <w:tcW w:type="dxa" w:w="22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Gevolg in score</w:t>
            </w:r>
          </w:p>
        </w:tc>
      </w:tr>
      <w:tr>
        <w:tc>
          <w:tcPr>
            <w:tcW w:type="dxa" w:w="2100"/>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Toegestaan</w:t>
            </w:r>
          </w:p>
        </w:tc>
        <w:tc>
          <w:tcPr>
            <w:tcW w:type="dxa" w:w="3200"/>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 is goedgekeurd voor gebruik</w:t>
            </w:r>
          </w:p>
        </w:tc>
        <w:tc>
          <w:tcPr>
            <w:tcW w:type="dxa" w:w="1500"/>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0 punten</w:t>
            </w:r>
          </w:p>
        </w:tc>
        <w:tc>
          <w:tcPr>
            <w:tcW w:type="dxa" w:w="2226"/>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Geen governance-afwijking</w:t>
            </w:r>
          </w:p>
        </w:tc>
      </w:tr>
      <w:tr>
        <w:tc>
          <w:tcPr>
            <w:tcW w:type="dxa" w:w="21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Nieuw ontdekt</w:t>
            </w:r>
          </w:p>
        </w:tc>
        <w:tc>
          <w:tcPr>
            <w:tcW w:type="dxa" w:w="32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 is net gemeld of ontdekt. De DPO bepaalt de status. Zolang een tool op NIEUW blijft staan, telt hij mee in de KPI en verschijnt de oudste als reminder.</w:t>
            </w:r>
          </w:p>
        </w:tc>
        <w:tc>
          <w:tcPr>
            <w:tcW w:type="dxa" w:w="15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20 punten</w:t>
            </w:r>
          </w:p>
        </w:tc>
        <w:tc>
          <w:tcPr>
            <w:tcW w:type="dxa" w:w="2226"/>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Reviewsignaal actief</w:t>
            </w:r>
          </w:p>
        </w:tc>
      </w:tr>
      <w:tr>
        <w:tc>
          <w:tcPr>
            <w:tcW w:type="dxa" w:w="21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Beperkt toegestaan</w:t>
            </w:r>
          </w:p>
        </w:tc>
        <w:tc>
          <w:tcPr>
            <w:tcW w:type="dxa" w:w="32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Gebruik mag alleen onder bepaalde voorwaarden</w:t>
            </w:r>
          </w:p>
        </w:tc>
        <w:tc>
          <w:tcPr>
            <w:tcW w:type="dxa" w:w="15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40 punten</w:t>
            </w:r>
          </w:p>
        </w:tc>
        <w:tc>
          <w:tcPr>
            <w:tcW w:type="dxa" w:w="2226"/>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Verhoogd governance-signaal</w:t>
            </w:r>
          </w:p>
        </w:tc>
      </w:tr>
      <w:tr>
        <w:tc>
          <w:tcPr>
            <w:tcW w:type="dxa" w:w="2100"/>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Niet toegestaan</w:t>
            </w:r>
          </w:p>
        </w:tc>
        <w:tc>
          <w:tcPr>
            <w:tcW w:type="dxa" w:w="3200"/>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 is expliciet verboden</w:t>
            </w:r>
          </w:p>
        </w:tc>
        <w:tc>
          <w:tcPr>
            <w:tcW w:type="dxa" w:w="1500"/>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80 punten</w:t>
            </w:r>
          </w:p>
        </w:tc>
        <w:tc>
          <w:tcPr>
            <w:tcW w:type="dxa" w:w="2226"/>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Direct escalatiesignaal</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563A8" w:sz="6"/>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Calibri" w:cs="Calibri" w:eastAsia="Calibri" w:hAnsi="Calibri"/>
                <w:b/>
                <w:bCs/>
                <w:i w:val="false"/>
                <w:iCs w:val="false"/>
                <w:color w:val="2563A8"/>
                <w:sz w:val="20"/>
                <w:szCs w:val="20"/>
              </w:rPr>
              <w:t xml:space="preserve">Nieuwe tools in de KPI</w:t>
            </w:r>
          </w:p>
          <w:p>
            <w:pPr>
              <w:spacing w:after="0" w:before="0"/>
            </w:pPr>
            <w:r>
              <w:rPr>
                <w:rFonts w:ascii="Calibri" w:cs="Calibri" w:eastAsia="Calibri" w:hAnsi="Calibri"/>
                <w:b w:val="false"/>
                <w:bCs w:val="false"/>
                <w:i w:val="false"/>
                <w:iCs w:val="false"/>
                <w:color w:val="1A1A1A"/>
                <w:sz w:val="21"/>
                <w:szCs w:val="21"/>
              </w:rPr>
              <w:t xml:space="preserve">Tools met de status NIEUW blijven zichtbaar als openstaande actie in de KPI-box bovenin het dashboard. De oudste onbehandelde tool wordt als reminder getoond. Zodra u een status toekent — toegestaan, beperkt of niet toegestaan — verdwijnt de tool uit de NIEUW-teller.</w:t>
            </w:r>
          </w:p>
        </w:tc>
      </w:tr>
    </w:tbl>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Naast de beleidsstatus kunt u per tool een indicatief EU AI Act-signaal vastleggen als interne governance-duiding. Dit is een triage- en reviewsignaal voor de DPO, geen formeel juridisch label voor medewerkers. De echte EU AI Act-kwalificatie per tool is werk voor het vervolgtraject (RouteAI), waar leveranciersinformatie en technische specificaties beschikbaar zijn.</w:t>
      </w:r>
    </w:p>
    <w:p>
      <w:pPr>
        <w:pStyle w:val="Heading2"/>
        <w:spacing w:after="120" w:before="300"/>
      </w:pPr>
      <w:r>
        <w:rPr>
          <w:rFonts w:ascii="Calibri" w:cs="Calibri" w:eastAsia="Calibri" w:hAnsi="Calibri"/>
          <w:b/>
          <w:bCs/>
          <w:color w:val="2563A8"/>
          <w:sz w:val="28"/>
          <w:szCs w:val="28"/>
        </w:rPr>
        <w:t xml:space="preserve">Score- en privacyconfiguratie</w:t>
      </w:r>
    </w:p>
    <w:p>
      <w:pPr>
        <w:spacing w:after="100" w:before="60" w:line="300"/>
        <w:jc w:val="left"/>
      </w:pPr>
      <w:r>
        <w:rPr>
          <w:rFonts w:ascii="Calibri" w:cs="Calibri" w:eastAsia="Calibri" w:hAnsi="Calibri"/>
          <w:b w:val="false"/>
          <w:bCs w:val="false"/>
          <w:i w:val="false"/>
          <w:iCs w:val="false"/>
          <w:color w:val="1A1A1A"/>
          <w:sz w:val="22"/>
          <w:szCs w:val="22"/>
        </w:rPr>
        <w:t xml:space="preserve">Drie drempelwaarden bepalen wanneer signalen zichtbaar worden in het dashboard en de reviewlijst. U kunt deze instellen binnen verantwoorde bandbreedtes:</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500"/>
        <w:gridCol w:w="3826"/>
      </w:tblGrid>
      <w:tr>
        <w:tc>
          <w:tcPr>
            <w:tcW w:type="dxa" w:w="25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Instelling</w:t>
            </w:r>
          </w:p>
        </w:tc>
        <w:tc>
          <w:tcPr>
            <w:tcW w:type="dxa" w:w="1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Standaard</w:t>
            </w:r>
          </w:p>
        </w:tc>
        <w:tc>
          <w:tcPr>
            <w:tcW w:type="dxa" w:w="15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Bandbreedte</w:t>
            </w:r>
          </w:p>
        </w:tc>
        <w:tc>
          <w:tcPr>
            <w:tcW w:type="dxa" w:w="38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Effect van aanpassing</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Reviewdrempel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40</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30–60</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Lager = meer reviewitems; hoger = minder, maar kans dat signalen buiten beeld blijven</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Toxic shadow-drempel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50</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40–70</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Lager = sneller een toxic-combinatie; hoger = minder, samengestelde patronen kunnen zachter lijken</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Toxic exposure-drempel</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50</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40–70</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Zelfde effect als hierboven, maar op de blootstellingsas</w:t>
            </w:r>
          </w:p>
        </w:tc>
      </w:tr>
      <w:tr>
        <w:tc>
          <w:tcPr>
            <w:tcW w:type="dxa" w:w="2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Minimale celgrootte</w:t>
            </w:r>
          </w:p>
        </w:tc>
        <w:tc>
          <w:tcPr>
            <w:tcW w:type="dxa" w:w="1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5</w:t>
            </w:r>
          </w:p>
        </w:tc>
        <w:tc>
          <w:tcPr>
            <w:tcW w:type="dxa" w:w="15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5–10</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Lager = meer detail maar herleidbaarheidrisico; hoger = meer samenvoeging, minder inzicht bij kleine afdelingen</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47B00" w:sz="6"/>
              <w:left w:val="none" w:color="FFFFFF" w:sz="0"/>
              <w:bottom w:val="none" w:color="FFFFFF" w:sz="0"/>
              <w:right w:val="none" w:color="FFFFFF" w:sz="0"/>
            </w:tcBorders>
            <w:shd w:fill="FEF3CD" w:val="clear"/>
            <w:tcMar>
              <w:top w:type="dxa" w:w="160"/>
              <w:left w:type="dxa" w:w="200"/>
              <w:bottom w:type="dxa" w:w="160"/>
              <w:right w:type="dxa" w:w="200"/>
            </w:tcMar>
          </w:tcPr>
          <w:p>
            <w:pPr>
              <w:spacing w:after="60" w:before="0"/>
            </w:pPr>
            <w:r>
              <w:rPr>
                <w:rFonts w:ascii="Calibri" w:cs="Calibri" w:eastAsia="Calibri" w:hAnsi="Calibri"/>
                <w:b/>
                <w:bCs/>
                <w:i w:val="false"/>
                <w:iCs w:val="false"/>
                <w:color w:val="C47B00"/>
                <w:sz w:val="20"/>
                <w:szCs w:val="20"/>
              </w:rPr>
              <w:t xml:space="preserve">Waarschuwing bij aanpassing</w:t>
            </w:r>
          </w:p>
          <w:p>
            <w:pPr>
              <w:spacing w:after="0" w:before="0"/>
            </w:pPr>
            <w:r>
              <w:rPr>
                <w:rFonts w:ascii="Calibri" w:cs="Calibri" w:eastAsia="Calibri" w:hAnsi="Calibri"/>
                <w:b w:val="false"/>
                <w:bCs w:val="false"/>
                <w:i w:val="false"/>
                <w:iCs w:val="false"/>
                <w:color w:val="1A1A1A"/>
                <w:sz w:val="21"/>
                <w:szCs w:val="21"/>
              </w:rPr>
              <w:t xml:space="preserve">Een hoge reviewdrempel betekent niet dat er 'geen probleem' is — alleen dat minder signalen automatisch in de werkbak komen. De onderliggende inventarisatie blijft bestaan. Wijzigingen in deze configuratie gelden voor nieuwe berekeningen en mogen historische resultaten niet stilzwijgend veranderen.</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Medewerkers uitnodigen</w:t>
      </w:r>
    </w:p>
    <w:p>
      <w:pPr>
        <w:spacing w:after="100" w:before="60" w:line="300"/>
        <w:jc w:val="left"/>
      </w:pPr>
      <w:r>
        <w:rPr>
          <w:rFonts w:ascii="Calibri" w:cs="Calibri" w:eastAsia="Calibri" w:hAnsi="Calibri"/>
          <w:b w:val="false"/>
          <w:bCs w:val="false"/>
          <w:i w:val="false"/>
          <w:iCs w:val="false"/>
          <w:color w:val="1A1A1A"/>
          <w:sz w:val="22"/>
          <w:szCs w:val="22"/>
        </w:rPr>
        <w:t xml:space="preserve">De scan werkt het best via een persoonlijke uitnodigingslink per medewerker. Zo kunt u reminders sturen aan wie nog niet heeft gereageerd, zonder dat u de inhoud van de survey koppelt aan een individu.</w:t>
      </w:r>
    </w:p>
    <w:p>
      <w:pPr>
        <w:spacing w:after="100" w:before="60" w:line="300"/>
        <w:jc w:val="left"/>
      </w:pPr>
      <w:r>
        <w:rPr>
          <w:rFonts w:ascii="Calibri" w:cs="Calibri" w:eastAsia="Calibri" w:hAnsi="Calibri"/>
          <w:b w:val="false"/>
          <w:bCs w:val="false"/>
          <w:i w:val="false"/>
          <w:iCs w:val="false"/>
          <w:color w:val="1A1A1A"/>
          <w:sz w:val="22"/>
          <w:szCs w:val="22"/>
        </w:rPr>
        <w:t xml:space="preserve">De volgorde die het best werkt:</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Eerst het disclosure-venster en de organisatiecontext instellen</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Dan medewerkers toevoegen</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Dan pas de uitnodigingsmail aanpassen en verzenden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In de uitnodigingsmail zijn twee onderdelen vast en twee onderdelen aanpasbaar:</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Aanpasbaar door de DPO</w:t>
            </w:r>
          </w:p>
        </w:tc>
        <w:tc>
          <w:tcPr>
            <w:tcW w:type="dxa" w:w="54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Blijft als systeemtekst</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Toon en interne context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Uitleg over anonimiteit van de survey-inhoud</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Naam van afzender of projectgroep</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Uitleg dat deelname gevolgd kan worden voor reminders</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Korte uitleg waarom de scan nu loopt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Basisdoel en proportionele inzet van de scan</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Oproep of call to action</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0F7173" w:sz="6"/>
              <w:left w:val="none" w:color="FFFFFF" w:sz="0"/>
              <w:bottom w:val="none" w:color="FFFFFF" w:sz="0"/>
              <w:right w:val="none" w:color="FFFFFF" w:sz="0"/>
            </w:tcBorders>
            <w:shd w:fill="D4EDEC" w:val="clear"/>
            <w:tcMar>
              <w:top w:type="dxa" w:w="160"/>
              <w:left w:type="dxa" w:w="200"/>
              <w:bottom w:type="dxa" w:w="160"/>
              <w:right w:type="dxa" w:w="200"/>
            </w:tcMar>
          </w:tcPr>
          <w:p>
            <w:pPr>
              <w:spacing w:after="60" w:before="0"/>
            </w:pPr>
            <w:r>
              <w:rPr>
                <w:rFonts w:ascii="Calibri" w:cs="Calibri" w:eastAsia="Calibri" w:hAnsi="Calibri"/>
                <w:b/>
                <w:bCs/>
                <w:i w:val="false"/>
                <w:iCs w:val="false"/>
                <w:color w:val="0F7173"/>
                <w:sz w:val="20"/>
                <w:szCs w:val="20"/>
              </w:rPr>
              <w:t xml:space="preserve">Toon en psychologische veiligheid</w:t>
            </w:r>
          </w:p>
          <w:p>
            <w:pPr>
              <w:spacing w:after="0" w:before="0"/>
            </w:pPr>
            <w:r>
              <w:rPr>
                <w:rFonts w:ascii="Calibri" w:cs="Calibri" w:eastAsia="Calibri" w:hAnsi="Calibri"/>
                <w:b w:val="false"/>
                <w:bCs w:val="false"/>
                <w:i w:val="false"/>
                <w:iCs w:val="false"/>
                <w:color w:val="1A1A1A"/>
                <w:sz w:val="21"/>
                <w:szCs w:val="21"/>
              </w:rPr>
              <w:t xml:space="preserve">Benadruk dat het gaat om inventariseren, niet om bekennen. Leg uit waarom de organisatie dit doet en wat er met de uitkomsten gebeurt. Een te controlerende toon verlaagt de kwaliteit van de disclosure; een te vrijblijvende toon verlaagt de bruikbaarheid van de uitkomsten.</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Wat medewerkers invullen</w:t>
      </w:r>
    </w:p>
    <w:p>
      <w:pPr>
        <w:spacing w:after="100" w:before="60" w:line="300"/>
        <w:jc w:val="left"/>
      </w:pPr>
      <w:r>
        <w:rPr>
          <w:rFonts w:ascii="Calibri" w:cs="Calibri" w:eastAsia="Calibri" w:hAnsi="Calibri"/>
          <w:b w:val="false"/>
          <w:bCs w:val="false"/>
          <w:i w:val="false"/>
          <w:iCs w:val="false"/>
          <w:color w:val="1A1A1A"/>
          <w:sz w:val="22"/>
          <w:szCs w:val="22"/>
        </w:rPr>
        <w:t xml:space="preserve">De vragenlijst is stapsgewijs opgebouwd en duurt voor de meeste medewerkers vijf tot tien minuten. De vragen gaan over:</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Afdeling of werkcontext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 vaak zij AI gebruiken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Welke tools zij gebruiken (via een toolpicker met zoekmogelijkheid)</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Voor welke toepassingen die tools worden ingezet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In welke context dat gebeurt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 soort data zij invoeren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 accounttype zij gebruiken (zakelijk of privé)</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 vaardig zij zichzelf inschatten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 zij AI-output verwerken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Welke zorgen of ondersteuningsbehoeften zij hebben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Medewerkers kunnen ook tools melden die nog niet in de lijst staan. Die komen als nieuw ontdekte tool in het dashboard, met status NIEUW, zodat de DPO ze kan beoordelen.</w:t>
      </w:r>
    </w:p>
    <w:p>
      <w:pPr>
        <w:spacing w:after="100" w:before="60" w:line="300"/>
        <w:jc w:val="left"/>
      </w:pPr>
      <w:r>
        <w:rPr>
          <w:rFonts w:ascii="Calibri" w:cs="Calibri" w:eastAsia="Calibri" w:hAnsi="Calibri"/>
          <w:b w:val="false"/>
          <w:bCs w:val="false"/>
          <w:i w:val="false"/>
          <w:iCs w:val="false"/>
          <w:color w:val="1A1A1A"/>
          <w:sz w:val="22"/>
          <w:szCs w:val="22"/>
        </w:rPr>
        <w:t xml:space="preserve">Daarmee ontstaat niet alleen een lijst van tools, maar ook inzicht in gedrag, motieven en risico. Dat is wat de scan bruikbaar maakt voor gerichte opvolging.</w:t>
      </w:r>
    </w:p>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Hoe de scan risico bepaalt</w:t>
      </w:r>
    </w:p>
    <w:p>
      <w:pPr>
        <w:spacing w:after="100" w:before="60" w:line="300"/>
        <w:jc w:val="left"/>
      </w:pPr>
      <w:r>
        <w:rPr>
          <w:rFonts w:ascii="Calibri" w:cs="Calibri" w:eastAsia="Calibri" w:hAnsi="Calibri"/>
          <w:b w:val="false"/>
          <w:bCs w:val="false"/>
          <w:i w:val="false"/>
          <w:iCs w:val="false"/>
          <w:color w:val="1A1A1A"/>
          <w:sz w:val="22"/>
          <w:szCs w:val="22"/>
        </w:rPr>
        <w:t xml:space="preserve">De scan kent risico niet toe aan een tool op zichzelf. De kern is altijd een combinatie van factoren: welke tool, waarvoor gebruikt, in welke context, via welk account, met welke data.</w:t>
      </w:r>
    </w:p>
    <w:p>
      <w:pPr>
        <w:spacing w:after="100" w:before="60" w:line="300"/>
        <w:jc w:val="left"/>
      </w:pPr>
      <w:r>
        <w:rPr>
          <w:rFonts w:ascii="Calibri" w:cs="Calibri" w:eastAsia="Calibri" w:hAnsi="Calibri"/>
          <w:b w:val="false"/>
          <w:bCs w:val="false"/>
          <w:i w:val="false"/>
          <w:iCs w:val="false"/>
          <w:color w:val="1A1A1A"/>
          <w:sz w:val="22"/>
          <w:szCs w:val="22"/>
        </w:rPr>
        <w:t xml:space="preserve">Dat betekent dat dezelfde tool in de ene situatie laag risico kan zijn en in de andere situatie hoge prioriteit kan krijgen. Niet de toolnaam, maar de concrete inzet bepaalt wat aandacht vraagt.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De score-engine werkt met drie gescheiden lagen:</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c>
          <w:tcPr>
            <w:tcW w:type="dxa" w:w="2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Laag</w:t>
            </w:r>
          </w:p>
        </w:tc>
        <w:tc>
          <w:tcPr>
            <w:tcW w:type="dxa" w:w="38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Wat dit zegt</w:t>
            </w:r>
          </w:p>
        </w:tc>
        <w:tc>
          <w:tcPr>
            <w:tcW w:type="dxa" w:w="30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Waar u dit ziet</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Shadow-score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In hoeverre het gebruik afwijkt van het organisatiebeleid</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 Inventaris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Exposure-score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Hoe zwaar de datablootstelling en gebruikscontext wegen</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Risicoprofiel</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Priority-score</w:t>
            </w:r>
          </w:p>
        </w:tc>
        <w:tc>
          <w:tcPr>
            <w:tcW w:type="dxa" w:w="3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Welke combinatie als eerste DPO-aandacht vraagt</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Reviewlijst en rapportage</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563A8" w:sz="6"/>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Calibri" w:cs="Calibri" w:eastAsia="Calibri" w:hAnsi="Calibri"/>
                <w:b/>
                <w:bCs/>
                <w:i w:val="false"/>
                <w:iCs w:val="false"/>
                <w:color w:val="2563A8"/>
                <w:sz w:val="20"/>
                <w:szCs w:val="20"/>
              </w:rPr>
              <w:t xml:space="preserve">Goedgekeurd ≠ geen risico</w:t>
            </w:r>
          </w:p>
          <w:p>
            <w:pPr>
              <w:spacing w:after="0" w:before="0"/>
            </w:pPr>
            <w:r>
              <w:rPr>
                <w:rFonts w:ascii="Calibri" w:cs="Calibri" w:eastAsia="Calibri" w:hAnsi="Calibri"/>
                <w:b w:val="false"/>
                <w:bCs w:val="false"/>
                <w:i w:val="false"/>
                <w:iCs w:val="false"/>
                <w:color w:val="1A1A1A"/>
                <w:sz w:val="21"/>
                <w:szCs w:val="21"/>
              </w:rPr>
              <w:t xml:space="preserve">Een toegestane tool kan toch een hoge exposure-score hebben wanneer er gevoelige data of een zware context meespeelt. Andersom kan een niet-toegestane tool met laag-risicogebruik minder urgent zijn dan een combinatie met gevoelige persoonsgegevens. De twee assen meten verschillende dingen.</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Shadow-score: governance-afwijking</w:t>
      </w:r>
    </w:p>
    <w:p>
      <w:pPr>
        <w:spacing w:after="100" w:before="60" w:line="300"/>
        <w:jc w:val="left"/>
      </w:pPr>
      <w:r>
        <w:rPr>
          <w:rFonts w:ascii="Calibri" w:cs="Calibri" w:eastAsia="Calibri" w:hAnsi="Calibri"/>
          <w:b w:val="false"/>
          <w:bCs w:val="false"/>
          <w:i w:val="false"/>
          <w:iCs w:val="false"/>
          <w:color w:val="1A1A1A"/>
          <w:sz w:val="22"/>
          <w:szCs w:val="22"/>
        </w:rPr>
        <w:t xml:space="preserve">De shadow-score meet uitsluitend hoe het gebruik zich verhoudt tot de organisatiekaders. Hij zegt niets over de gevoeligheid van data of de aard van de toepassing.</w:t>
      </w:r>
    </w:p>
    <w:p>
      <w:pPr>
        <w:spacing w:after="100" w:before="60" w:line="300"/>
        <w:jc w:val="left"/>
      </w:pPr>
      <w:r>
        <w:rPr>
          <w:rFonts w:ascii="Calibri" w:cs="Calibri" w:eastAsia="Calibri" w:hAnsi="Calibri"/>
          <w:b w:val="false"/>
          <w:bCs w:val="false"/>
          <w:i w:val="false"/>
          <w:iCs w:val="false"/>
          <w:color w:val="1A1A1A"/>
          <w:sz w:val="22"/>
          <w:szCs w:val="22"/>
        </w:rPr>
        <w:t xml:space="preserve">De waarde is direct afgeleid van de beleidsstatus die u als DPO hebt ingesteld:</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Beleidsstatus</w:t>
            </w:r>
          </w:p>
        </w:tc>
        <w:tc>
          <w:tcPr>
            <w:tcW w:type="dxa" w:w="62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Shadow-basiswaarde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Toegestaan</w:t>
            </w:r>
          </w:p>
        </w:tc>
        <w:tc>
          <w:tcPr>
            <w:tcW w:type="dxa" w:w="6226"/>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0 punten — geen governance-afwijking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Nieuw ontdekt</w:t>
            </w:r>
          </w:p>
        </w:tc>
        <w:tc>
          <w:tcPr>
            <w:tcW w:type="dxa" w:w="6226"/>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20 punten — governance-kloof in behandeling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Beperkt toegestaan</w:t>
            </w:r>
          </w:p>
        </w:tc>
        <w:tc>
          <w:tcPr>
            <w:tcW w:type="dxa" w:w="6226"/>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40 punten — gebruik mogelijk alleen onder voorwaarden</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Niet toegestaan</w:t>
            </w:r>
          </w:p>
        </w:tc>
        <w:tc>
          <w:tcPr>
            <w:tcW w:type="dxa" w:w="6226"/>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80 punten — directe governance-escalatie</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Exposure-score: datablootstelling en gebruikscontext</w:t>
      </w:r>
    </w:p>
    <w:p>
      <w:pPr>
        <w:spacing w:after="100" w:before="60" w:line="300"/>
        <w:jc w:val="left"/>
      </w:pPr>
      <w:r>
        <w:rPr>
          <w:rFonts w:ascii="Calibri" w:cs="Calibri" w:eastAsia="Calibri" w:hAnsi="Calibri"/>
          <w:b w:val="false"/>
          <w:bCs w:val="false"/>
          <w:i w:val="false"/>
          <w:iCs w:val="false"/>
          <w:color w:val="1A1A1A"/>
          <w:sz w:val="22"/>
          <w:szCs w:val="22"/>
        </w:rPr>
        <w:t xml:space="preserve">De exposure-score laat zien hoe zwaar de feitelijke gebruikssituatie weegt. Hij is opgebouwd uit proportionele multipliers en additieve opslagen.</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0D5DD" w:sz="1"/>
              <w:left w:val="single" w:color="0F7173" w:sz="8"/>
              <w:bottom w:val="single" w:color="D0D5DD" w:sz="1"/>
              <w:right w:val="none" w:color="FFFFFF" w:sz="0"/>
            </w:tcBorders>
            <w:shd w:fill="F2F4F6" w:val="clear"/>
            <w:tcMar>
              <w:top w:type="dxa" w:w="120"/>
              <w:left w:type="dxa" w:w="220"/>
              <w:bottom w:type="dxa" w:w="120"/>
              <w:right w:type="dxa" w:w="220"/>
            </w:tcMar>
          </w:tcPr>
          <w:p>
            <w:pPr>
              <w:spacing w:after="30" w:before="30"/>
            </w:pPr>
            <w:r>
              <w:rPr>
                <w:rFonts w:ascii="Courier New" w:cs="Courier New" w:eastAsia="Courier New" w:hAnsi="Courier New"/>
                <w:color w:val="0F7173"/>
                <w:sz w:val="20"/>
                <w:szCs w:val="20"/>
              </w:rPr>
              <w:t xml:space="preserve">exposure_score  =</w:t>
            </w:r>
          </w:p>
          <w:p>
            <w:pPr>
              <w:spacing w:after="30" w:before="30"/>
            </w:pPr>
            <w:r>
              <w:rPr>
                <w:rFonts w:ascii="Courier New" w:cs="Courier New" w:eastAsia="Courier New" w:hAnsi="Courier New"/>
                <w:color w:val="0F7173"/>
                <w:sz w:val="20"/>
                <w:szCs w:val="20"/>
              </w:rPr>
              <w:t xml:space="preserve">  use_case_base          (startpunt op basis van aard van de toepassing)</w:t>
            </w:r>
          </w:p>
          <w:p>
            <w:pPr>
              <w:spacing w:after="30" w:before="30"/>
            </w:pPr>
            <w:r>
              <w:rPr>
                <w:rFonts w:ascii="Courier New" w:cs="Courier New" w:eastAsia="Courier New" w:hAnsi="Courier New"/>
                <w:color w:val="0F7173"/>
                <w:sz w:val="20"/>
                <w:szCs w:val="20"/>
              </w:rPr>
              <w:t xml:space="preserve">  × context_multiplier   (effect op personen, processen of systemen)</w:t>
            </w:r>
          </w:p>
          <w:p>
            <w:pPr>
              <w:spacing w:after="30" w:before="30"/>
            </w:pPr>
            <w:r>
              <w:rPr>
                <w:rFonts w:ascii="Courier New" w:cs="Courier New" w:eastAsia="Courier New" w:hAnsi="Courier New"/>
                <w:color w:val="0F7173"/>
                <w:sz w:val="20"/>
                <w:szCs w:val="20"/>
              </w:rPr>
              <w:t xml:space="preserve">  × account_multiplier   (mate van organisatorische regie)</w:t>
            </w:r>
          </w:p>
          <w:p>
            <w:pPr>
              <w:spacing w:after="30" w:before="30"/>
            </w:pPr>
            <w:r>
              <w:rPr>
                <w:rFonts w:ascii="Courier New" w:cs="Courier New" w:eastAsia="Courier New" w:hAnsi="Courier New"/>
                <w:color w:val="0F7173"/>
                <w:sz w:val="20"/>
                <w:szCs w:val="20"/>
              </w:rPr>
              <w:t xml:space="preserve">  + data_boost           (gevoeligheid van het datatype)</w:t>
            </w:r>
          </w:p>
          <w:p>
            <w:pPr>
              <w:spacing w:after="30" w:before="30"/>
            </w:pPr>
            <w:r>
              <w:rPr>
                <w:rFonts w:ascii="Courier New" w:cs="Courier New" w:eastAsia="Courier New" w:hAnsi="Courier New"/>
                <w:color w:val="0F7173"/>
                <w:sz w:val="20"/>
                <w:szCs w:val="20"/>
              </w:rPr>
              <w:t xml:space="preserve">  + frequency_boost      (hoe vaak het gebruik plaatsvindt)</w:t>
            </w:r>
          </w:p>
          <w:p>
            <w:pPr>
              <w:spacing w:after="30" w:before="30"/>
            </w:pPr>
            <w:r>
              <w:rPr>
                <w:rFonts w:ascii="Courier New" w:cs="Courier New" w:eastAsia="Courier New" w:hAnsi="Courier New"/>
                <w:color w:val="0F7173"/>
                <w:sz w:val="20"/>
                <w:szCs w:val="20"/>
              </w:rPr>
              <w:t xml:space="preserve">  + automation_boost     (geautomatiseerde verwerking)</w:t>
            </w:r>
          </w:p>
          <w:p>
            <w:pPr>
              <w:spacing w:after="30" w:before="30"/>
            </w:pPr>
            <w:r>
              <w:rPr>
                <w:rFonts w:ascii="Courier New" w:cs="Courier New" w:eastAsia="Courier New" w:hAnsi="Courier New"/>
                <w:color w:val="0F7173"/>
                <w:sz w:val="20"/>
                <w:szCs w:val="20"/>
              </w:rPr>
              <w:t xml:space="preserve">  + extension_boost      (gebruik via browserextensie)</w:t>
            </w:r>
          </w:p>
          <w:p>
            <w:pPr>
              <w:spacing w:after="30" w:before="30"/>
            </w:pPr>
            <w:r>
              <w:rPr>
                <w:rFonts w:ascii="Courier New" w:cs="Courier New" w:eastAsia="Courier New" w:hAnsi="Courier New"/>
                <w:color w:val="0F7173"/>
                <w:sz w:val="20"/>
                <w:szCs w:val="20"/>
              </w:rPr>
              <w:t xml:space="preserve">  + agentic_boost        (gebruik van AI-agents)</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color w:val="1B3A5C"/>
          <w:sz w:val="24"/>
          <w:szCs w:val="24"/>
        </w:rPr>
        <w:t xml:space="preserve">Toepassing — het startpunt</w:t>
      </w:r>
    </w:p>
    <w:p>
      <w:pPr>
        <w:spacing w:after="100" w:before="60" w:line="300"/>
        <w:jc w:val="left"/>
      </w:pPr>
      <w:r>
        <w:rPr>
          <w:rFonts w:ascii="Calibri" w:cs="Calibri" w:eastAsia="Calibri" w:hAnsi="Calibri"/>
          <w:b w:val="false"/>
          <w:bCs w:val="false"/>
          <w:i w:val="false"/>
          <w:iCs w:val="false"/>
          <w:color w:val="1A1A1A"/>
          <w:sz w:val="22"/>
          <w:szCs w:val="22"/>
        </w:rPr>
        <w:t xml:space="preserve">Elke toepassing heeft een startwaarde. Die weerspiegelt de aard van de handeling:</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426"/>
      </w:tblGrid>
      <w:tr>
        <w:tc>
          <w:tcPr>
            <w:tcW w:type="dxa" w:w="20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Risiconiveau</w:t>
            </w:r>
          </w:p>
        </w:tc>
        <w:tc>
          <w:tcPr>
            <w:tcW w:type="dxa" w:w="1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Startwaarde</w:t>
            </w:r>
          </w:p>
        </w:tc>
        <w:tc>
          <w:tcPr>
            <w:tcW w:type="dxa" w:w="54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Voorbeelden van toepassingen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Laag</w:t>
            </w:r>
          </w:p>
        </w:tc>
        <w:tc>
          <w:tcPr>
            <w:tcW w:type="dxa" w:w="1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10 punten</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Brainstormen, vertalen, tekst schrijven, informatie opzoeken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Midden</w:t>
            </w:r>
          </w:p>
        </w:tc>
        <w:tc>
          <w:tcPr>
            <w:tcW w:type="dxa" w:w="1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20 punten</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Samenvatten, data analyseren, code schrijven, presentaties maken</w:t>
            </w:r>
          </w:p>
        </w:tc>
      </w:tr>
      <w:tr>
        <w:tc>
          <w:tcPr>
            <w:tcW w:type="dxa" w:w="2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Hoog</w:t>
            </w:r>
          </w:p>
        </w:tc>
        <w:tc>
          <w:tcPr>
            <w:tcW w:type="dxa" w:w="1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35 punten</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Klantenservice, HR-evaluatie, systemen aansturen, workflows automatiseren</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color w:val="1B3A5C"/>
          <w:sz w:val="24"/>
          <w:szCs w:val="24"/>
        </w:rPr>
        <w:t xml:space="preserve">Context — proportionele multiplier</w:t>
      </w:r>
    </w:p>
    <w:p>
      <w:pPr>
        <w:spacing w:after="100" w:before="60" w:line="300"/>
        <w:jc w:val="left"/>
      </w:pPr>
      <w:r>
        <w:rPr>
          <w:rFonts w:ascii="Calibri" w:cs="Calibri" w:eastAsia="Calibri" w:hAnsi="Calibri"/>
          <w:b w:val="false"/>
          <w:bCs w:val="false"/>
          <w:i w:val="false"/>
          <w:iCs w:val="false"/>
          <w:color w:val="1A1A1A"/>
          <w:sz w:val="22"/>
          <w:szCs w:val="22"/>
        </w:rPr>
        <w:t xml:space="preserve">De context bepaalt welk effect de toepassing heeft. Hoe zwaarder de context, hoe hoger de multiplier waarmee de startwaarde wordt vermenigvuldigd.</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Context</w:t>
            </w:r>
          </w:p>
        </w:tc>
        <w:tc>
          <w:tcPr>
            <w:tcW w:type="dxa" w:w="48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Multiplier (indicatief)</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Intern gebruik, geen directe impact op personen of systemen</w:t>
            </w:r>
          </w:p>
        </w:tc>
        <w:tc>
          <w:tcPr>
            <w:tcW w:type="dxa" w:w="4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1.0 × (neutraal)</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Klantgerichte toepassing of beslisondersteuning</w:t>
            </w:r>
          </w:p>
        </w:tc>
        <w:tc>
          <w:tcPr>
            <w:tcW w:type="dxa" w:w="4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1.2–1.4 ×</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Besluiten over personen of HR-evaluatie</w:t>
            </w:r>
          </w:p>
        </w:tc>
        <w:tc>
          <w:tcPr>
            <w:tcW w:type="dxa" w:w="4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1.6–1.8 ×</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Financieel, juridisch of kritieke systemen</w:t>
            </w:r>
          </w:p>
        </w:tc>
        <w:tc>
          <w:tcPr>
            <w:tcW w:type="dxa" w:w="4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1.8–2.0 ×</w:t>
            </w:r>
          </w:p>
        </w:tc>
      </w:tr>
      <w:tr>
        <w:tc>
          <w:tcPr>
            <w:tcW w:type="dxa" w:w="4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Autonome uitvoering of externe systemen</w:t>
            </w:r>
          </w:p>
        </w:tc>
        <w:tc>
          <w:tcPr>
            <w:tcW w:type="dxa" w:w="4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2.0 × of hoger</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color w:val="1B3A5C"/>
          <w:sz w:val="24"/>
          <w:szCs w:val="24"/>
        </w:rPr>
        <w:t xml:space="preserve">Accounttype — proportionele multiplier</w:t>
      </w:r>
    </w:p>
    <w:p>
      <w:pPr>
        <w:spacing w:after="100" w:before="60" w:line="300"/>
        <w:jc w:val="left"/>
      </w:pPr>
      <w:r>
        <w:rPr>
          <w:rFonts w:ascii="Calibri" w:cs="Calibri" w:eastAsia="Calibri" w:hAnsi="Calibri"/>
          <w:b w:val="false"/>
          <w:bCs w:val="false"/>
          <w:i w:val="false"/>
          <w:iCs w:val="false"/>
          <w:color w:val="1A1A1A"/>
          <w:sz w:val="22"/>
          <w:szCs w:val="22"/>
        </w:rPr>
        <w:t xml:space="preserve">Het accounttype bepaalt hoeveel organisatorische regie er is over wat er met de data gebeurt:</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Accounttype</w:t>
            </w:r>
          </w:p>
        </w:tc>
        <w:tc>
          <w:tcPr>
            <w:tcW w:type="dxa" w:w="54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Multiplier (indicatief)</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Zakelijke licentie</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1.0 × — organisatie heeft regie en contractuele afspraken</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Privé, betaald account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1.4–1.8 × — geen organisatorische regie, wel bewuste keuze</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Privé, gratis account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1.6–2.0 × — geen regie, data mogelijk gebruikt voor modeltraining</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80" w:before="200"/>
      </w:pPr>
      <w:r>
        <w:rPr>
          <w:rFonts w:ascii="Calibri" w:cs="Calibri" w:eastAsia="Calibri" w:hAnsi="Calibri"/>
          <w:b/>
          <w:bCs/>
          <w:color w:val="1B3A5C"/>
          <w:sz w:val="24"/>
          <w:szCs w:val="24"/>
        </w:rPr>
        <w:t xml:space="preserve">Additieve opslagen</w:t>
      </w:r>
    </w:p>
    <w:p>
      <w:pPr>
        <w:spacing w:after="100" w:before="60" w:line="300"/>
        <w:jc w:val="left"/>
      </w:pPr>
      <w:r>
        <w:rPr>
          <w:rFonts w:ascii="Calibri" w:cs="Calibri" w:eastAsia="Calibri" w:hAnsi="Calibri"/>
          <w:b w:val="false"/>
          <w:bCs w:val="false"/>
          <w:i w:val="false"/>
          <w:iCs w:val="false"/>
          <w:color w:val="1A1A1A"/>
          <w:sz w:val="22"/>
          <w:szCs w:val="22"/>
        </w:rPr>
        <w:t xml:space="preserve">Naast de multipliers zijn er vaste opslagen die de urgentie verhogen zonder de basisberekening te verstoren:</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26"/>
      </w:tblGrid>
      <w:tr>
        <w:tc>
          <w:tcPr>
            <w:tcW w:type="dxa" w:w="2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Opslag</w:t>
            </w:r>
          </w:p>
        </w:tc>
        <w:tc>
          <w:tcPr>
            <w:tcW w:type="dxa" w:w="30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Wanneer actief</w:t>
            </w:r>
          </w:p>
        </w:tc>
        <w:tc>
          <w:tcPr>
            <w:tcW w:type="dxa" w:w="38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Effect</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Data-opslag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Op basis van het type data dat wordt ingevoerd</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+0 (publiek) / +15 (intern) / +30 (gevoelig of bijzonder)</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Frequency-opslag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Op basis van hoe vaak de tool wordt gebruikt</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+0 (maandelijks) / +8 (wekelijks) / +15 (dagelijks)</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Automation-opslag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Bij geautomatiseerde verwerking</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+15</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Extension-opslag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Bij gebruik via een browserextensie</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+10 (verwerking kan op de achtergrond plaatsvinden)</w:t>
            </w:r>
          </w:p>
        </w:tc>
      </w:tr>
      <w:tr>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Agentic-opslag</w:t>
            </w:r>
          </w:p>
        </w:tc>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Bij gebruik van AI-agents</w:t>
            </w:r>
          </w:p>
        </w:tc>
        <w:tc>
          <w:tcPr>
            <w:tcW w:type="dxa" w:w="3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+20 (altijd ook een review-trigger)</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0F7173" w:sz="6"/>
              <w:left w:val="none" w:color="FFFFFF" w:sz="0"/>
              <w:bottom w:val="none" w:color="FFFFFF" w:sz="0"/>
              <w:right w:val="none" w:color="FFFFFF" w:sz="0"/>
            </w:tcBorders>
            <w:shd w:fill="D4EDEC" w:val="clear"/>
            <w:tcMar>
              <w:top w:type="dxa" w:w="160"/>
              <w:left w:type="dxa" w:w="200"/>
              <w:bottom w:type="dxa" w:w="160"/>
              <w:right w:type="dxa" w:w="200"/>
            </w:tcMar>
          </w:tcPr>
          <w:p>
            <w:pPr>
              <w:spacing w:after="60" w:before="0"/>
            </w:pPr>
            <w:r>
              <w:rPr>
                <w:rFonts w:ascii="Calibri" w:cs="Calibri" w:eastAsia="Calibri" w:hAnsi="Calibri"/>
                <w:b/>
                <w:bCs/>
                <w:i w:val="false"/>
                <w:iCs w:val="false"/>
                <w:color w:val="0F7173"/>
                <w:sz w:val="20"/>
                <w:szCs w:val="20"/>
              </w:rPr>
              <w:t xml:space="preserve">Frequentie zit in exposure, niet in priority</w:t>
            </w:r>
          </w:p>
          <w:p>
            <w:pPr>
              <w:spacing w:after="0" w:before="0"/>
            </w:pPr>
            <w:r>
              <w:rPr>
                <w:rFonts w:ascii="Calibri" w:cs="Calibri" w:eastAsia="Calibri" w:hAnsi="Calibri"/>
                <w:b w:val="false"/>
                <w:bCs w:val="false"/>
                <w:i w:val="false"/>
                <w:iCs w:val="false"/>
                <w:color w:val="1A1A1A"/>
                <w:sz w:val="21"/>
                <w:szCs w:val="21"/>
              </w:rPr>
              <w:t xml:space="preserve">Frequentie is bewust onderdeel van de exposure-score — niet van de priority-score. De reden: frequentie vergroot de blootstelling. Dezelfde risicovolle handeling die dagelijks gebeurt, is zwaarder dan een eenmalige handeling. Lees frequentie als blootstellingsversterker, niet als bewijs van kwade wil.</w:t>
            </w:r>
          </w:p>
        </w:tc>
      </w:tr>
    </w:tbl>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De exposure-score wordt altijd afgetopt op 100. Scores boven 100 worden intern afgetopt; wat u in het dashboard ziet, blijft altijd binnen de 0–100-schaal.</w:t>
      </w:r>
    </w:p>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Priority-score: triagesignaal voor de DPO</w:t>
      </w:r>
    </w:p>
    <w:p>
      <w:pPr>
        <w:spacing w:after="100" w:before="60" w:line="300"/>
        <w:jc w:val="left"/>
      </w:pPr>
      <w:r>
        <w:rPr>
          <w:rFonts w:ascii="Calibri" w:cs="Calibri" w:eastAsia="Calibri" w:hAnsi="Calibri"/>
          <w:b w:val="false"/>
          <w:bCs w:val="false"/>
          <w:i w:val="false"/>
          <w:iCs w:val="false"/>
          <w:color w:val="1A1A1A"/>
          <w:sz w:val="22"/>
          <w:szCs w:val="22"/>
        </w:rPr>
        <w:t xml:space="preserve">De priority-score combineert shadow en exposure tot een overzichtelijk triagesignaal. Dit is de score waarop de DPO-werklijst wordt gesorteerd.</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0D5DD" w:sz="1"/>
              <w:left w:val="single" w:color="0F7173" w:sz="8"/>
              <w:bottom w:val="single" w:color="D0D5DD" w:sz="1"/>
              <w:right w:val="none" w:color="FFFFFF" w:sz="0"/>
            </w:tcBorders>
            <w:shd w:fill="F2F4F6" w:val="clear"/>
            <w:tcMar>
              <w:top w:type="dxa" w:w="120"/>
              <w:left w:type="dxa" w:w="220"/>
              <w:bottom w:type="dxa" w:w="120"/>
              <w:right w:type="dxa" w:w="220"/>
            </w:tcMar>
          </w:tcPr>
          <w:p>
            <w:pPr>
              <w:spacing w:after="30" w:before="30"/>
            </w:pPr>
            <w:r>
              <w:rPr>
                <w:rFonts w:ascii="Courier New" w:cs="Courier New" w:eastAsia="Courier New" w:hAnsi="Courier New"/>
                <w:color w:val="0F7173"/>
                <w:sz w:val="20"/>
                <w:szCs w:val="20"/>
              </w:rPr>
              <w:t xml:space="preserve">priority_score  =</w:t>
            </w:r>
          </w:p>
          <w:p>
            <w:pPr>
              <w:spacing w:after="30" w:before="30"/>
            </w:pPr>
            <w:r>
              <w:rPr>
                <w:rFonts w:ascii="Courier New" w:cs="Courier New" w:eastAsia="Courier New" w:hAnsi="Courier New"/>
                <w:color w:val="0F7173"/>
                <w:sz w:val="20"/>
                <w:szCs w:val="20"/>
              </w:rPr>
              <w:t xml:space="preserve">  0.45 × shadow_score</w:t>
            </w:r>
          </w:p>
          <w:p>
            <w:pPr>
              <w:spacing w:after="30" w:before="30"/>
            </w:pPr>
            <w:r>
              <w:rPr>
                <w:rFonts w:ascii="Courier New" w:cs="Courier New" w:eastAsia="Courier New" w:hAnsi="Courier New"/>
                <w:color w:val="0F7173"/>
                <w:sz w:val="20"/>
                <w:szCs w:val="20"/>
              </w:rPr>
              <w:t xml:space="preserve">  + 0.45 × exposure_score</w:t>
            </w:r>
          </w:p>
          <w:p>
            <w:pPr>
              <w:spacing w:after="30" w:before="30"/>
            </w:pPr>
            <w:r>
              <w:rPr>
                <w:rFonts w:ascii="Courier New" w:cs="Courier New" w:eastAsia="Courier New" w:hAnsi="Courier New"/>
                <w:color w:val="0F7173"/>
                <w:sz w:val="20"/>
                <w:szCs w:val="20"/>
              </w:rPr>
              <w:t xml:space="preserve">  + toxic_boost     (+ 20 als beide assen boven drempel zijn)</w:t>
            </w:r>
          </w:p>
          <w:p>
            <w:pPr>
              <w:spacing w:after="30" w:before="30"/>
            </w:pPr>
            <w:r>
              <w:rPr>
                <w:rFonts w:ascii="Courier New" w:cs="Courier New" w:eastAsia="Courier New" w:hAnsi="Courier New"/>
                <w:color w:val="0F7173"/>
                <w:sz w:val="20"/>
                <w:szCs w:val="20"/>
              </w:rPr>
              <w:t xml:space="preserve">  + review_boost    (+ als hard-review trigger actief is)</w:t>
            </w:r>
          </w:p>
          <w:p>
            <w:pPr>
              <w:spacing w:after="30" w:before="30"/>
            </w:pPr>
            <w:r>
              <w:rPr>
                <w:rFonts w:ascii="Courier New" w:cs="Courier New" w:eastAsia="Courier New" w:hAnsi="Courier New"/>
                <w:color w:val="0F7173"/>
                <w:sz w:val="20"/>
                <w:szCs w:val="20"/>
              </w:rPr>
              <w:t xml:space="preserve"/>
            </w:r>
          </w:p>
          <w:p>
            <w:pPr>
              <w:spacing w:after="30" w:before="30"/>
            </w:pPr>
            <w:r>
              <w:rPr>
                <w:rFonts w:ascii="Courier New" w:cs="Courier New" w:eastAsia="Courier New" w:hAnsi="Courier New"/>
                <w:color w:val="0F7173"/>
                <w:sz w:val="20"/>
                <w:szCs w:val="20"/>
              </w:rPr>
              <w:t xml:space="preserve">  maximaal 100</w:t>
            </w:r>
          </w:p>
        </w:tc>
      </w:tr>
    </w:tbl>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De priority-score wordt vertaald naar vier tiers:</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600"/>
        <w:gridCol w:w="3726"/>
      </w:tblGrid>
      <w:tr>
        <w:tc>
          <w:tcPr>
            <w:tcW w:type="dxa" w:w="15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Tier</w:t>
            </w:r>
          </w:p>
        </w:tc>
        <w:tc>
          <w:tcPr>
            <w:tcW w:type="dxa" w:w="1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Score</w:t>
            </w:r>
          </w:p>
        </w:tc>
        <w:tc>
          <w:tcPr>
            <w:tcW w:type="dxa" w:w="2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Betekenis</w:t>
            </w:r>
          </w:p>
        </w:tc>
        <w:tc>
          <w:tcPr>
            <w:tcW w:type="dxa" w:w="37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Wat u doet</w:t>
            </w:r>
          </w:p>
        </w:tc>
      </w:tr>
      <w:tr>
        <w:tc>
          <w:tcPr>
            <w:tcW w:type="dxa" w:w="1500"/>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Laag</w:t>
            </w:r>
          </w:p>
        </w:tc>
        <w:tc>
          <w:tcPr>
            <w:tcW w:type="dxa" w:w="1200"/>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0–24</w:t>
            </w:r>
          </w:p>
        </w:tc>
        <w:tc>
          <w:tcPr>
            <w:tcW w:type="dxa" w:w="2600"/>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Geen direct signaal</w:t>
            </w:r>
          </w:p>
        </w:tc>
        <w:tc>
          <w:tcPr>
            <w:tcW w:type="dxa" w:w="3726"/>
            <w:tcBorders>
              <w:top w:val="single" w:color="D0D5DD" w:sz="1"/>
              <w:left w:val="single" w:color="D0D5DD" w:sz="1"/>
              <w:bottom w:val="single" w:color="D0D5DD" w:sz="1"/>
              <w:right w:val="single" w:color="D0D5DD" w:sz="1"/>
            </w:tcBorders>
            <w:shd w:fill="D5F0E3"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Monitor bij volgende ronde</w:t>
            </w:r>
          </w:p>
        </w:tc>
      </w:tr>
      <w:tr>
        <w:tc>
          <w:tcPr>
            <w:tcW w:type="dxa" w:w="15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Verhoogd</w:t>
            </w:r>
          </w:p>
        </w:tc>
        <w:tc>
          <w:tcPr>
            <w:tcW w:type="dxa" w:w="12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25–49</w:t>
            </w:r>
          </w:p>
        </w:tc>
        <w:tc>
          <w:tcPr>
            <w:tcW w:type="dxa" w:w="26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Aandachtssignaal</w:t>
            </w:r>
          </w:p>
        </w:tc>
        <w:tc>
          <w:tcPr>
            <w:tcW w:type="dxa" w:w="3726"/>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Controleer context, eventueel beleid aanpassen</w:t>
            </w:r>
          </w:p>
        </w:tc>
      </w:tr>
      <w:tr>
        <w:tc>
          <w:tcPr>
            <w:tcW w:type="dxa" w:w="15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Hoog</w:t>
            </w:r>
          </w:p>
        </w:tc>
        <w:tc>
          <w:tcPr>
            <w:tcW w:type="dxa" w:w="12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50–74</w:t>
            </w:r>
          </w:p>
        </w:tc>
        <w:tc>
          <w:tcPr>
            <w:tcW w:type="dxa" w:w="2600"/>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Prioriteitscase</w:t>
            </w:r>
          </w:p>
        </w:tc>
        <w:tc>
          <w:tcPr>
            <w:tcW w:type="dxa" w:w="3726"/>
            <w:tcBorders>
              <w:top w:val="single" w:color="D0D5DD" w:sz="1"/>
              <w:left w:val="single" w:color="D0D5DD" w:sz="1"/>
              <w:bottom w:val="single" w:color="D0D5DD" w:sz="1"/>
              <w:right w:val="single" w:color="D0D5DD" w:sz="1"/>
            </w:tcBorders>
            <w:shd w:fill="FEF3CD"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 inplannen, tussentijds contact of beleidsmaatregel</w:t>
            </w:r>
          </w:p>
        </w:tc>
      </w:tr>
      <w:tr>
        <w:tc>
          <w:tcPr>
            <w:tcW w:type="dxa" w:w="1500"/>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Kritiek</w:t>
            </w:r>
          </w:p>
        </w:tc>
        <w:tc>
          <w:tcPr>
            <w:tcW w:type="dxa" w:w="1200"/>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75–100</w:t>
            </w:r>
          </w:p>
        </w:tc>
        <w:tc>
          <w:tcPr>
            <w:tcW w:type="dxa" w:w="2600"/>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Directe actie vereist</w:t>
            </w:r>
          </w:p>
        </w:tc>
        <w:tc>
          <w:tcPr>
            <w:tcW w:type="dxa" w:w="3726"/>
            <w:tcBorders>
              <w:top w:val="single" w:color="D0D5DD" w:sz="1"/>
              <w:left w:val="single" w:color="D0D5DD" w:sz="1"/>
              <w:bottom w:val="single" w:color="D0D5DD" w:sz="1"/>
              <w:right w:val="single" w:color="D0D5DD" w:sz="1"/>
            </w:tcBorders>
            <w:shd w:fill="FADBD8"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 afronden vóór volgende scanronde, escalatie overwegen</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Toxic combination — wanneer beide assen rood zijn</w:t>
      </w:r>
    </w:p>
    <w:p>
      <w:pPr>
        <w:spacing w:after="100" w:before="60" w:line="300"/>
        <w:jc w:val="left"/>
      </w:pPr>
      <w:r>
        <w:rPr>
          <w:rFonts w:ascii="Calibri" w:cs="Calibri" w:eastAsia="Calibri" w:hAnsi="Calibri"/>
          <w:b w:val="false"/>
          <w:bCs w:val="false"/>
          <w:i w:val="false"/>
          <w:iCs w:val="false"/>
          <w:color w:val="1A1A1A"/>
          <w:sz w:val="22"/>
          <w:szCs w:val="22"/>
        </w:rPr>
        <w:t xml:space="preserve">Een toxic combination ontstaat wanneer zowel de governance-afwijking als de datablootstelling boven de drempel uitkomen. In dat geval wordt de priority-score met 20 punten verhoogd.</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0D5DD" w:sz="1"/>
              <w:left w:val="single" w:color="0F7173" w:sz="8"/>
              <w:bottom w:val="single" w:color="D0D5DD" w:sz="1"/>
              <w:right w:val="none" w:color="FFFFFF" w:sz="0"/>
            </w:tcBorders>
            <w:shd w:fill="F2F4F6" w:val="clear"/>
            <w:tcMar>
              <w:top w:type="dxa" w:w="120"/>
              <w:left w:type="dxa" w:w="220"/>
              <w:bottom w:type="dxa" w:w="120"/>
              <w:right w:type="dxa" w:w="220"/>
            </w:tcMar>
          </w:tcPr>
          <w:p>
            <w:pPr>
              <w:spacing w:after="30" w:before="30"/>
            </w:pPr>
            <w:r>
              <w:rPr>
                <w:rFonts w:ascii="Courier New" w:cs="Courier New" w:eastAsia="Courier New" w:hAnsi="Courier New"/>
                <w:color w:val="0F7173"/>
                <w:sz w:val="20"/>
                <w:szCs w:val="20"/>
              </w:rPr>
              <w:t xml:space="preserve">Toxic boost actief als:</w:t>
            </w:r>
          </w:p>
          <w:p>
            <w:pPr>
              <w:spacing w:after="30" w:before="30"/>
            </w:pPr>
            <w:r>
              <w:rPr>
                <w:rFonts w:ascii="Courier New" w:cs="Courier New" w:eastAsia="Courier New" w:hAnsi="Courier New"/>
                <w:color w:val="0F7173"/>
                <w:sz w:val="20"/>
                <w:szCs w:val="20"/>
              </w:rPr>
              <w:t xml:space="preserve">  shadow_score  &gt; 50  (= tool is 'niet toegestaan', shadow_basis 80)</w:t>
            </w:r>
          </w:p>
          <w:p>
            <w:pPr>
              <w:spacing w:after="30" w:before="30"/>
            </w:pPr>
            <w:r>
              <w:rPr>
                <w:rFonts w:ascii="Courier New" w:cs="Courier New" w:eastAsia="Courier New" w:hAnsi="Courier New"/>
                <w:color w:val="0F7173"/>
                <w:sz w:val="20"/>
                <w:szCs w:val="20"/>
              </w:rPr>
              <w:t xml:space="preserve">  EN</w:t>
            </w:r>
          </w:p>
          <w:p>
            <w:pPr>
              <w:spacing w:after="30" w:before="30"/>
            </w:pPr>
            <w:r>
              <w:rPr>
                <w:rFonts w:ascii="Courier New" w:cs="Courier New" w:eastAsia="Courier New" w:hAnsi="Courier New"/>
                <w:color w:val="0F7173"/>
                <w:sz w:val="20"/>
                <w:szCs w:val="20"/>
              </w:rPr>
              <w:t xml:space="preserve">  exposure_score &gt; 50  (= midden-hoog gebruik met zware context of gevoelige data)</w:t>
            </w:r>
          </w:p>
          <w:p>
            <w:pPr>
              <w:spacing w:after="30" w:before="30"/>
            </w:pPr>
            <w:r>
              <w:rPr>
                <w:rFonts w:ascii="Courier New" w:cs="Courier New" w:eastAsia="Courier New" w:hAnsi="Courier New"/>
                <w:color w:val="0F7173"/>
                <w:sz w:val="20"/>
                <w:szCs w:val="20"/>
              </w:rPr>
              <w:t xml:space="preserve"/>
            </w:r>
          </w:p>
          <w:p>
            <w:pPr>
              <w:spacing w:after="30" w:before="30"/>
            </w:pPr>
            <w:r>
              <w:rPr>
                <w:rFonts w:ascii="Courier New" w:cs="Courier New" w:eastAsia="Courier New" w:hAnsi="Courier New"/>
                <w:color w:val="0F7173"/>
                <w:sz w:val="20"/>
                <w:szCs w:val="20"/>
              </w:rPr>
              <w:t xml:space="preserve">Effect: + 20 op priority_score (niet op shadow of exposure — die blijven zuiver)</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392B" w:sz="6"/>
              <w:left w:val="none" w:color="FFFFFF" w:sz="0"/>
              <w:bottom w:val="none" w:color="FFFFFF" w:sz="0"/>
              <w:right w:val="none" w:color="FFFFFF" w:sz="0"/>
            </w:tcBorders>
            <w:shd w:fill="FADBD8" w:val="clear"/>
            <w:tcMar>
              <w:top w:type="dxa" w:w="160"/>
              <w:left w:type="dxa" w:w="200"/>
              <w:bottom w:type="dxa" w:w="160"/>
              <w:right w:type="dxa" w:w="200"/>
            </w:tcMar>
          </w:tcPr>
          <w:p>
            <w:pPr>
              <w:spacing w:after="80" w:before="0"/>
            </w:pPr>
            <w:r>
              <w:rPr>
                <w:rFonts w:ascii="Calibri" w:cs="Calibri" w:eastAsia="Calibri" w:hAnsi="Calibri"/>
                <w:b/>
                <w:bCs/>
                <w:i w:val="false"/>
                <w:iCs w:val="false"/>
                <w:color w:val="C0392B"/>
                <w:sz w:val="20"/>
                <w:szCs w:val="20"/>
              </w:rPr>
              <w:t xml:space="preserve">Wat toxic combination betekent — en wat niet</w:t>
            </w:r>
          </w:p>
          <w:p>
            <w:pPr>
              <w:spacing w:after="30" w:before="30"/>
            </w:pPr>
            <w:r>
              <w:rPr>
                <w:rFonts w:ascii="Calibri" w:cs="Calibri" w:eastAsia="Calibri" w:hAnsi="Calibri"/>
                <w:b w:val="false"/>
                <w:bCs w:val="false"/>
                <w:i w:val="false"/>
                <w:iCs w:val="false"/>
                <w:color w:val="1A1A1A"/>
                <w:sz w:val="21"/>
                <w:szCs w:val="21"/>
              </w:rPr>
              <w:t xml:space="preserve">Toxic combination = engine-signaal waarbij hoge governance-afwijking en hoge datablootstelling samenkomen.</w:t>
            </w:r>
          </w:p>
          <w:p>
            <w:pPr>
              <w:spacing w:after="30" w:before="30"/>
            </w:pPr>
            <w:r>
              <w:rPr>
                <w:rFonts w:ascii="Calibri" w:cs="Calibri" w:eastAsia="Calibri" w:hAnsi="Calibri"/>
                <w:b w:val="false"/>
                <w:bCs w:val="false"/>
                <w:i w:val="false"/>
                <w:iCs w:val="false"/>
                <w:color w:val="1A1A1A"/>
                <w:sz w:val="21"/>
                <w:szCs w:val="21"/>
              </w:rPr>
              <w:t xml:space="preserve">De boost verhoogt de DPO-prioriteit, niet de onderliggende risicometing.</w:t>
            </w:r>
          </w:p>
          <w:p>
            <w:pPr>
              <w:spacing w:after="30" w:before="30"/>
            </w:pPr>
            <w:r>
              <w:rPr>
                <w:rFonts w:ascii="Calibri" w:cs="Calibri" w:eastAsia="Calibri" w:hAnsi="Calibri"/>
                <w:b w:val="false"/>
                <w:bCs w:val="false"/>
                <w:i w:val="false"/>
                <w:iCs w:val="false"/>
                <w:color w:val="1A1A1A"/>
                <w:sz w:val="21"/>
                <w:szCs w:val="21"/>
              </w:rPr>
              <w:t xml:space="preserve">Toxic combination = directe DPO-aandacht. Toxic combination ≠ automatisch bewijs van overtreding.</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Review-triggers — wanneer een case automatisch op de werklijst komt</w:t>
      </w:r>
    </w:p>
    <w:p>
      <w:pPr>
        <w:spacing w:after="100" w:before="60" w:line="300"/>
        <w:jc w:val="left"/>
      </w:pPr>
      <w:r>
        <w:rPr>
          <w:rFonts w:ascii="Calibri" w:cs="Calibri" w:eastAsia="Calibri" w:hAnsi="Calibri"/>
          <w:b w:val="false"/>
          <w:bCs w:val="false"/>
          <w:i w:val="false"/>
          <w:iCs w:val="false"/>
          <w:color w:val="1A1A1A"/>
          <w:sz w:val="22"/>
          <w:szCs w:val="22"/>
        </w:rPr>
        <w:t xml:space="preserve">Niet alleen de priority-score bepaalt of iets op de DPO-reviewlijst komt. Bepaalde combinaties activeren direct een review-trigger, ongeacht de score:</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Review-trigger</w:t>
            </w:r>
          </w:p>
        </w:tc>
        <w:tc>
          <w:tcPr>
            <w:tcW w:type="dxa" w:w="58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Wanneer actief</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Priority boven drempel</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Exposure-score ≥ 40 (configureerbaar)</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Niet-toegestane tool</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Shadow-basis = 80</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Bijzondere persoonsgegevens</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 goedgekeurd, maar data_boost = +30 (bijzondere categorie)</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HR-evaluatiecontext</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Toepassing is HR-evaluatie of beslissing over personen</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Agentic gebruik</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Altijd, ook bij goedgekeurde tools</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Onbeheerde automatisering</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Automatisering aanwezig én tool niet volledig goedgekeurd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Onbeheerde browserextensie</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Extensie actief én tool niet volledig goedgekeurd</w:t>
            </w:r>
          </w:p>
        </w:tc>
      </w:tr>
      <w:tr>
        <w:tc>
          <w:tcPr>
            <w:tcW w:type="dxa" w:w="3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Handmatige DPO-markering</w:t>
            </w:r>
          </w:p>
        </w:tc>
        <w:tc>
          <w:tcPr>
            <w:tcW w:type="dxa" w:w="58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DPO voegt zelf een aandachtsnotitie toe</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563A8" w:sz="6"/>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Calibri" w:cs="Calibri" w:eastAsia="Calibri" w:hAnsi="Calibri"/>
                <w:b/>
                <w:bCs/>
                <w:i w:val="false"/>
                <w:iCs w:val="false"/>
                <w:color w:val="2563A8"/>
                <w:sz w:val="20"/>
                <w:szCs w:val="20"/>
              </w:rPr>
              <w:t xml:space="preserve">Review-trigger ≠ overtreding</w:t>
            </w:r>
          </w:p>
          <w:p>
            <w:pPr>
              <w:spacing w:after="0" w:before="0"/>
            </w:pPr>
            <w:r>
              <w:rPr>
                <w:rFonts w:ascii="Calibri" w:cs="Calibri" w:eastAsia="Calibri" w:hAnsi="Calibri"/>
                <w:b w:val="false"/>
                <w:bCs w:val="false"/>
                <w:i w:val="false"/>
                <w:iCs w:val="false"/>
                <w:color w:val="1A1A1A"/>
                <w:sz w:val="21"/>
                <w:szCs w:val="21"/>
              </w:rPr>
              <w:t xml:space="preserve">Een review-trigger betekent: dit signaal vraagt menselijke beoordeling. Het is geen automatisch oordeel. De DPO beslist wat er daarna gebeurt.</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Highest-risk-combinatie en max-dominantie</w:t>
      </w:r>
    </w:p>
    <w:p>
      <w:pPr>
        <w:spacing w:after="100" w:before="60" w:line="300"/>
        <w:jc w:val="left"/>
      </w:pPr>
      <w:r>
        <w:rPr>
          <w:rFonts w:ascii="Calibri" w:cs="Calibri" w:eastAsia="Calibri" w:hAnsi="Calibri"/>
          <w:b w:val="false"/>
          <w:bCs w:val="false"/>
          <w:i w:val="false"/>
          <w:iCs w:val="false"/>
          <w:color w:val="1A1A1A"/>
          <w:sz w:val="22"/>
          <w:szCs w:val="22"/>
        </w:rPr>
        <w:t xml:space="preserve">Wanneer een medewerker meerdere tools gebruikt, wordt de eindprioriteit niet het gemiddelde van alle tools. De zwaarste combinatie bepaalt de basis — een lage gemiddelde score kan toch samengaan met een hoge DPO-prioriteit als één combinatie duidelijk reviewwaardig is.</w:t>
      </w:r>
    </w:p>
    <w:p>
      <w:pPr>
        <w:spacing w:after="100" w:before="60" w:line="300"/>
        <w:jc w:val="left"/>
      </w:pPr>
      <w:r>
        <w:rPr>
          <w:rFonts w:ascii="Calibri" w:cs="Calibri" w:eastAsia="Calibri" w:hAnsi="Calibri"/>
          <w:b w:val="false"/>
          <w:bCs w:val="false"/>
          <w:i w:val="false"/>
          <w:iCs w:val="false"/>
          <w:color w:val="1A1A1A"/>
          <w:sz w:val="22"/>
          <w:szCs w:val="22"/>
        </w:rPr>
        <w:t xml:space="preserve">In het dashboard ziet u per reviewcase welke combinatie het zwaarst bijdroeg. Dat helpt om de opvolging te richten op de juiste situatie, niet alleen op de toolnaam. Voorbeeld:</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0D5DD" w:sz="1"/>
              <w:left w:val="single" w:color="0F7173" w:sz="8"/>
              <w:bottom w:val="single" w:color="D0D5DD" w:sz="1"/>
              <w:right w:val="none" w:color="FFFFFF" w:sz="0"/>
            </w:tcBorders>
            <w:shd w:fill="F2F4F6" w:val="clear"/>
            <w:tcMar>
              <w:top w:type="dxa" w:w="120"/>
              <w:left w:type="dxa" w:w="220"/>
              <w:bottom w:type="dxa" w:w="120"/>
              <w:right w:type="dxa" w:w="220"/>
            </w:tcMar>
          </w:tcPr>
          <w:p>
            <w:pPr>
              <w:spacing w:after="30" w:before="30"/>
            </w:pPr>
            <w:r>
              <w:rPr>
                <w:rFonts w:ascii="Courier New" w:cs="Courier New" w:eastAsia="Courier New" w:hAnsi="Courier New"/>
                <w:color w:val="0F7173"/>
                <w:sz w:val="20"/>
                <w:szCs w:val="20"/>
              </w:rPr>
              <w:t xml:space="preserve">ChatGPT × HR-evaluatie × privé betaald × bijzondere persoonsgegevens</w:t>
            </w:r>
          </w:p>
          <w:p>
            <w:pPr>
              <w:spacing w:after="30" w:before="30"/>
            </w:pPr>
            <w:r>
              <w:rPr>
                <w:rFonts w:ascii="Courier New" w:cs="Courier New" w:eastAsia="Courier New" w:hAnsi="Courier New"/>
                <w:color w:val="0F7173"/>
                <w:sz w:val="20"/>
                <w:szCs w:val="20"/>
              </w:rPr>
              <w:t xml:space="preserve">→ Exposure hoog, review-trigger actief, toxic boost van toepassing</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Privacyregel voor kleine cellen</w:t>
      </w:r>
    </w:p>
    <w:p>
      <w:pPr>
        <w:spacing w:after="100" w:before="60" w:line="300"/>
        <w:jc w:val="left"/>
      </w:pPr>
      <w:r>
        <w:rPr>
          <w:rFonts w:ascii="Calibri" w:cs="Calibri" w:eastAsia="Calibri" w:hAnsi="Calibri"/>
          <w:b w:val="false"/>
          <w:bCs w:val="false"/>
          <w:i w:val="false"/>
          <w:iCs w:val="false"/>
          <w:color w:val="1A1A1A"/>
          <w:sz w:val="22"/>
          <w:szCs w:val="22"/>
        </w:rPr>
        <w:t xml:space="preserve">Het dashboard toont kleine groepen niet afzonderlijk wanneer dat herleidbaarheid kan veroorzaken. De standaardregel:</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D0D5DD" w:sz="1"/>
              <w:left w:val="single" w:color="0F7173" w:sz="8"/>
              <w:bottom w:val="single" w:color="D0D5DD" w:sz="1"/>
              <w:right w:val="none" w:color="FFFFFF" w:sz="0"/>
            </w:tcBorders>
            <w:shd w:fill="F2F4F6" w:val="clear"/>
            <w:tcMar>
              <w:top w:type="dxa" w:w="120"/>
              <w:left w:type="dxa" w:w="220"/>
              <w:bottom w:type="dxa" w:w="120"/>
              <w:right w:type="dxa" w:w="220"/>
            </w:tcMar>
          </w:tcPr>
          <w:p>
            <w:pPr>
              <w:spacing w:after="30" w:before="30"/>
            </w:pPr>
            <w:r>
              <w:rPr>
                <w:rFonts w:ascii="Courier New" w:cs="Courier New" w:eastAsia="Courier New" w:hAnsi="Courier New"/>
                <w:color w:val="0F7173"/>
                <w:sz w:val="20"/>
                <w:szCs w:val="20"/>
              </w:rPr>
              <w:t xml:space="preserve">dashboard_min_cell_size = 5   (minimaal vijf respondenten per cluster)</w:t>
            </w:r>
          </w:p>
        </w:tc>
      </w:tr>
    </w:tbl>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Kleinere cellen worden samengevoegd, onderdrukt of alleen kwalitatief weergegeven. Dit beschermt anonimiteit en ondersteunt eerlijke disclosure. Bij een te hoge privacygrens worden veel afdelings- of toolclusters verborgen; bij een te lage grens neemt het risico op herleidbaarheid toe. De standaardwaarde 5 is voor MKB-organisaties tot circa 250 medewerkers het meest werkbaar.</w:t>
      </w:r>
    </w:p>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Juridische begrenzing van de scanuitkomsten</w:t>
      </w:r>
    </w:p>
    <w:p>
      <w:pPr>
        <w:spacing w:after="100" w:before="60" w:line="300"/>
        <w:jc w:val="left"/>
      </w:pPr>
      <w:r>
        <w:rPr>
          <w:rFonts w:ascii="Calibri" w:cs="Calibri" w:eastAsia="Calibri" w:hAnsi="Calibri"/>
          <w:b w:val="false"/>
          <w:bCs w:val="false"/>
          <w:i w:val="false"/>
          <w:iCs w:val="false"/>
          <w:color w:val="1A1A1A"/>
          <w:sz w:val="22"/>
          <w:szCs w:val="22"/>
        </w:rPr>
        <w:t xml:space="preserve">De scan toont indicatieve governance- en risicosignalen. Dat geldt ook voor EU AI Act-signalen of andere juridische aandachtspunten.</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Gebruik in dashboard en rapportage</w:t>
            </w:r>
          </w:p>
        </w:tc>
        <w:tc>
          <w:tcPr>
            <w:tcW w:type="dxa" w:w="54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Vermijd</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Potentieel juridisch aandachtspunt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Formele AI Act-classificatie</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Vervolgbeoordeling aanbevolen</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Overtreding vastgesteld</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DPO-signaal — nader onderzoek gewenst</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Annex III vastgesteld</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Potential signal (interne duiding)</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Art. 5 overtreden</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595959" w:sz="6"/>
              <w:left w:val="none" w:color="FFFFFF" w:sz="0"/>
              <w:bottom w:val="none" w:color="FFFFFF" w:sz="0"/>
              <w:right w:val="none" w:color="FFFFFF" w:sz="0"/>
            </w:tcBorders>
            <w:shd w:fill="F2F4F6" w:val="clear"/>
            <w:tcMar>
              <w:top w:type="dxa" w:w="160"/>
              <w:left w:type="dxa" w:w="200"/>
              <w:bottom w:type="dxa" w:w="160"/>
              <w:right w:type="dxa" w:w="200"/>
            </w:tcMar>
          </w:tcPr>
          <w:p>
            <w:pPr>
              <w:spacing w:after="60" w:before="0"/>
            </w:pPr>
            <w:r>
              <w:rPr>
                <w:rFonts w:ascii="Calibri" w:cs="Calibri" w:eastAsia="Calibri" w:hAnsi="Calibri"/>
                <w:b/>
                <w:bCs/>
                <w:i w:val="false"/>
                <w:iCs w:val="false"/>
                <w:color w:val="595959"/>
                <w:sz w:val="20"/>
                <w:szCs w:val="20"/>
              </w:rPr>
              <w:t xml:space="preserve">Voorkeurstekst bij juridische aandachtspunten</w:t>
            </w:r>
          </w:p>
          <w:p>
            <w:pPr>
              <w:spacing w:after="0" w:before="0"/>
            </w:pPr>
            <w:r>
              <w:rPr>
                <w:rFonts w:ascii="Calibri" w:cs="Calibri" w:eastAsia="Calibri" w:hAnsi="Calibri"/>
                <w:b w:val="false"/>
                <w:bCs w:val="false"/>
                <w:i w:val="false"/>
                <w:iCs w:val="false"/>
                <w:color w:val="1A1A1A"/>
                <w:sz w:val="21"/>
                <w:szCs w:val="21"/>
              </w:rPr>
              <w:t xml:space="preserve">Dit is een potentieel juridisch aandachtspunt op basis van patroonherkenning. Het signaal vraagt om DPO-beoordeling en is geen formele AI Act-kwalificatie. Vervolgbeoordeling via RouteAI is aanbevolen.</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Wat u in het dashboard ziet</w:t>
      </w:r>
    </w:p>
    <w:p>
      <w:pPr>
        <w:spacing w:after="100" w:before="60" w:line="300"/>
        <w:jc w:val="left"/>
      </w:pPr>
      <w:r>
        <w:rPr>
          <w:rFonts w:ascii="Calibri" w:cs="Calibri" w:eastAsia="Calibri" w:hAnsi="Calibri"/>
          <w:b w:val="false"/>
          <w:bCs w:val="false"/>
          <w:i w:val="false"/>
          <w:iCs w:val="false"/>
          <w:color w:val="1A1A1A"/>
          <w:sz w:val="22"/>
          <w:szCs w:val="22"/>
        </w:rPr>
        <w:t xml:space="preserve">Het dashboard is opgebouwd in lagen, van overzicht naar detail. U hoeft niet alles tegelijk te bekijken — de structuur helpt u om snel de juiste focus te vinden.</w:t>
      </w:r>
    </w:p>
    <w:p>
      <w:pPr>
        <w:pStyle w:val="Heading2"/>
        <w:spacing w:after="120" w:before="300"/>
      </w:pPr>
      <w:r>
        <w:rPr>
          <w:rFonts w:ascii="Calibri" w:cs="Calibri" w:eastAsia="Calibri" w:hAnsi="Calibri"/>
          <w:b/>
          <w:bCs/>
          <w:color w:val="2563A8"/>
          <w:sz w:val="28"/>
          <w:szCs w:val="28"/>
        </w:rPr>
        <w:t xml:space="preserve">Overzicht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Hoeveel medewerkers zijn uitgenodigd en hoeveel hebben gereageerd</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 de risicoverdeling eruitziet (tiers)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Hoeveel reviews openstaan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KPI-box met openstaande NIEUW-tools en de oudste als reminder</w:t>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Hotspots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Welke tools het vaakst voorkomen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Waar shadow-gebruik zit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Waar gevoelige data samenkomt met risicovolle inzet</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Welke afdelingen opvallen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Welke combinaties direct aandacht vragen (toxic combinations)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Reviewitems</w:t>
      </w:r>
    </w:p>
    <w:p>
      <w:pPr>
        <w:spacing w:after="100" w:before="60" w:line="300"/>
        <w:jc w:val="left"/>
      </w:pPr>
      <w:r>
        <w:rPr>
          <w:rFonts w:ascii="Calibri" w:cs="Calibri" w:eastAsia="Calibri" w:hAnsi="Calibri"/>
          <w:b w:val="false"/>
          <w:bCs w:val="false"/>
          <w:i w:val="false"/>
          <w:iCs w:val="false"/>
          <w:color w:val="1A1A1A"/>
          <w:sz w:val="22"/>
          <w:szCs w:val="22"/>
        </w:rPr>
        <w:t xml:space="preserve">Per reviewcase ziet u:</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Veld</w:t>
            </w:r>
          </w:p>
        </w:tc>
        <w:tc>
          <w:tcPr>
            <w:tcW w:type="dxa" w:w="62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Wat dit u vertelt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Afdeling</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Context voor opvolging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Welke tool of agent is gebruikt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Accounttype</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Mate van organisatorische regie</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Datatype(n)</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Aard van de blootstelling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Toepassing(en)</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Waarvoor de tool is ingezet</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Priority-tier</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Prioriteit voor opvolging</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Trigger-reden</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Waarom review nodig is</w:t>
            </w:r>
          </w:p>
        </w:tc>
      </w:tr>
      <w:tr>
        <w:tc>
          <w:tcPr>
            <w:tcW w:type="dxa" w:w="28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DPO-aandachtsnotitie</w:t>
            </w:r>
          </w:p>
        </w:tc>
        <w:tc>
          <w:tcPr>
            <w:tcW w:type="dxa" w:w="62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Uw eigen duiding of prioriteringsreden</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Wat u als DPO aan een reviewcase kunt toevoegen</w:t>
      </w:r>
    </w:p>
    <w:p>
      <w:pPr>
        <w:spacing w:after="100" w:before="60" w:line="300"/>
        <w:jc w:val="left"/>
      </w:pPr>
      <w:r>
        <w:rPr>
          <w:rFonts w:ascii="Calibri" w:cs="Calibri" w:eastAsia="Calibri" w:hAnsi="Calibri"/>
          <w:b w:val="false"/>
          <w:bCs w:val="false"/>
          <w:i w:val="false"/>
          <w:iCs w:val="false"/>
          <w:color w:val="1A1A1A"/>
          <w:sz w:val="22"/>
          <w:szCs w:val="22"/>
        </w:rPr>
        <w:t xml:space="preserve">U kunt per case een aandachtsnotitie vastleggen. Dit is geen technische wijziging van de toolinventaris of de onderliggende score — het is een notitie- en prioriteringslaag. Gebruik dit veld om vast te leggen waarom iets extra aandacht krijgt, lager op de agenda mag of vervolgbeoordeling vraagt.</w:t>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Signalen die alleen in de DPO-laag zichtbaar zijn</w:t>
      </w:r>
    </w:p>
    <w:p>
      <w:pPr>
        <w:spacing w:after="100" w:before="60" w:line="300"/>
        <w:jc w:val="left"/>
      </w:pPr>
      <w:r>
        <w:rPr>
          <w:rFonts w:ascii="Calibri" w:cs="Calibri" w:eastAsia="Calibri" w:hAnsi="Calibri"/>
          <w:b w:val="false"/>
          <w:bCs w:val="false"/>
          <w:i w:val="false"/>
          <w:iCs w:val="false"/>
          <w:color w:val="1A1A1A"/>
          <w:sz w:val="22"/>
          <w:szCs w:val="22"/>
        </w:rPr>
        <w:t xml:space="preserve">Niet alle classificaties zijn zichtbaar voor medewerkers. De volgende signalen zijn DPO-only:</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EU AI Act-signalen en interne governance-classificaties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Reviewlabels en DPO-aandachtsnotities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Interne escalatiemarkeringen</w:t>
      </w:r>
    </w:p>
    <w:p>
      <w:pPr>
        <w:spacing w:after="100" w:before="60" w:line="300"/>
        <w:jc w:val="left"/>
      </w:pPr>
      <w:r>
        <w:rPr>
          <w:rFonts w:ascii="Calibri" w:cs="Calibri" w:eastAsia="Calibri" w:hAnsi="Calibri"/>
          <w:b w:val="false"/>
          <w:bCs w:val="false"/>
          <w:i w:val="false"/>
          <w:iCs w:val="false"/>
          <w:color w:val="1A1A1A"/>
          <w:sz w:val="22"/>
          <w:szCs w:val="22"/>
        </w:rPr>
        <w:t xml:space="preserve">Dit houdt de survey voor medewerkers werkbaar en neutraal, terwijl u als DPO voldoende diepgang heeft voor triage.</w:t>
      </w:r>
    </w:p>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Hoe u de reviewwerkbak leest</w:t>
      </w:r>
    </w:p>
    <w:p>
      <w:pPr>
        <w:spacing w:after="100" w:before="60" w:line="300"/>
        <w:jc w:val="left"/>
      </w:pPr>
      <w:r>
        <w:rPr>
          <w:rFonts w:ascii="Calibri" w:cs="Calibri" w:eastAsia="Calibri" w:hAnsi="Calibri"/>
          <w:b w:val="false"/>
          <w:bCs w:val="false"/>
          <w:i w:val="false"/>
          <w:iCs w:val="false"/>
          <w:color w:val="1A1A1A"/>
          <w:sz w:val="22"/>
          <w:szCs w:val="22"/>
        </w:rPr>
        <w:t xml:space="preserve">Wanneer u de reviewlijst bekijkt, helpt het om per case drie vragen te stellen:</w:t>
      </w:r>
    </w:p>
    <w:p>
      <w:pPr>
        <w:spacing w:after="6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Komt deze case vooral uit beleidsstatus of een governance-instelling?</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Komt deze case uit een engine-trigger of een scorecombinatie?</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Is er een DPO-aandachtsnotitie of extra reden vastgelegd?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Die combinatie bepaalt wat de case vraagt:</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Signaal</w:t>
            </w:r>
          </w:p>
        </w:tc>
        <w:tc>
          <w:tcPr>
            <w:tcW w:type="dxa" w:w="54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Mogelijke actie</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Hoge shadow + lage exposure</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Beleidsbeslissing: toolstatus aanpassen of gebruik legitimeren</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Lage shadow + hoge exposure</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Databescherming: spelregels aanscherpen, bewustwording of alternatief</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Toxic combination (beide hoog)</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Directe review: gecombineerde actie op beleid én databescherming</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Hard-review trigger zonder hoge score</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Inhoudelijke beoordeling: is de context goed begrepen?</w:t>
            </w:r>
          </w:p>
        </w:tc>
      </w:tr>
      <w:tr>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DPO-duiding aanwezig</w:t>
            </w:r>
          </w:p>
        </w:tc>
        <w:tc>
          <w:tcPr>
            <w:tcW w:type="dxa" w:w="54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Volg de eigen prioriteringsreden — score is niet de enige maatstaf</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Praktische opvolging na de scan</w:t>
      </w:r>
    </w:p>
    <w:p>
      <w:pPr>
        <w:spacing w:after="100" w:before="60" w:line="300"/>
        <w:jc w:val="left"/>
      </w:pPr>
      <w:r>
        <w:rPr>
          <w:rFonts w:ascii="Calibri" w:cs="Calibri" w:eastAsia="Calibri" w:hAnsi="Calibri"/>
          <w:b w:val="false"/>
          <w:bCs w:val="false"/>
          <w:i w:val="false"/>
          <w:iCs w:val="false"/>
          <w:color w:val="1A1A1A"/>
          <w:sz w:val="22"/>
          <w:szCs w:val="22"/>
        </w:rPr>
        <w:t xml:space="preserve">Een logische werkwijze na een scanronde:</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Bekijk eerst de harde reviewitems (toxic combinations en hard-review triggers)</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Bekijk daarna de top risico-clusters per afdeling of tool</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Controleer of bepaalde toolstatussen moeten worden herzien — met name openstaande NIEUW-tools</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Identificeer waar training of heldere spelregels ontbreken</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Bepaal welke patronen vragen om licenties of veiliger alternatieven</w:t>
      </w:r>
    </w:p>
    <w:p>
      <w:pPr>
        <w:pStyle w:val="ListParagraph"/>
        <w:numPr>
          <w:ilvl w:val="0"/>
          <w:numId w:val="3"/>
        </w:numPr>
        <w:spacing w:after="40" w:before="40" w:line="276"/>
      </w:pPr>
      <w:r>
        <w:rPr>
          <w:rFonts w:ascii="Calibri" w:cs="Calibri" w:eastAsia="Calibri" w:hAnsi="Calibri"/>
          <w:b w:val="false"/>
          <w:bCs w:val="false"/>
          <w:i w:val="false"/>
          <w:iCs w:val="false"/>
          <w:color w:val="1A1A1A"/>
          <w:sz w:val="22"/>
          <w:szCs w:val="22"/>
        </w:rPr>
        <w:t xml:space="preserve">Leg vast welke interventies volgen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60" w:line="300"/>
        <w:jc w:val="left"/>
      </w:pPr>
      <w:r>
        <w:rPr>
          <w:rFonts w:ascii="Calibri" w:cs="Calibri" w:eastAsia="Calibri" w:hAnsi="Calibri"/>
          <w:b w:val="false"/>
          <w:bCs w:val="false"/>
          <w:i w:val="false"/>
          <w:iCs w:val="false"/>
          <w:color w:val="1A1A1A"/>
          <w:sz w:val="22"/>
          <w:szCs w:val="22"/>
        </w:rPr>
        <w:t xml:space="preserve">De uitkomsten zijn bruikbaar op vier niveaus:</w:t>
      </w:r>
    </w:p>
    <w:p>
      <w:pPr>
        <w:spacing w:after="6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Niveau</w:t>
            </w:r>
          </w:p>
        </w:tc>
        <w:tc>
          <w:tcPr>
            <w:tcW w:type="dxa" w:w="60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Voorbeeld</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Geaggregeerd reviewitem</w:t>
            </w:r>
          </w:p>
        </w:tc>
        <w:tc>
          <w:tcPr>
            <w:tcW w:type="dxa" w:w="6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Combinatie met hoge score, hard-review trigger of DPO-duiding</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Team of afdeling</w:t>
            </w:r>
          </w:p>
        </w:tc>
        <w:tc>
          <w:tcPr>
            <w:tcW w:type="dxa" w:w="6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Terugkerend patroon in HR, Finance of Operations</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Governance</w:t>
            </w:r>
          </w:p>
        </w:tc>
        <w:tc>
          <w:tcPr>
            <w:tcW w:type="dxa" w:w="6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Toolstatus aanpassen, richtlijnen aanscherpen</w:t>
            </w:r>
          </w:p>
        </w:tc>
      </w:tr>
      <w:tr>
        <w:tc>
          <w:tcPr>
            <w:tcW w:type="dxa" w:w="30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Organisatieontwikkeling</w:t>
            </w:r>
          </w:p>
        </w:tc>
        <w:tc>
          <w:tcPr>
            <w:tcW w:type="dxa" w:w="6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Training, licenties, veiliger alternatief of pilotgroep</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Wat de DPO beter niet doet</w:t>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C0392B" w:sz="6"/>
              <w:left w:val="none" w:color="FFFFFF" w:sz="0"/>
              <w:bottom w:val="none" w:color="FFFFFF" w:sz="0"/>
              <w:right w:val="none" w:color="FFFFFF" w:sz="0"/>
            </w:tcBorders>
            <w:shd w:fill="FADBD8" w:val="clear"/>
            <w:tcMar>
              <w:top w:type="dxa" w:w="160"/>
              <w:left w:type="dxa" w:w="200"/>
              <w:bottom w:type="dxa" w:w="160"/>
              <w:right w:type="dxa" w:w="200"/>
            </w:tcMar>
          </w:tcPr>
          <w:p>
            <w:pPr>
              <w:spacing w:after="80" w:before="0"/>
            </w:pPr>
            <w:r>
              <w:rPr>
                <w:rFonts w:ascii="Calibri" w:cs="Calibri" w:eastAsia="Calibri" w:hAnsi="Calibri"/>
                <w:b/>
                <w:bCs/>
                <w:i w:val="false"/>
                <w:iCs w:val="false"/>
                <w:color w:val="C0392B"/>
                <w:sz w:val="20"/>
                <w:szCs w:val="20"/>
              </w:rPr>
              <w:t xml:space="preserve">Valkuilen om te vermijden</w:t>
            </w:r>
          </w:p>
          <w:p>
            <w:pPr>
              <w:spacing w:after="30" w:before="30"/>
            </w:pPr>
            <w:r>
              <w:rPr>
                <w:rFonts w:ascii="Calibri" w:cs="Calibri" w:eastAsia="Calibri" w:hAnsi="Calibri"/>
                <w:b w:val="false"/>
                <w:bCs w:val="false"/>
                <w:i w:val="false"/>
                <w:iCs w:val="false"/>
                <w:color w:val="1A1A1A"/>
                <w:sz w:val="21"/>
                <w:szCs w:val="21"/>
              </w:rPr>
              <w:t xml:space="preserve">De scan behandelen als automatisch bewijs van overtreding</w:t>
            </w:r>
          </w:p>
          <w:p>
            <w:pPr>
              <w:spacing w:after="30" w:before="30"/>
            </w:pPr>
            <w:r>
              <w:rPr>
                <w:rFonts w:ascii="Calibri" w:cs="Calibri" w:eastAsia="Calibri" w:hAnsi="Calibri"/>
                <w:b w:val="false"/>
                <w:bCs w:val="false"/>
                <w:i w:val="false"/>
                <w:iCs w:val="false"/>
                <w:color w:val="1A1A1A"/>
                <w:sz w:val="21"/>
                <w:szCs w:val="21"/>
              </w:rPr>
              <w:t xml:space="preserve">Te snel individuele medewerkers aanspreken zonder patroonduiding</w:t>
            </w:r>
          </w:p>
          <w:p>
            <w:pPr>
              <w:spacing w:after="30" w:before="30"/>
            </w:pPr>
            <w:r>
              <w:rPr>
                <w:rFonts w:ascii="Calibri" w:cs="Calibri" w:eastAsia="Calibri" w:hAnsi="Calibri"/>
                <w:b w:val="false"/>
                <w:bCs w:val="false"/>
                <w:i w:val="false"/>
                <w:iCs w:val="false"/>
                <w:color w:val="1A1A1A"/>
                <w:sz w:val="21"/>
                <w:szCs w:val="21"/>
              </w:rPr>
              <w:t xml:space="preserve">Alle onbekende tools meteen als even ernstig behandelen</w:t>
            </w:r>
          </w:p>
          <w:p>
            <w:pPr>
              <w:spacing w:after="30" w:before="30"/>
            </w:pPr>
            <w:r>
              <w:rPr>
                <w:rFonts w:ascii="Calibri" w:cs="Calibri" w:eastAsia="Calibri" w:hAnsi="Calibri"/>
                <w:b w:val="false"/>
                <w:bCs w:val="false"/>
                <w:i w:val="false"/>
                <w:iCs w:val="false"/>
                <w:color w:val="1A1A1A"/>
                <w:sz w:val="21"/>
                <w:szCs w:val="21"/>
              </w:rPr>
              <w:t xml:space="preserve">Alleen op verbieden sturen zonder veilige alternatieven te organiseren</w:t>
            </w:r>
          </w:p>
          <w:p>
            <w:pPr>
              <w:spacing w:after="30" w:before="30"/>
            </w:pPr>
            <w:r>
              <w:rPr>
                <w:rFonts w:ascii="Calibri" w:cs="Calibri" w:eastAsia="Calibri" w:hAnsi="Calibri"/>
                <w:b w:val="false"/>
                <w:bCs w:val="false"/>
                <w:i w:val="false"/>
                <w:iCs w:val="false"/>
                <w:color w:val="1A1A1A"/>
                <w:sz w:val="21"/>
                <w:szCs w:val="21"/>
              </w:rPr>
              <w:t xml:space="preserve">Dashboardinformatie verwarren met juridisch eindbewijs</w:t>
            </w:r>
          </w:p>
        </w:tc>
      </w:tr>
    </w:tbl>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Herhaalde scanrondes</w:t>
      </w:r>
    </w:p>
    <w:p>
      <w:pPr>
        <w:spacing w:after="100" w:before="60" w:line="300"/>
        <w:jc w:val="left"/>
      </w:pPr>
      <w:r>
        <w:rPr>
          <w:rFonts w:ascii="Calibri" w:cs="Calibri" w:eastAsia="Calibri" w:hAnsi="Calibri"/>
          <w:b w:val="false"/>
          <w:bCs w:val="false"/>
          <w:i w:val="false"/>
          <w:iCs w:val="false"/>
          <w:color w:val="1A1A1A"/>
          <w:sz w:val="22"/>
          <w:szCs w:val="22"/>
        </w:rPr>
        <w:t xml:space="preserve">Sommige organisaties willen de scan als nulmeting en later als voortgangsmeting herhalen. Dat is zinvol, maar alleen wanneer er ook een veranderdoel achter zit.</w:t>
      </w:r>
    </w:p>
    <w:p>
      <w:pPr>
        <w:pStyle w:val="Heading2"/>
        <w:spacing w:after="120" w:before="300"/>
      </w:pPr>
      <w:r>
        <w:rPr>
          <w:rFonts w:ascii="Calibri" w:cs="Calibri" w:eastAsia="Calibri" w:hAnsi="Calibri"/>
          <w:b/>
          <w:bCs/>
          <w:color w:val="2563A8"/>
          <w:sz w:val="28"/>
          <w:szCs w:val="28"/>
        </w:rPr>
        <w:t xml:space="preserve">Wanneer herhaling waardevol is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Als nulmeting vóór een interventie (nieuw beleid, training, licentie-uitrol)</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Als voortgangsmeting ná de interventie — om effect te meten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Als periodieke governance-check binnen een jaarcyclus</w:t>
      </w:r>
    </w:p>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2563A8" w:sz="6"/>
              <w:left w:val="none" w:color="FFFFFF" w:sz="0"/>
              <w:bottom w:val="none" w:color="FFFFFF" w:sz="0"/>
              <w:right w:val="none" w:color="FFFFFF" w:sz="0"/>
            </w:tcBorders>
            <w:shd w:fill="D6E4F0" w:val="clear"/>
            <w:tcMar>
              <w:top w:type="dxa" w:w="160"/>
              <w:left w:type="dxa" w:w="200"/>
              <w:bottom w:type="dxa" w:w="160"/>
              <w:right w:type="dxa" w:w="200"/>
            </w:tcMar>
          </w:tcPr>
          <w:p>
            <w:pPr>
              <w:spacing w:after="60" w:before="0"/>
            </w:pPr>
            <w:r>
              <w:rPr>
                <w:rFonts w:ascii="Calibri" w:cs="Calibri" w:eastAsia="Calibri" w:hAnsi="Calibri"/>
                <w:b/>
                <w:bCs/>
                <w:i w:val="false"/>
                <w:iCs w:val="false"/>
                <w:color w:val="2563A8"/>
                <w:sz w:val="20"/>
                <w:szCs w:val="20"/>
              </w:rPr>
              <w:t xml:space="preserve">Principe: elke ronde is een aparte momentopname</w:t>
            </w:r>
          </w:p>
          <w:p>
            <w:pPr>
              <w:spacing w:after="0" w:before="0"/>
            </w:pPr>
            <w:r>
              <w:rPr>
                <w:rFonts w:ascii="Calibri" w:cs="Calibri" w:eastAsia="Calibri" w:hAnsi="Calibri"/>
                <w:b w:val="false"/>
                <w:bCs w:val="false"/>
                <w:i w:val="false"/>
                <w:iCs w:val="false"/>
                <w:color w:val="1A1A1A"/>
                <w:sz w:val="21"/>
                <w:szCs w:val="21"/>
              </w:rPr>
              <w:t xml:space="preserve">Een nieuwe scanronde overschrijft de vorige niet. Januari blijft bewaard als bevroren snapshot; september wordt als nieuwe meetronde opgeslagen. Vergelijking gebeurt achteraf op geaggregeerd niveau. Dit is essentieel voor audittrail en bestuurlijke uitlegbaarheid.</w:t>
            </w:r>
          </w:p>
        </w:tc>
      </w:tr>
    </w:tbl>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120" w:before="300"/>
      </w:pPr>
      <w:r>
        <w:rPr>
          <w:rFonts w:ascii="Calibri" w:cs="Calibri" w:eastAsia="Calibri" w:hAnsi="Calibri"/>
          <w:b/>
          <w:bCs/>
          <w:color w:val="2563A8"/>
          <w:sz w:val="28"/>
          <w:szCs w:val="28"/>
        </w:rPr>
        <w:t xml:space="preserve">Wat u bij herhaling kunt vergelijken</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Neemt shadow-gebruik af?</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Nemen privé-accounts af?</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Nemen gevoelige combinaties af?</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Stijgt policy awareness?</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Verschuift de reviewdruk?</w:t>
      </w:r>
    </w:p>
    <w:p>
      <w:pPr>
        <w:pStyle w:val="ListParagraph"/>
        <w:numPr>
          <w:ilvl w:val="0"/>
          <w:numId w:val="2"/>
        </w:numPr>
        <w:spacing w:after="40" w:before="40" w:line="276"/>
      </w:pPr>
      <w:r>
        <w:rPr>
          <w:rFonts w:ascii="Calibri" w:cs="Calibri" w:eastAsia="Calibri" w:hAnsi="Calibri"/>
          <w:b w:val="false"/>
          <w:bCs w:val="false"/>
          <w:i w:val="false"/>
          <w:iCs w:val="false"/>
          <w:color w:val="1A1A1A"/>
          <w:sz w:val="22"/>
          <w:szCs w:val="22"/>
        </w:rPr>
        <w:t xml:space="preserve">Blijven bepaalde afdelingen achter of verbeteren ze juist?</w:t>
      </w:r>
    </w:p>
    <w:p>
      <w:pPr>
        <w:spacing w:after="120" w:before="0"/>
      </w:pPr>
      <w:r>
        <w:rPr>
          <w:rFonts w:ascii="Calibri" w:cs="Calibri" w:eastAsia="Calibri" w:hAnsi="Calibri"/>
          <w:b w:val="false"/>
          <w:bCs w:val="false"/>
          <w:i w:val="false"/>
          <w:iCs w:val="false"/>
          <w:color w:val="1A1A1A"/>
          <w:sz w:val="22"/>
          <w:szCs w:val="22"/>
        </w:rPr>
        <w:t xml:space="preserve"/>
      </w:r>
    </w:p>
    <w:p>
      <w:pPr>
        <w:pStyle w:val="Heading1"/>
        <w:pBdr>
          <w:bottom w:val="single" w:color="2563A8" w:sz="6" w:space="6"/>
        </w:pBdr>
        <w:spacing w:after="160" w:before="400"/>
      </w:pPr>
      <w:r>
        <w:rPr>
          <w:rFonts w:ascii="Calibri" w:cs="Calibri" w:eastAsia="Calibri" w:hAnsi="Calibri"/>
          <w:b/>
          <w:bCs/>
          <w:color w:val="1B3A5C"/>
          <w:sz w:val="36"/>
          <w:szCs w:val="36"/>
        </w:rPr>
        <w:t xml:space="preserve">Samenvatting</w:t>
      </w:r>
    </w:p>
    <w:p>
      <w:pPr>
        <w:spacing w:after="100" w:before="60" w:line="300"/>
        <w:jc w:val="left"/>
      </w:pPr>
      <w:r>
        <w:rPr>
          <w:rFonts w:ascii="Calibri" w:cs="Calibri" w:eastAsia="Calibri" w:hAnsi="Calibri"/>
          <w:b w:val="false"/>
          <w:bCs w:val="false"/>
          <w:i w:val="false"/>
          <w:iCs w:val="false"/>
          <w:color w:val="1A1A1A"/>
          <w:sz w:val="22"/>
          <w:szCs w:val="22"/>
        </w:rPr>
        <w:t xml:space="preserve">De Shadow AI Scan helpt u als DPO om van aannames naar zicht te gaan. Niet door medewerkers af te schrikken, maar door disclosure, inventarisatie en governance slim te combineren.</w:t>
      </w:r>
    </w:p>
    <w:p>
      <w:pPr>
        <w:spacing w:after="100" w:before="60" w:line="300"/>
        <w:jc w:val="left"/>
      </w:pPr>
      <w:r>
        <w:rPr>
          <w:rFonts w:ascii="Calibri" w:cs="Calibri" w:eastAsia="Calibri" w:hAnsi="Calibri"/>
          <w:b w:val="false"/>
          <w:bCs w:val="false"/>
          <w:i w:val="false"/>
          <w:iCs w:val="false"/>
          <w:color w:val="1A1A1A"/>
          <w:sz w:val="22"/>
          <w:szCs w:val="22"/>
        </w:rPr>
        <w:t xml:space="preserve">De kern is dat risico niet in de tool zit, maar in het gebruik. Juist daarom zijn goede configuratie, duidelijke communicatie en zorgvuldige opvolging zo belangrijk.</w:t>
      </w:r>
    </w:p>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026"/>
      </w:tblGrid>
      <w:tr>
        <w:tc>
          <w:tcPr>
            <w:tcW w:type="dxa" w:w="24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Wat de scan meet</w:t>
            </w:r>
          </w:p>
        </w:tc>
        <w:tc>
          <w:tcPr>
            <w:tcW w:type="dxa" w:w="3600"/>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Hoe u het leest</w:t>
            </w:r>
          </w:p>
        </w:tc>
        <w:tc>
          <w:tcPr>
            <w:tcW w:type="dxa" w:w="3026"/>
            <w:tcBorders>
              <w:top w:val="single" w:color="D0D5DD" w:sz="1"/>
              <w:left w:val="single" w:color="D0D5DD" w:sz="1"/>
              <w:bottom w:val="single" w:color="D0D5DD" w:sz="1"/>
              <w:right w:val="single" w:color="D0D5DD" w:sz="1"/>
            </w:tcBorders>
            <w:shd w:fill="D6E4F0" w:val="clear"/>
            <w:tcMar>
              <w:top w:type="dxa" w:w="80"/>
              <w:left w:type="dxa" w:w="140"/>
              <w:bottom w:type="dxa" w:w="80"/>
              <w:right w:type="dxa" w:w="140"/>
            </w:tcMar>
          </w:tcPr>
          <w:p>
            <w:pPr>
              <w:spacing w:after="0" w:before="0"/>
            </w:pPr>
            <w:r>
              <w:rPr>
                <w:rFonts w:ascii="Calibri" w:cs="Calibri" w:eastAsia="Calibri" w:hAnsi="Calibri"/>
                <w:b/>
                <w:bCs/>
                <w:i w:val="false"/>
                <w:iCs w:val="false"/>
                <w:color w:val="1B3A5C"/>
                <w:sz w:val="20"/>
                <w:szCs w:val="20"/>
              </w:rPr>
              <w:t xml:space="preserve">Wat u ermee doet</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Shadow-score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Governance-afwijking op basis van beleidsstatus</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Toolstatus herzien of handhaven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Exposure-score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Datablootstelling en gebruikscontext</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Spelregels, training of alternatief</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Priority-score</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Gecombineerde triageprioriteit</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 inplannen, escaleren of monitoren</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Toxic combination</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Beide assen hoog — directe urgentie</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Directe actie op beleid én databescherming</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Review-trigger</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Engine-signaal dat menselijke beoordeling vraagt</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Beoordelen — niet automatisch een overtreding</w:t>
            </w:r>
          </w:p>
        </w:tc>
      </w:tr>
      <w:tr>
        <w:tc>
          <w:tcPr>
            <w:tcW w:type="dxa" w:w="24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NIEUW-status tool</w:t>
            </w:r>
          </w:p>
        </w:tc>
        <w:tc>
          <w:tcPr>
            <w:tcW w:type="dxa" w:w="36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Onbehandelde toolstatus in KPI</w:t>
            </w:r>
          </w:p>
        </w:tc>
        <w:tc>
          <w:tcPr>
            <w:tcW w:type="dxa" w:w="3026"/>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pPr>
              <w:spacing w:after="0" w:before="0"/>
            </w:pPr>
            <w:r>
              <w:rPr>
                <w:rFonts w:ascii="Calibri" w:cs="Calibri" w:eastAsia="Calibri" w:hAnsi="Calibri"/>
                <w:b w:val="false"/>
                <w:bCs w:val="false"/>
                <w:i w:val="false"/>
                <w:iCs w:val="false"/>
                <w:color w:val="1A1A1A"/>
                <w:sz w:val="20"/>
                <w:szCs w:val="20"/>
              </w:rPr>
              <w:t xml:space="preserve">Beleidsstatus toekennen vóór volgende ronde</w:t>
            </w:r>
          </w:p>
        </w:tc>
      </w:tr>
    </w:tbl>
    <w:p>
      <w:pPr>
        <w:spacing w:after="80" w:before="0"/>
      </w:pPr>
      <w:r>
        <w:rPr>
          <w:rFonts w:ascii="Calibri" w:cs="Calibri" w:eastAsia="Calibri" w:hAnsi="Calibri"/>
          <w:b w:val="false"/>
          <w:bCs w:val="false"/>
          <w:i w:val="false"/>
          <w:iCs w:val="false"/>
          <w:color w:val="1A1A1A"/>
          <w:sz w:val="22"/>
          <w:szCs w:val="22"/>
        </w:rPr>
        <w:t xml:space="preserve"/>
      </w:r>
    </w:p>
    <w:tbl>
      <w:tblPr>
        <w:tblW w:type="dxa" w:w="9026"/>
        <w:tblBorders>
          <w:top w:val="none" w:color="FFFFFF" w:sz="0"/>
          <w:left w:val="none" w:color="FFFFFF" w:sz="0"/>
          <w:bottom w:val="none" w:color="FFFFFF" w:sz="0"/>
          <w:right w:val="none" w:color="FFFFFF" w:sz="0"/>
          <w:insideH w:val="single" w:color="auto" w:sz="4"/>
          <w:insideV w:val="single" w:color="auto" w:sz="4"/>
        </w:tblBorders>
      </w:tblPr>
      <w:tblGrid>
        <w:gridCol w:w="9026"/>
      </w:tblGrid>
      <w:tr>
        <w:tc>
          <w:tcPr>
            <w:tcW w:type="dxa" w:w="9026"/>
            <w:tcBorders>
              <w:top w:val="single" w:color="0F7173" w:sz="6"/>
              <w:left w:val="none" w:color="FFFFFF" w:sz="0"/>
              <w:bottom w:val="none" w:color="FFFFFF" w:sz="0"/>
              <w:right w:val="none" w:color="FFFFFF" w:sz="0"/>
            </w:tcBorders>
            <w:shd w:fill="D4EDEC" w:val="clear"/>
            <w:tcMar>
              <w:top w:type="dxa" w:w="160"/>
              <w:left w:type="dxa" w:w="200"/>
              <w:bottom w:type="dxa" w:w="160"/>
              <w:right w:type="dxa" w:w="200"/>
            </w:tcMar>
          </w:tcPr>
          <w:p>
            <w:pPr>
              <w:spacing w:after="60" w:before="0"/>
            </w:pPr>
            <w:r>
              <w:rPr>
                <w:rFonts w:ascii="Calibri" w:cs="Calibri" w:eastAsia="Calibri" w:hAnsi="Calibri"/>
                <w:b/>
                <w:bCs/>
                <w:i w:val="false"/>
                <w:iCs w:val="false"/>
                <w:color w:val="0F7173"/>
                <w:sz w:val="20"/>
                <w:szCs w:val="20"/>
              </w:rPr>
              <w:t xml:space="preserve">Tot slot</w:t>
            </w:r>
          </w:p>
          <w:p>
            <w:pPr>
              <w:spacing w:after="0" w:before="0"/>
            </w:pPr>
            <w:r>
              <w:rPr>
                <w:rFonts w:ascii="Calibri" w:cs="Calibri" w:eastAsia="Calibri" w:hAnsi="Calibri"/>
                <w:b w:val="false"/>
                <w:bCs w:val="false"/>
                <w:i w:val="false"/>
                <w:iCs w:val="false"/>
                <w:color w:val="1A1A1A"/>
                <w:sz w:val="21"/>
                <w:szCs w:val="21"/>
              </w:rPr>
              <w:t xml:space="preserve">De scan is geen eindpunt maar een startpunt. Hij maakt zichtbaar waar governance-werk nodig is — en biedt tegelijk een route naar volwassen, proportionele AI-governance in uw organisatie.</w:t>
            </w:r>
          </w:p>
        </w:tc>
      </w:tr>
    </w:tbl>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2" w:space="6"/>
      </w:pBdr>
      <w:spacing w:after="0" w:before="60"/>
      <w:jc w:val="right"/>
    </w:pPr>
    <w:r>
      <w:rPr>
        <w:rFonts w:ascii="Calibri" w:cs="Calibri" w:eastAsia="Calibri" w:hAnsi="Calibri"/>
        <w:color w:val="595959"/>
        <w:sz w:val="18"/>
        <w:szCs w:val="18"/>
      </w:rPr>
      <w:t xml:space="preserve">Versie 8.1  ·  Intern gebruik  ·  Pagina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D" w:sz="2" w:space="6"/>
      </w:pBdr>
      <w:spacing w:after="60" w:before="0"/>
    </w:pPr>
    <w:r>
      <w:rPr>
        <w:rFonts w:ascii="Calibri" w:cs="Calibri" w:eastAsia="Calibri" w:hAnsi="Calibri"/>
        <w:color w:val="595959"/>
        <w:sz w:val="18"/>
        <w:szCs w:val="18"/>
      </w:rPr>
      <w:t xml:space="preserve">Shadow AI Scan  ·  Handleiding voor de DPO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B3A5C"/>
      <w:sz w:val="36"/>
      <w:szCs w:val="36"/>
    </w:rPr>
  </w:style>
  <w:style w:type="paragraph" w:styleId="Heading2">
    <w:name w:val="Heading 2"/>
    <w:basedOn w:val="Normal"/>
    <w:next w:val="Normal"/>
    <w:qFormat/>
    <w:pPr>
      <w:spacing w:after="120" w:before="300"/>
      <w:outlineLvl w:val="1"/>
    </w:pPr>
    <w:rPr>
      <w:rFonts w:ascii="Calibri" w:cs="Calibri" w:eastAsia="Calibri" w:hAnsi="Calibri"/>
      <w:b/>
      <w:bCs/>
      <w:color w:val="2563A8"/>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2026-05-03T09:44:12.873Z</dcterms:created>
  <dcterms:modified xsi:type="dcterms:W3CDTF">2026-05-03T09:44:12.873Z</dcterms:modified>
</cp:coreProperties>
</file>

<file path=docProps/custom.xml><?xml version="1.0" encoding="utf-8"?>
<Properties xmlns="http://schemas.openxmlformats.org/officeDocument/2006/custom-properties" xmlns:vt="http://schemas.openxmlformats.org/officeDocument/2006/docPropsVTypes"/>
</file>