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86AB"/>
          <w:sz w:val="36"/>
          <w:szCs w:val="36"/>
        </w:rPr>
        <w:t xml:space="preserve">EXECUTIVE SUMMARY</w:t>
      </w:r>
    </w:p>
    <w:p>
      <w:pPr>
        <w:pBdr>
          <w:bottom w:val="single" w:color="2E86AB" w:sz="8" w:space="4"/>
        </w:pBdr>
        <w:spacing w:after="80" w:before="0"/>
        <w:jc w:val="center"/>
      </w:pPr>
      <w:r>
        <w:rPr>
          <w:rFonts w:ascii="Arial" w:cs="Arial" w:eastAsia="Arial" w:hAnsi="Arial"/>
          <w:b/>
          <w:bCs/>
          <w:color w:val="1a1f2e"/>
          <w:sz w:val="28"/>
          <w:szCs w:val="28"/>
        </w:rPr>
        <w:t xml:space="preserve">Machine Learning-based Late Delivery Risk Prediction in Global Supply Chain Operations</w:t>
      </w:r>
    </w:p>
    <w:p>
      <w:pPr>
        <w:spacing w:after="80" w:before="80"/>
      </w:pPr>
      <w:r>
        <w:t xml:space="preserve"/>
      </w:r>
    </w:p>
    <w:p>
      <w:pPr>
        <w:spacing w:after="60" w:before="0"/>
        <w:jc w:val="center"/>
      </w:pPr>
      <w:r>
        <w:rPr>
          <w:rFonts w:ascii="Arial" w:cs="Arial" w:eastAsia="Arial" w:hAnsi="Arial"/>
          <w:color w:val="444444"/>
          <w:sz w:val="22"/>
          <w:szCs w:val="22"/>
        </w:rPr>
        <w:t xml:space="preserve">Prepared for: APL Logistics (KWE Group)</w:t>
      </w:r>
    </w:p>
    <w:p>
      <w:pPr>
        <w:spacing w:after="60" w:before="0"/>
        <w:jc w:val="center"/>
      </w:pPr>
      <w:r>
        <w:rPr>
          <w:rFonts w:ascii="Arial" w:cs="Arial" w:eastAsia="Arial" w:hAnsi="Arial"/>
          <w:color w:val="444444"/>
          <w:sz w:val="22"/>
          <w:szCs w:val="22"/>
        </w:rPr>
        <w:t xml:space="preserve">Platform: Unified Mentor Private Limited</w:t>
      </w:r>
    </w:p>
    <w:p>
      <w:pPr>
        <w:spacing w:after="60" w:before="0"/>
        <w:jc w:val="center"/>
      </w:pPr>
      <w:r>
        <w:rPr>
          <w:rFonts w:ascii="Arial" w:cs="Arial" w:eastAsia="Arial" w:hAnsi="Arial"/>
          <w:color w:val="444444"/>
          <w:sz w:val="22"/>
          <w:szCs w:val="22"/>
        </w:rPr>
        <w:t xml:space="preserve">Prepared by: Sugnik Mondal | Data Science Intern</w:t>
      </w:r>
    </w:p>
    <w:p>
      <w:pPr>
        <w:spacing w:after="200" w:before="0"/>
        <w:jc w:val="center"/>
      </w:pPr>
      <w:r>
        <w:rPr>
          <w:rFonts w:ascii="Arial" w:cs="Arial" w:eastAsia="Arial" w:hAnsi="Arial"/>
          <w:color w:val="444444"/>
          <w:sz w:val="22"/>
          <w:szCs w:val="22"/>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Model</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XGBoost Classifier (Tuned)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97.87%</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ROC-AUC Score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0.9972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99.80%</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Precision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96.44%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98.09%</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Orders Analyzed</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180,517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36,104 orders</w:t>
            </w:r>
          </w:p>
        </w:tc>
      </w:tr>
    </w:tbl>
    <w:p>
      <w:pPr>
        <w:spacing w:after="80" w:before="80"/>
      </w:pPr>
      <w:r>
        <w:t xml:space="preserve"/>
      </w:r>
    </w:p>
    <w:p>
      <w:pPr>
        <w:pStyle w:val="Heading1"/>
        <w:pBdr>
          <w:bottom w:val="single" w:color="2E86AB" w:sz="6" w:space="4"/>
        </w:pBdr>
        <w:spacing w:after="160" w:before="320"/>
      </w:pPr>
      <w:r>
        <w:rPr>
          <w:rFonts w:ascii="Arial" w:cs="Arial" w:eastAsia="Arial" w:hAnsi="Arial"/>
          <w:b/>
          <w:bCs/>
          <w:color w:val="2E86AB"/>
          <w:sz w:val="28"/>
          <w:szCs w:val="28"/>
        </w:rPr>
        <w:t xml:space="preserve">1. Project Overview</w:t>
      </w:r>
    </w:p>
    <w:p>
      <w:pPr>
        <w:spacing w:after="80" w:before="80" w:line="360"/>
      </w:pPr>
      <w:r>
        <w:rPr>
          <w:rFonts w:ascii="Arial" w:cs="Arial" w:eastAsia="Arial" w:hAnsi="Arial"/>
          <w:sz w:val="22"/>
          <w:szCs w:val="22"/>
        </w:rPr>
        <w:t xml:space="preserve">Late deliveries in global logistics networks cause SLA breaches, financial penalties, and long-term customer churn. For APL Logistics (KWE Group), managing delivery risk across five global markets — Europe, LATAM, USCA, Pacific Asia, and Africa — spanning over 180,000 orders presents a significant operational challenge.</w:t>
      </w:r>
    </w:p>
    <w:p>
      <w:pPr>
        <w:spacing w:after="80" w:before="80"/>
      </w:pPr>
      <w:r>
        <w:t xml:space="preserve"/>
      </w:r>
    </w:p>
    <w:p>
      <w:pPr>
        <w:spacing w:after="80" w:before="80" w:line="360"/>
      </w:pPr>
      <w:r>
        <w:rPr>
          <w:rFonts w:ascii="Arial" w:cs="Arial" w:eastAsia="Arial" w:hAnsi="Arial"/>
          <w:sz w:val="22"/>
          <w:szCs w:val="22"/>
        </w:rPr>
        <w:t xml:space="preserve">This project delivers a machine learning-based predictive intelligence system that flags orders likely to be delayed before they are dispatched. By analyzing order, shipping, and operational attributes, the system computes a Late Delivery Probability Score for each order and classifies it into Low, Medium, or High Risk — enabling operations teams to take proactive action before delays occur.</w:t>
      </w:r>
    </w:p>
    <w:p>
      <w:pPr>
        <w:spacing w:after="80" w:before="80"/>
      </w:pPr>
      <w:r>
        <w:t xml:space="preserve"/>
      </w:r>
    </w:p>
    <w:p>
      <w:pPr>
        <w:spacing w:after="80" w:before="80" w:line="360"/>
      </w:pPr>
      <w:r>
        <w:rPr>
          <w:rFonts w:ascii="Arial" w:cs="Arial" w:eastAsia="Arial" w:hAnsi="Arial"/>
          <w:sz w:val="22"/>
          <w:szCs w:val="22"/>
        </w:rPr>
        <w:t xml:space="preserve">The system is deployed as a professional Streamlit web application accessible to supply chain managers, logistics analysts, warehouse operations teams, and dispatch coordinators within APL Logistics' internal operations.</w:t>
      </w:r>
    </w:p>
    <w:p>
      <w:pPr>
        <w:pStyle w:val="Heading1"/>
        <w:pBdr>
          <w:bottom w:val="single" w:color="2E86AB" w:sz="6" w:space="4"/>
        </w:pBdr>
        <w:spacing w:after="160" w:before="320"/>
      </w:pPr>
      <w:r>
        <w:rPr>
          <w:rFonts w:ascii="Arial" w:cs="Arial" w:eastAsia="Arial" w:hAnsi="Arial"/>
          <w:b/>
          <w:bCs/>
          <w:color w:val="2E86AB"/>
          <w:sz w:val="28"/>
          <w:szCs w:val="28"/>
        </w:rPr>
        <w:t xml:space="preserve">2. Business Problem</w:t>
      </w:r>
    </w:p>
    <w:p>
      <w:pPr>
        <w:spacing w:after="80" w:before="80" w:line="360"/>
      </w:pPr>
      <w:r>
        <w:rPr>
          <w:rFonts w:ascii="Arial" w:cs="Arial" w:eastAsia="Arial" w:hAnsi="Arial"/>
          <w:sz w:val="22"/>
          <w:szCs w:val="22"/>
        </w:rPr>
        <w:t xml:space="preserve">APL Logistics currently operates in a reactive delay management model. The key challenges are: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Unpredictable shipment delays across global markets with no early warning system</w:t>
      </w:r>
    </w:p>
    <w:p>
      <w:pPr>
        <w:pStyle w:val="ListParagraph"/>
        <w:numPr>
          <w:ilvl w:val="0"/>
          <w:numId w:val="2"/>
        </w:numPr>
        <w:spacing w:after="60" w:before="60"/>
      </w:pPr>
      <w:r>
        <w:rPr>
          <w:rFonts w:ascii="Arial" w:cs="Arial" w:eastAsia="Arial" w:hAnsi="Arial"/>
          <w:sz w:val="22"/>
          <w:szCs w:val="22"/>
        </w:rPr>
        <w:t xml:space="preserve">High operational cost of last-minute interventions — emergency rerouting, expedited handling, and customer compensation</w:t>
      </w:r>
    </w:p>
    <w:p>
      <w:pPr>
        <w:pStyle w:val="ListParagraph"/>
        <w:numPr>
          <w:ilvl w:val="0"/>
          <w:numId w:val="2"/>
        </w:numPr>
        <w:spacing w:after="60" w:before="60"/>
      </w:pPr>
      <w:r>
        <w:rPr>
          <w:rFonts w:ascii="Arial" w:cs="Arial" w:eastAsia="Arial" w:hAnsi="Arial"/>
          <w:sz w:val="22"/>
          <w:szCs w:val="22"/>
        </w:rPr>
        <w:t xml:space="preserve">No quantitative risk scores for proactive operational planning</w:t>
      </w:r>
    </w:p>
    <w:p>
      <w:pPr>
        <w:pStyle w:val="ListParagraph"/>
        <w:numPr>
          <w:ilvl w:val="0"/>
          <w:numId w:val="2"/>
        </w:numPr>
        <w:spacing w:after="60" w:before="60"/>
      </w:pPr>
      <w:r>
        <w:rPr>
          <w:rFonts w:ascii="Arial" w:cs="Arial" w:eastAsia="Arial" w:hAnsi="Arial"/>
          <w:sz w:val="22"/>
          <w:szCs w:val="22"/>
        </w:rPr>
        <w:t xml:space="preserve">Limited visibility into which factors drive delays for specific orders</w:t>
      </w:r>
    </w:p>
    <w:p>
      <w:pPr>
        <w:pStyle w:val="ListParagraph"/>
        <w:numPr>
          <w:ilvl w:val="0"/>
          <w:numId w:val="2"/>
        </w:numPr>
        <w:spacing w:after="60" w:before="60"/>
      </w:pPr>
      <w:r>
        <w:rPr>
          <w:rFonts w:ascii="Arial" w:cs="Arial" w:eastAsia="Arial" w:hAnsi="Arial"/>
          <w:sz w:val="22"/>
          <w:szCs w:val="22"/>
        </w:rPr>
        <w:t xml:space="preserve">Inability to prioritize high-risk orders before dispatch</w:t>
      </w:r>
    </w:p>
    <w:p>
      <w:pPr>
        <w:spacing w:after="80" w:before="80"/>
      </w:pPr>
      <w:r>
        <w:t xml:space="preserve"/>
      </w:r>
    </w:p>
    <w:p>
      <w:pPr>
        <w:spacing w:after="80" w:before="80" w:line="360"/>
      </w:pPr>
      <w:r>
        <w:rPr>
          <w:rFonts w:ascii="Arial" w:cs="Arial" w:eastAsia="Arial" w:hAnsi="Arial"/>
          <w:sz w:val="22"/>
          <w:szCs w:val="22"/>
        </w:rPr>
        <w:t xml:space="preserve">The core question this project answers: Which orders are likely to be delayed before they are shipped?</w:t>
      </w:r>
    </w:p>
    <w:p>
      <w:pPr>
        <w:pStyle w:val="Heading1"/>
        <w:pBdr>
          <w:bottom w:val="single" w:color="2E86AB" w:sz="6" w:space="4"/>
        </w:pBdr>
        <w:spacing w:after="160" w:before="320"/>
      </w:pPr>
      <w:r>
        <w:rPr>
          <w:rFonts w:ascii="Arial" w:cs="Arial" w:eastAsia="Arial" w:hAnsi="Arial"/>
          <w:b/>
          <w:bCs/>
          <w:color w:val="2E86AB"/>
          <w:sz w:val="28"/>
          <w:szCs w:val="28"/>
        </w:rPr>
        <w:t xml:space="preserve">3. Dataset and Methodology</w:t>
      </w:r>
    </w:p>
    <w:p>
      <w:pPr>
        <w:pStyle w:val="Heading2"/>
        <w:spacing w:after="120" w:before="240"/>
      </w:pPr>
      <w:r>
        <w:rPr>
          <w:rFonts w:ascii="Arial" w:cs="Arial" w:eastAsia="Arial" w:hAnsi="Arial"/>
          <w:b/>
          <w:bCs/>
          <w:color w:val="1a1f2e"/>
          <w:sz w:val="24"/>
          <w:szCs w:val="24"/>
        </w:rPr>
        <w:t xml:space="preserve">3.1 Dataset</w:t>
      </w:r>
    </w:p>
    <w:p>
      <w:pPr>
        <w:spacing w:after="80" w:before="80" w:line="360"/>
      </w:pPr>
      <w:r>
        <w:rPr>
          <w:rFonts w:ascii="Arial" w:cs="Arial" w:eastAsia="Arial" w:hAnsi="Arial"/>
          <w:sz w:val="22"/>
          <w:szCs w:val="22"/>
        </w:rPr>
        <w:t xml:space="preserve">The DataCo Smart Supply Chain dataset was used — a comprehensive transactional dataset from APL Logistics' global operations containing order, shipping, customer, and product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Raw Records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180,519 rows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Cleaning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180,517 rows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Features (raw)</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40 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(after cleaning)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columns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Engineered Features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 new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Late_delivery_risk (1 = Late, 0 = Not Late)</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Class Distribution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54.83% Late, 45.17% Not Late</w:t>
            </w:r>
          </w:p>
        </w:tc>
      </w:tr>
    </w:tbl>
    <w:p>
      <w:pPr>
        <w:spacing w:after="80" w:before="80"/>
      </w:pPr>
      <w:r>
        <w:t xml:space="preserve"/>
      </w:r>
    </w:p>
    <w:p>
      <w:pPr>
        <w:pStyle w:val="Heading2"/>
        <w:spacing w:after="120" w:before="240"/>
      </w:pPr>
      <w:r>
        <w:rPr>
          <w:rFonts w:ascii="Arial" w:cs="Arial" w:eastAsia="Arial" w:hAnsi="Arial"/>
          <w:b/>
          <w:bCs/>
          <w:color w:val="1a1f2e"/>
          <w:sz w:val="24"/>
          <w:szCs w:val="24"/>
        </w:rPr>
        <w:t xml:space="preserve">3.2 Data Cleaning</w:t>
      </w:r>
    </w:p>
    <w:p>
      <w:pPr>
        <w:spacing w:after="80" w:before="80" w:line="360"/>
      </w:pPr>
      <w:r>
        <w:rPr>
          <w:rFonts w:ascii="Arial" w:cs="Arial" w:eastAsia="Arial" w:hAnsi="Arial"/>
          <w:sz w:val="22"/>
          <w:szCs w:val="22"/>
        </w:rPr>
        <w:t xml:space="preserve">Two columns were identified as data leakage — information that would not be available at prediction time: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Delivery Status — Cramér's V of 1.00 with the target. A post-event label directly revealing whether the order was late.</w:t>
      </w:r>
    </w:p>
    <w:p>
      <w:pPr>
        <w:pStyle w:val="ListParagraph"/>
        <w:numPr>
          <w:ilvl w:val="0"/>
          <w:numId w:val="2"/>
        </w:numPr>
        <w:spacing w:after="60" w:before="60"/>
      </w:pPr>
      <w:r>
        <w:rPr>
          <w:rFonts w:ascii="Arial" w:cs="Arial" w:eastAsia="Arial" w:hAnsi="Arial"/>
          <w:sz w:val="22"/>
          <w:szCs w:val="22"/>
        </w:rPr>
        <w:t xml:space="preserve">Order Status — Post-event status values (COMPLETE, CLOSED, CANCELED) assigned after order fulfillment.</w:t>
      </w:r>
    </w:p>
    <w:p>
      <w:pPr>
        <w:spacing w:after="80" w:before="80"/>
      </w:pPr>
      <w:r>
        <w:t xml:space="preserve"/>
      </w:r>
    </w:p>
    <w:p>
      <w:pPr>
        <w:spacing w:after="80" w:before="80" w:line="360"/>
      </w:pPr>
      <w:r>
        <w:rPr>
          <w:rFonts w:ascii="Arial" w:cs="Arial" w:eastAsia="Arial" w:hAnsi="Arial"/>
          <w:sz w:val="22"/>
          <w:szCs w:val="22"/>
        </w:rPr>
        <w:t xml:space="preserve">Additionally, PII columns (customer names, street address), ID columns (Category Id, Department Id, Customer Id), and redundant location columns (Latitude, Longitude) were removed. Only 11 missing values existed across the entire dataset — both affected columns were removal candidates anyway.</w:t>
      </w:r>
    </w:p>
    <w:p>
      <w:pPr>
        <w:spacing w:after="80" w:before="80"/>
      </w:pPr>
      <w:r>
        <w:t xml:space="preserve"/>
      </w:r>
    </w:p>
    <w:p>
      <w:pPr>
        <w:pStyle w:val="Heading2"/>
        <w:spacing w:after="120" w:before="240"/>
      </w:pPr>
      <w:r>
        <w:rPr>
          <w:rFonts w:ascii="Arial" w:cs="Arial" w:eastAsia="Arial" w:hAnsi="Arial"/>
          <w:b/>
          <w:bCs/>
          <w:color w:val="1a1f2e"/>
          <w:sz w:val="24"/>
          <w:szCs w:val="24"/>
        </w:rPr>
        <w:t xml:space="preserve">3.3 Feature Engineering</w:t>
      </w:r>
    </w:p>
    <w:p>
      <w:pPr>
        <w:spacing w:after="80" w:before="80" w:line="360"/>
      </w:pPr>
      <w:r>
        <w:rPr>
          <w:rFonts w:ascii="Arial" w:cs="Arial" w:eastAsia="Arial" w:hAnsi="Arial"/>
          <w:sz w:val="22"/>
          <w:szCs w:val="22"/>
        </w:rPr>
        <w:t xml:space="preserve">Six new predictive features were created from existing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Formula / Logic</w:t>
            </w:r>
          </w:p>
        </w:tc>
        <w:tc>
          <w:tcPr>
            <w:tcW w:type="dxa" w:w="30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Shipping Delay Gap</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Real days − Scheduled days</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Primary delay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Pressure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days / (Qty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Commitment vs. complexity</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Is Express Flag</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 if First Class or Same Day</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High-risk mode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Discount 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Discount Rate &gt; 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characteristic signal</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Order Complexity Score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Quantity × Product Price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Congestion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late rate per region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risk encoding</w:t>
            </w:r>
          </w:p>
        </w:tc>
      </w:tr>
    </w:tbl>
    <w:p>
      <w:pPr>
        <w:spacing w:after="80" w:before="80"/>
      </w:pPr>
      <w:r>
        <w:t xml:space="preserve"/>
      </w:r>
    </w:p>
    <w:p>
      <w:pPr>
        <w:pStyle w:val="Heading2"/>
        <w:spacing w:after="120" w:before="240"/>
      </w:pPr>
      <w:r>
        <w:rPr>
          <w:rFonts w:ascii="Arial" w:cs="Arial" w:eastAsia="Arial" w:hAnsi="Arial"/>
          <w:b/>
          <w:bCs/>
          <w:color w:val="1a1f2e"/>
          <w:sz w:val="24"/>
          <w:szCs w:val="24"/>
        </w:rPr>
        <w:t xml:space="preserve">3.4 Anti-Leakage Preprocessing Pipeline</w:t>
      </w:r>
    </w:p>
    <w:p>
      <w:pPr>
        <w:spacing w:after="80" w:before="80" w:line="360"/>
      </w:pPr>
      <w:r>
        <w:rPr>
          <w:rFonts w:ascii="Arial" w:cs="Arial" w:eastAsia="Arial" w:hAnsi="Arial"/>
          <w:sz w:val="22"/>
          <w:szCs w:val="22"/>
        </w:rPr>
        <w:t xml:space="preserve">The train/test split was performed before any fitting to prevent data leakage. The StandardScaler and LabelEncoders were fitted exclusively on training data and saved to disk — ensuring the Streamlit application applies identical transformations to new orders without refitting.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Training set: 144,413 rows (80%), stratified</w:t>
      </w:r>
    </w:p>
    <w:p>
      <w:pPr>
        <w:pStyle w:val="ListParagraph"/>
        <w:numPr>
          <w:ilvl w:val="0"/>
          <w:numId w:val="2"/>
        </w:numPr>
        <w:spacing w:after="60" w:before="60"/>
      </w:pPr>
      <w:r>
        <w:rPr>
          <w:rFonts w:ascii="Arial" w:cs="Arial" w:eastAsia="Arial" w:hAnsi="Arial"/>
          <w:sz w:val="22"/>
          <w:szCs w:val="22"/>
        </w:rPr>
        <w:t xml:space="preserve">Test set: 36,104 rows (20%), stratified</w:t>
      </w:r>
    </w:p>
    <w:p>
      <w:pPr>
        <w:pStyle w:val="ListParagraph"/>
        <w:numPr>
          <w:ilvl w:val="0"/>
          <w:numId w:val="2"/>
        </w:numPr>
        <w:spacing w:after="60" w:before="60"/>
      </w:pPr>
      <w:r>
        <w:rPr>
          <w:rFonts w:ascii="Arial" w:cs="Arial" w:eastAsia="Arial" w:hAnsi="Arial"/>
          <w:sz w:val="22"/>
          <w:szCs w:val="22"/>
        </w:rPr>
        <w:t xml:space="preserve">Class ratio maintained in both sets</w:t>
      </w:r>
    </w:p>
    <w:p>
      <w:pPr>
        <w:pStyle w:val="ListParagraph"/>
        <w:numPr>
          <w:ilvl w:val="0"/>
          <w:numId w:val="2"/>
        </w:numPr>
        <w:spacing w:after="60" w:before="60"/>
      </w:pPr>
      <w:r>
        <w:rPr>
          <w:rFonts w:ascii="Arial" w:cs="Arial" w:eastAsia="Arial" w:hAnsi="Arial"/>
          <w:sz w:val="22"/>
          <w:szCs w:val="22"/>
        </w:rPr>
        <w:t xml:space="preserve">SMOTE not applied — classes nearly balanced (55/45); class_weight='balanced' used instead</w:t>
      </w:r>
    </w:p>
    <w:p>
      <w:pPr>
        <w:pStyle w:val="Heading1"/>
        <w:pBdr>
          <w:bottom w:val="single" w:color="2E86AB" w:sz="6" w:space="4"/>
        </w:pBdr>
        <w:spacing w:after="160" w:before="320"/>
      </w:pPr>
      <w:r>
        <w:rPr>
          <w:rFonts w:ascii="Arial" w:cs="Arial" w:eastAsia="Arial" w:hAnsi="Arial"/>
          <w:b/>
          <w:bCs/>
          <w:color w:val="2E86AB"/>
          <w:sz w:val="28"/>
          <w:szCs w:val="28"/>
        </w:rPr>
        <w:t xml:space="preserve">4. Key Findings from Exploratory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Operational Implication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First Class Delay Rate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95.3% late delivery rate</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Immediate review of First Class commitments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Rates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markets: 54.4% — 55.2%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is systemic, not geographic</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Avg Shipping Delay Gap</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+0.57 days</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Operational mismatch between scheduling and execution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Risk Region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Africa: 58.0%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region for intervention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Lowest Risk Region</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Canada: 48.8%</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Benchmark for best-practice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Payment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48.5% late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risk payment type — warrants investigation</w:t>
            </w:r>
          </w:p>
        </w:tc>
      </w:tr>
    </w:tbl>
    <w:p>
      <w:pPr>
        <w:pStyle w:val="Heading1"/>
        <w:pBdr>
          <w:bottom w:val="single" w:color="2E86AB" w:sz="6" w:space="4"/>
        </w:pBdr>
        <w:spacing w:after="160" w:before="320"/>
      </w:pPr>
      <w:r>
        <w:rPr>
          <w:rFonts w:ascii="Arial" w:cs="Arial" w:eastAsia="Arial" w:hAnsi="Arial"/>
          <w:b/>
          <w:bCs/>
          <w:color w:val="2E86AB"/>
          <w:sz w:val="28"/>
          <w:szCs w:val="28"/>
        </w:rPr>
        <w:t xml:space="preserve">5. Model Results</w:t>
      </w:r>
    </w:p>
    <w:p>
      <w:pPr>
        <w:spacing w:after="80" w:before="80" w:line="360"/>
      </w:pPr>
      <w:r>
        <w:rPr>
          <w:rFonts w:ascii="Arial" w:cs="Arial" w:eastAsia="Arial" w:hAnsi="Arial"/>
          <w:sz w:val="22"/>
          <w:szCs w:val="22"/>
        </w:rPr>
        <w:t xml:space="preserve">Three classification models were trained and evaluated. Hyperparameter tuning via RandomizedSearchCV (30 iterations, 5-fold CV) was applied to the best-performing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rPr>
          <w:tblHeader/>
        </w:trPr>
        <w:tc>
          <w:tcPr>
            <w:tcW w:type="dxa" w:w="26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3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3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3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15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ROC-AUC</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97.40%</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95.89%</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99.52%</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97.67%</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0.9806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0.9970</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XGBoost (Baseline)</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97.81%</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96.33%</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99.80%</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98.04%</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0.9969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(Tuned)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0.9972</w:t>
            </w:r>
          </w:p>
        </w:tc>
      </w:tr>
    </w:tbl>
    <w:p>
      <w:pPr>
        <w:spacing w:after="80" w:before="80"/>
      </w:pPr>
      <w:r>
        <w:t xml:space="preserve"/>
      </w:r>
    </w:p>
    <w:p>
      <w:pPr>
        <w:spacing w:after="80" w:before="80" w:line="360"/>
      </w:pPr>
      <w:r>
        <w:rPr>
          <w:rFonts w:ascii="Arial" w:cs="Arial" w:eastAsia="Arial" w:hAnsi="Arial"/>
          <w:sz w:val="22"/>
          <w:szCs w:val="22"/>
        </w:rPr>
        <w:t xml:space="preserve">* Selected as best model. Highest ROC-AUC, highest precision, and fewest false positives (730 vs. 845 for Logistic Regression).</w:t>
      </w:r>
    </w:p>
    <w:p>
      <w:pPr>
        <w:pStyle w:val="Heading1"/>
        <w:pBdr>
          <w:bottom w:val="single" w:color="2E86AB" w:sz="6" w:space="4"/>
        </w:pBdr>
        <w:spacing w:after="160" w:before="320"/>
      </w:pPr>
      <w:r>
        <w:rPr>
          <w:rFonts w:ascii="Arial" w:cs="Arial" w:eastAsia="Arial" w:hAnsi="Arial"/>
          <w:b/>
          <w:bCs/>
          <w:color w:val="2E86AB"/>
          <w:sz w:val="28"/>
          <w:szCs w:val="28"/>
        </w:rPr>
        <w:t xml:space="preserve">6. Feature Importance — Key Risk Drivers</w:t>
      </w:r>
    </w:p>
    <w:p>
      <w:pPr>
        <w:spacing w:after="80" w:before="80" w:line="360"/>
      </w:pPr>
      <w:r>
        <w:rPr>
          <w:rFonts w:ascii="Arial" w:cs="Arial" w:eastAsia="Arial" w:hAnsi="Arial"/>
          <w:sz w:val="22"/>
          <w:szCs w:val="22"/>
        </w:rPr>
        <w:t xml:space="preserve">The shipping_delay_gap engineered feature accounts for 79.38% of the model's decision-making — confirming that the gap between actual and scheduled shipping days is the primary driver of late delivery risk.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2760"/>
      </w:tblGrid>
      <w:tr>
        <w:trPr>
          <w:tblHeader/>
        </w:trPr>
        <w:tc>
          <w:tcPr>
            <w:tcW w:type="dxa" w:w="15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0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Risk Driver</w:t>
            </w:r>
          </w:p>
        </w:tc>
        <w:tc>
          <w:tcPr>
            <w:tcW w:type="dxa" w:w="27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Importance Score</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Shipping Delay Gap</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0.7938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0.1671</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Scheduled Shipping Days</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0.0023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Country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0.0020</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Order Country</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0.0019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0.0019</w:t>
            </w:r>
          </w:p>
        </w:tc>
      </w:tr>
      <w:tr>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Regional Congestion Score</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0.0019</w:t>
            </w:r>
          </w:p>
        </w:tc>
      </w:tr>
    </w:tbl>
    <w:p>
      <w:pPr>
        <w:pStyle w:val="Heading1"/>
        <w:pBdr>
          <w:bottom w:val="single" w:color="2E86AB" w:sz="6" w:space="4"/>
        </w:pBdr>
        <w:spacing w:after="160" w:before="320"/>
      </w:pPr>
      <w:r>
        <w:rPr>
          <w:rFonts w:ascii="Arial" w:cs="Arial" w:eastAsia="Arial" w:hAnsi="Arial"/>
          <w:b/>
          <w:bCs/>
          <w:color w:val="2E86AB"/>
          <w:sz w:val="28"/>
          <w:szCs w:val="28"/>
        </w:rPr>
        <w:t xml:space="preserve">7. Risk Scoring Results</w:t>
      </w:r>
    </w:p>
    <w:p>
      <w:pPr>
        <w:spacing w:after="80" w:before="80" w:line="360"/>
      </w:pPr>
      <w:r>
        <w:rPr>
          <w:rFonts w:ascii="Arial" w:cs="Arial" w:eastAsia="Arial" w:hAnsi="Arial"/>
          <w:sz w:val="22"/>
          <w:szCs w:val="22"/>
        </w:rPr>
        <w:t xml:space="preserve">All 36,104 test set orders were scored with a Late Delivery Probability (0–1) and assigned a Risk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23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3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Order Count</w:t>
            </w:r>
          </w:p>
        </w:tc>
        <w:tc>
          <w:tcPr>
            <w:tcW w:type="dxa" w:w="23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 Risk</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Probability ≥ 0.70</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19,977</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55.33%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 ≤ Probability &lt; 0.70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 Risk</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Probability &lt; 0.40</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15,538</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43.04%</w:t>
            </w:r>
          </w:p>
        </w:tc>
      </w:tr>
    </w:tbl>
    <w:p>
      <w:pPr>
        <w:spacing w:after="80" w:before="80"/>
      </w:pPr>
      <w:r>
        <w:t xml:space="preserve"/>
      </w:r>
    </w:p>
    <w:p>
      <w:pPr>
        <w:spacing w:after="80" w:before="80" w:line="360"/>
      </w:pPr>
      <w:r>
        <w:rPr>
          <w:rFonts w:ascii="Arial" w:cs="Arial" w:eastAsia="Arial" w:hAnsi="Arial"/>
          <w:sz w:val="22"/>
          <w:szCs w:val="22"/>
        </w:rPr>
        <w:t xml:space="preserve">The bimodal probability distribution — with most orders scoring near 0.0 or near 1.0 — reflects the model's high confidence. The dominant shipping_delay_gap feature provides strong enough signal that the model is rarely uncertain.</w:t>
      </w:r>
    </w:p>
    <w:p>
      <w:pPr>
        <w:pStyle w:val="Heading1"/>
        <w:pBdr>
          <w:bottom w:val="single" w:color="2E86AB" w:sz="6" w:space="4"/>
        </w:pBdr>
        <w:spacing w:after="160" w:before="320"/>
      </w:pPr>
      <w:r>
        <w:rPr>
          <w:rFonts w:ascii="Arial" w:cs="Arial" w:eastAsia="Arial" w:hAnsi="Arial"/>
          <w:b/>
          <w:bCs/>
          <w:color w:val="2E86AB"/>
          <w:sz w:val="28"/>
          <w:szCs w:val="28"/>
        </w:rPr>
        <w:t xml:space="preserve">8. Streamlit Application</w:t>
      </w:r>
    </w:p>
    <w:p>
      <w:pPr>
        <w:spacing w:after="80" w:before="80" w:line="360"/>
      </w:pPr>
      <w:r>
        <w:rPr>
          <w:rFonts w:ascii="Arial" w:cs="Arial" w:eastAsia="Arial" w:hAnsi="Arial"/>
          <w:sz w:val="22"/>
          <w:szCs w:val="22"/>
        </w:rPr>
        <w:t xml:space="preserve">A four-module professional Streamlit dashboard was built for supply chain operations teams: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Home</w:t>
            </w:r>
          </w:p>
        </w:tc>
        <w:tc>
          <w:tcPr>
            <w:tcW w:type="dxa" w:w="6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Project overview, professional scope disclaimer, methodology summary, usage guide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Predictor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team enters order details; app returns probability score, risk category, top risk drivers, and recommended action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Risk Dashboard</w:t>
            </w:r>
          </w:p>
        </w:tc>
        <w:tc>
          <w:tcPr>
            <w:tcW w:type="dxa" w:w="6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Portfolio-level risk distribution, probability histogram, and feature importance 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Panel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Filterable high-risk order table with threshold slider and CSV export</w:t>
            </w:r>
          </w:p>
        </w:tc>
      </w:tr>
    </w:tbl>
    <w:p>
      <w:pPr>
        <w:spacing w:after="80" w:before="80"/>
      </w:pPr>
      <w:r>
        <w:t xml:space="preserve"/>
      </w:r>
    </w:p>
    <w:p>
      <w:pPr>
        <w:spacing w:after="80" w:before="80" w:line="360"/>
      </w:pPr>
      <w:r>
        <w:rPr>
          <w:rFonts w:ascii="Arial" w:cs="Arial" w:eastAsia="Arial" w:hAnsi="Arial"/>
          <w:sz w:val="22"/>
          <w:szCs w:val="22"/>
        </w:rPr>
        <w:t xml:space="preserve">The application is designed exclusively for supply chain professionals — not end consumers. It requires operational data (scheduled shipping days, actual shipping days, financial metrics) available only in APL Logistics' internal order management systems.</w:t>
      </w:r>
    </w:p>
    <w:p>
      <w:pPr>
        <w:pStyle w:val="Heading1"/>
        <w:pBdr>
          <w:bottom w:val="single" w:color="2E86AB" w:sz="6" w:space="4"/>
        </w:pBdr>
        <w:spacing w:after="160" w:before="320"/>
      </w:pPr>
      <w:r>
        <w:rPr>
          <w:rFonts w:ascii="Arial" w:cs="Arial" w:eastAsia="Arial" w:hAnsi="Arial"/>
          <w:b/>
          <w:bCs/>
          <w:color w:val="2E86AB"/>
          <w:sz w:val="28"/>
          <w:szCs w:val="28"/>
        </w:rPr>
        <w:t xml:space="preserve">9. Recommendations</w:t>
      </w:r>
    </w:p>
    <w:p>
      <w:pPr>
        <w:pStyle w:val="ListParagraph"/>
        <w:numPr>
          <w:ilvl w:val="0"/>
          <w:numId w:val="2"/>
        </w:numPr>
        <w:spacing w:after="60" w:before="60"/>
      </w:pPr>
      <w:r>
        <w:rPr>
          <w:rFonts w:ascii="Arial" w:cs="Arial" w:eastAsia="Arial" w:hAnsi="Arial"/>
          <w:sz w:val="22"/>
          <w:szCs w:val="22"/>
        </w:rPr>
        <w:t xml:space="preserve">Review First Class Shipping Commitments — A 95.3% late delivery rate indicates systematic over-commitment. APL Logistics should either adjust promised delivery windows or increase First Class operational capacity.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Reduce the Shipping Delay Gap — The average order ships 0.57 days later than scheduled. Better capacity planning, demand forecasting, or more conservative scheduling would have the largest single impact on delivery performance.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Focus Regional Interventions on Central Africa and South Asia — These regions show the highest late delivery rates (58.0% and 56.3%) and should be prioritized for operational improvements.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Investigate Payment Type as a Risk Signal — Transfer payments showing a 48.5% late rate vs. 57%+ for other types is an unexpected finding that warrants deeper operational investigation.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Deploy the Streamlit Application Across Operations Teams — The risk predictor should be integrated into pre-dispatch workflows for all order queues.</w:t>
      </w:r>
    </w:p>
    <w:p>
      <w:pPr>
        <w:pStyle w:val="Heading1"/>
        <w:pBdr>
          <w:bottom w:val="single" w:color="2E86AB" w:sz="6" w:space="4"/>
        </w:pBdr>
        <w:spacing w:after="160" w:before="320"/>
      </w:pPr>
      <w:r>
        <w:rPr>
          <w:rFonts w:ascii="Arial" w:cs="Arial" w:eastAsia="Arial" w:hAnsi="Arial"/>
          <w:b/>
          <w:bCs/>
          <w:color w:val="2E86AB"/>
          <w:sz w:val="28"/>
          <w:szCs w:val="28"/>
        </w:rPr>
        <w:t xml:space="preserve">10. Conclusion</w:t>
      </w:r>
    </w:p>
    <w:p>
      <w:pPr>
        <w:spacing w:after="80" w:before="80" w:line="360"/>
      </w:pPr>
      <w:r>
        <w:rPr>
          <w:rFonts w:ascii="Arial" w:cs="Arial" w:eastAsia="Arial" w:hAnsi="Arial"/>
          <w:sz w:val="22"/>
          <w:szCs w:val="22"/>
        </w:rPr>
        <w:t xml:space="preserve">This project successfully transforms APL Logistics' approach to delivery management from reactive delay handling to proactive risk intelligence. The deployed XGBoost-based prediction system achieves 97.87% accuracy and 0.9972 ROC-AUC on unseen data — catching 99.80% of all true late deliveries with minimal false alarms.</w:t>
      </w:r>
    </w:p>
    <w:p>
      <w:pPr>
        <w:spacing w:after="80" w:before="80"/>
      </w:pPr>
      <w:r>
        <w:t xml:space="preserve"/>
      </w:r>
    </w:p>
    <w:p>
      <w:pPr>
        <w:spacing w:after="80" w:before="80" w:line="360"/>
      </w:pPr>
      <w:r>
        <w:rPr>
          <w:rFonts w:ascii="Arial" w:cs="Arial" w:eastAsia="Arial" w:hAnsi="Arial"/>
          <w:sz w:val="22"/>
          <w:szCs w:val="22"/>
        </w:rPr>
        <w:t xml:space="preserve">The system is fully operational and accessible to operations teams through the Streamlit dashboard. It provides order-level risk scores, category classifications, explainable risk drivers, and actionable recommendations — enabling data-driven intervention before orders are dispatched.</w:t>
      </w:r>
    </w:p>
    <w:p>
      <w:pPr>
        <w:spacing w:after="80" w:before="80"/>
      </w:pPr>
      <w:r>
        <w:t xml:space="preserve"/>
      </w:r>
    </w:p>
    <w:p>
      <w:pPr>
        <w:spacing w:after="80" w:before="80" w:line="360"/>
      </w:pPr>
      <w:r>
        <w:rPr>
          <w:rFonts w:ascii="Arial" w:cs="Arial" w:eastAsia="Arial" w:hAnsi="Arial"/>
          <w:sz w:val="22"/>
          <w:szCs w:val="22"/>
        </w:rPr>
        <w:t xml:space="preserve">This predictive backbone forms the foundation of an intelligent, data-driven supply chain management system for APL Logistics (KWE Group).</w:t>
      </w:r>
    </w:p>
    <w:p>
      <w:pPr>
        <w:spacing w:after="80" w:before="80"/>
      </w:pPr>
      <w:r>
        <w:t xml:space="preserve"/>
      </w:r>
    </w:p>
    <w:p>
      <w:pPr>
        <w:spacing w:after="80" w:before="80"/>
      </w:pPr>
      <w:r>
        <w:t xml:space="preserve"/>
      </w:r>
    </w:p>
    <w:p>
      <w:pPr>
        <w:pBdr>
          <w:top w:val="single" w:color="2E86AB" w:sz="4" w:space="4"/>
        </w:pBdr>
        <w:spacing w:after="80" w:before="200"/>
      </w:pPr>
      <w:r>
        <w:rPr>
          <w:rFonts w:ascii="Arial" w:cs="Arial" w:eastAsia="Arial" w:hAnsi="Arial"/>
          <w:i/>
          <w:iCs/>
          <w:color w:val="888888"/>
          <w:sz w:val="18"/>
          <w:szCs w:val="18"/>
        </w:rPr>
        <w:t xml:space="preserve">Prepared by Sugnik Mondal | Data Science Intern | Unified Mentor Private Limited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2026-05-24T11:45:47.693Z</dcterms:created>
  <dcterms:modified xsi:type="dcterms:W3CDTF">2026-05-24T11:45:47.707Z</dcterms:modified>
</cp:coreProperties>
</file>

<file path=docProps/custom.xml><?xml version="1.0" encoding="utf-8"?>
<Properties xmlns="http://schemas.openxmlformats.org/officeDocument/2006/custom-properties" xmlns:vt="http://schemas.openxmlformats.org/officeDocument/2006/docPropsVTypes"/>
</file>