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0" w:before="240"/>
        <w:jc w:val="center"/>
      </w:pPr>
      <w:r>
        <w:drawing>
          <wp:inline distT="0" distB="0" distL="0" distR="0">
            <wp:extent cx="990600" cy="1695450"/>
            <wp:effectExtent t="0" r="0" b="0" l="0"/>
            <wp:docPr id="1" name="logo" descr="شعار أكاديمية وجيز" title="أكاديمية وجي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4"/>
          <w:szCs w:val="24"/>
          <w:rtl/>
        </w:rPr>
        <w:t xml:space="preserve">كرّاسةُ الدورة</w:t>
      </w:r>
    </w:p>
    <w:p>
      <w:pPr>
        <w:bidi/>
        <w:spacing w:after="120" w:line="360" w:lineRule="auto"/>
        <w:jc w:val="center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56"/>
          <w:szCs w:val="56"/>
          <w:rtl/>
        </w:rPr>
        <w:t xml:space="preserve">[اسمُ الدورة]</w:t>
      </w:r>
    </w:p>
    <w:p>
      <w:pPr>
        <w:bidi/>
        <w:spacing w:after="160"/>
        <w:jc w:val="center"/>
      </w:pPr>
      <w:r>
        <w:rPr>
          <w:rFonts w:ascii="IBM Plex Sans Arabic" w:cs="IBM Plex Sans Arabic" w:eastAsia="IBM Plex Sans Arabic" w:hAnsi="IBM Plex Sans Arabic"/>
          <w:color w:val="5F6B6E"/>
          <w:sz w:val="26"/>
          <w:szCs w:val="26"/>
          <w:rtl/>
        </w:rPr>
        <w:t xml:space="preserve">[اسمُ الشعبة]</w:t>
      </w:r>
    </w:p>
    <w:p>
      <w:pPr>
        <w:pBdr>
          <w:bottom w:val="single" w:color="FABC05" w:sz="18" w:space="1"/>
        </w:pBdr>
        <w:bidi/>
        <w:spacing w:after="560"/>
        <w:ind w:start="4000" w:end="4000"/>
        <w:jc w:val="center"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/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المدرّب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[اسمُك كما يراه المتعلّم]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المدّة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[من … إلى …]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المستوى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[مبتدئ — متوسّط]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المحاور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C5D1D3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[عددُها]</w:t>
            </w:r>
          </w:p>
        </w:tc>
      </w:tr>
    </w:tbl>
    <w:p>
      <w:pPr>
        <w:bidi/>
        <w:spacing w:after="5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هذه الكرّاسةُ لـ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38A7B4" w:sz="8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bidi/>
      </w:pPr>
      <w:r>
        <w:br w:type="page"/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34"/>
                <w:szCs w:val="34"/>
                <w:rtl/>
              </w:rPr>
              <w:t xml:space="preserve">قبل أن تكتب — للمدرّب</w:t>
            </w:r>
          </w:p>
          <w:p>
            <w:pPr>
              <w:bidi/>
              <w:spacing w:after="240"/>
            </w:pPr>
            <w:r>
              <w:rPr>
                <w:rFonts w:ascii="IBM Plex Sans Arabic" w:cs="IBM Plex Sans Arabic" w:eastAsia="IBM Plex Sans Arabic" w:hAnsi="IBM Plex Sans Arabic"/>
                <w:color w:val="6B5200"/>
                <w:rtl/>
              </w:rPr>
              <w:t xml:space="preserve">هذه الصفحةُ لك وحدَك: اقرأها ثمّ احذفها، واحذف الصناديقَ الصفراءَ كلَّها، قبل أن تحفظ الكرّاسةَ PDF.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١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ما بين قوسين اكتب مكانَه.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كلُّ نصٍّ [ هكذا ] مكانٌ لكلامك: ظلِّله من القوس إلى القوس واكتب فوقه، فيأخذ كلامُك شكلَه.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٢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الشكلُ واحدٌ في كرّاسات وجيز كلِّها.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لا تغيّر الخطَّ ولا الألوانَ ولا ترتيبَ الأقسام — بها يعرف المتعلّمُ طريقَه في كلّ دورة. وزِد ما شئت داخلَ الأقسام: صورا وجداولَ ونماذج.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٣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كرّاستك ملكك.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ما تكتبه فيها لك، ولك أن تستعمله كما تشاء. واستعمال القالب لا ينقل ملكيّته إلى وجيز، ولا يغيّر شيئا في الاتفاقيّة: ما فيها عن مادّتك (البند 10) يبقى كما هو — ومنه ترخيص غير حصريّ ودائم لوجيز باستعمال ما تعدّه للشعبة وتعديله داخل المنصّة لأغراضها التعليميّة (10-3). والقالب شكل يجعل كرّاسات الدورات متّسقة للمتعلّم؛ وشكله وشعاره لوجيز.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٤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اكتب لمن يقرأ وحدَه.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جملٌ قصيرة، ومثالٌ من عمل المتعلّم لا من كتاب، والمصطلحُ الإنجليزيُّ بين قوسين أوّلَ مرّةٍ فقط.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٥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الكرّاسةُ للعمل لا للقراءة وحدَها.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في كلّ محورٍ ما يملؤه المتعلّم: جدولٌ يعمل عليه، ومساحةٌ يكتب فيها، فيفتحها في اللقاء وبعده.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٦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محورٌ في كلّ صفحةٍ جديدة.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في القالب ثلاثةُ محاور. لمحورٍ زائدٍ انسخ قسمَ محورٍ كاملا — من «المحور» إلى «مصادرُ للاستزادة» — والصقه بعده، ولمحورٍ ناقصٍ احذف قسمَه. ثمّ اكتب في «خريطة المحاور» صفحةَ بداية كلّ محور.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٧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احفظها PDF وارفعها.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من «ملف» اختر «حفظ باسم» ثمّ PDF، وارفعها في الخطوة الثالثة «الكرّاسة» في مساحة شعبتك. والمنصّةُ تقبل PDF وحدَه: يُفتح في الصفحة على أيّ جهاز، ولا يتغيّر شكلُه.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٨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rtl/>
              </w:rPr>
              <w:t xml:space="preserve">الخطّ. </w:t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الكرّاسةُ بخطّ IBM Plex Sans Arabic، وهو مضمَّنٌ فيها. فإن ظهر لك خطٌّ غيرُه فثبّته مجّانا من fonts.google.com ثمّ أعد فتحها.</w:t>
            </w:r>
          </w:p>
        </w:tc>
      </w:tr>
    </w:tbl>
    <w:p>
      <w:pPr>
        <w:pStyle w:val="Heading1"/>
        <w:keepNext/>
        <w:pageBreakBefore/>
        <w:pBdr>
          <w:bottom w:val="single" w:color="38A7B4" w:sz="12" w:space="6"/>
        </w:pBdr>
        <w:bidi/>
        <w:spacing w:after="120" w:before="0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40"/>
          <w:szCs w:val="40"/>
          <w:rtl/>
        </w:rPr>
        <w:t xml:space="preserve">قبل أن تبدأ</w:t>
      </w:r>
    </w:p>
    <w:p>
      <w:pPr>
        <w:keepNext/>
        <w:bidi/>
        <w:spacing w:after="40" w:before="20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عن الدورة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[نبذةُ الدورة في ثلاثة أسطر: لمن هي، وما المشكلةُ التي تحلّها.]</w:t>
      </w:r>
    </w:p>
    <w:p>
      <w:pPr>
        <w:keepNext/>
        <w:bidi/>
        <w:spacing w:after="80" w:before="20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ما ستخرج به من الدورة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F6F7" w:sz="6"/>
              <w:left w:val="single" w:color="EAF6F7" w:sz="6"/>
              <w:bottom w:val="single" w:color="EAF6F7" w:sz="6"/>
              <w:right w:val="single" w:color="EAF6F7" w:sz="6"/>
            </w:tcBorders>
            <w:shd w:fill="EAF6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[جملةُ «ما يخرج به المتعلّم» التي كتبتها في المنصّة — مثلا: تخرج بخطّة تفاوضٍ مكتوبةٍ لموقفٍ حقيقيٍّ من عملك.]</w:t>
            </w:r>
          </w:p>
        </w:tc>
      </w:tr>
    </w:tbl>
    <w:p>
      <w:pPr>
        <w:bidi/>
        <w:spacing w:after="20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F6F7" w:sz="6"/>
              <w:left w:val="single" w:color="EAF6F7" w:sz="6"/>
              <w:bottom w:val="single" w:color="EAF6F7" w:sz="6"/>
              <w:right w:val="single" w:color="EAF6F7" w:sz="6"/>
            </w:tcBorders>
            <w:shd w:fill="EAF6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1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sz w:val="24"/>
                <w:szCs w:val="24"/>
                <w:rtl/>
              </w:rPr>
              <w:t xml:space="preserve">كيف تستعمل هذه الكرّاسة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١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اقرأ «الأفكارَ الأساسيّة» قبل اللقاء المباشر.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٢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احملها إلى اللقاء: فيه نحلّ المثالَ معا ونبدأ التمرين.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٣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أكمل التمرينَ وأسئلةَ التأمّل بعد اللقاء — وعليها تبني مهمّةَ المحور.</w:t>
            </w:r>
          </w:p>
        </w:tc>
      </w:tr>
    </w:tbl>
    <w:p>
      <w:pPr>
        <w:keepNext/>
        <w:bidi/>
        <w:spacing w:after="80" w:before="28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خريطةُ المحاور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4438"/>
        <w:gridCol w:w="26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المحور</w:t>
            </w:r>
          </w:p>
        </w:tc>
        <w:tc>
          <w:tcPr>
            <w:tcW w:type="dxa" w:w="4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العنوان</w:t>
            </w:r>
          </w:p>
        </w:tc>
        <w:tc>
          <w:tcPr>
            <w:tcW w:type="dxa" w:w="26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الموعد</w:t>
            </w:r>
          </w:p>
        </w:tc>
        <w:tc>
          <w:tcPr>
            <w:tcW w:type="dxa" w:w="16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يبدأ في</w:t>
            </w:r>
          </w:p>
        </w:tc>
      </w:tr>
      <w:tr>
        <w:tc>
          <w:tcPr>
            <w:tcW w:type="dxa" w:w="10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١</w:t>
            </w:r>
          </w:p>
        </w:tc>
        <w:tc>
          <w:tcPr>
            <w:tcW w:type="dxa" w:w="4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 المحور]</w:t>
            </w:r>
          </w:p>
        </w:tc>
        <w:tc>
          <w:tcPr>
            <w:tcW w:type="dxa" w:w="26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[من … إلى …]</w:t>
            </w:r>
          </w:p>
        </w:tc>
        <w:tc>
          <w:tcPr>
            <w:tcW w:type="dxa" w:w="16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[ص …]</w:t>
            </w:r>
          </w:p>
        </w:tc>
      </w:tr>
      <w:tr>
        <w:tc>
          <w:tcPr>
            <w:tcW w:type="dxa" w:w="10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٢</w:t>
            </w:r>
          </w:p>
        </w:tc>
        <w:tc>
          <w:tcPr>
            <w:tcW w:type="dxa" w:w="4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 المحور]</w:t>
            </w:r>
          </w:p>
        </w:tc>
        <w:tc>
          <w:tcPr>
            <w:tcW w:type="dxa" w:w="26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[من … إلى …]</w:t>
            </w:r>
          </w:p>
        </w:tc>
        <w:tc>
          <w:tcPr>
            <w:tcW w:type="dxa" w:w="16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[ص …]</w:t>
            </w:r>
          </w:p>
        </w:tc>
      </w:tr>
      <w:tr>
        <w:tc>
          <w:tcPr>
            <w:tcW w:type="dxa" w:w="10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٣</w:t>
            </w:r>
          </w:p>
        </w:tc>
        <w:tc>
          <w:tcPr>
            <w:tcW w:type="dxa" w:w="4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 المحور]</w:t>
            </w:r>
          </w:p>
        </w:tc>
        <w:tc>
          <w:tcPr>
            <w:tcW w:type="dxa" w:w="26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[من … إلى …]</w:t>
            </w:r>
          </w:p>
        </w:tc>
        <w:tc>
          <w:tcPr>
            <w:tcW w:type="dxa" w:w="16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  <w:jc w:val="center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[ص …]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صفحةُ بداية كلّ محورٍ هي ما تكتبه — إن شئت — في المنصّة في «أين يبدأ كلُّ محور»، فيفتح المتعلّمُ الكرّاسةَ على محوره.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keepNext/>
        <w:pageBreakBefore/>
        <w:bidi/>
        <w:spacing w:after="4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المحور ١</w:t>
      </w:r>
    </w:p>
    <w:p>
      <w:pPr>
        <w:pStyle w:val="Heading1"/>
        <w:keepNext/>
        <w:pBdr>
          <w:bottom w:val="single" w:color="38A7B4" w:sz="12" w:space="6"/>
        </w:pBdr>
        <w:bidi/>
        <w:spacing w:after="120" w:before="0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40"/>
          <w:szCs w:val="40"/>
          <w:rtl/>
        </w:rPr>
        <w:t xml:space="preserve">[اسمُ المحور]</w:t>
      </w:r>
    </w:p>
    <w:p>
      <w:pPr>
        <w:bidi/>
        <w:spacing w:after="200"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الموعد: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[من … إلى …]</w:t>
      </w:r>
      <w:r>
        <w:rPr>
          <w:rFonts w:ascii="IBM Plex Sans Arabic" w:cs="IBM Plex Sans Arabic" w:eastAsia="IBM Plex Sans Arabic" w:hAnsi="IBM Plex Sans Arabic"/>
          <w:color w:val="5F6B6E"/>
          <w:rtl/>
        </w:rPr>
        <w:t xml:space="preserve">   ·  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اللقاءُ المباشر: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[اليومُ والساعة]</w:t>
      </w: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١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ما ستخرج به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F6F7" w:sz="6"/>
              <w:left w:val="single" w:color="EAF6F7" w:sz="6"/>
              <w:bottom w:val="single" w:color="EAF6F7" w:sz="6"/>
              <w:right w:val="single" w:color="EAF6F7" w:sz="6"/>
            </w:tcBorders>
            <w:shd w:fill="EAF6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في آخر هذا المحور تستطيع أن: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[فعلٌ يُرى ويُقاس — مثلا: تكتب مذكّرةَ تحضيرٍ لتفاوضٍ قادم]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[الفعلُ الثاني]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[الفعلُ الثالث — إن كان]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اكتب ما يستطيع المتعلّمُ أن يفعله، لا ما سيعرفه: «تكتب مذكّرةَ تحضير» لا «يفهم التفاوض». وأوّلُها جملةُ «ما يخرج به» التي كتبتها لهذا المحور في المنصّة.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٢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الأفكارُ الأساسيّة</w:t>
      </w:r>
    </w:p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من ثلاث أفكارٍ إلى خمس، لكلٍّ عنوانُها. والفكرةُ التي لا يستعملها التمرينُ لا مكانَ لها هنا.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٣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مثالٌ محلول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الموقف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[صِف الموقفَ في سطرين: من، وماذا يريد، وما الذي يعيقه.]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الحلُّ خطوةً خطوة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١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[الخطوةُ الأولى]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٢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[الثانية]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٣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[الثالثة]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النتيجة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[ما الذي تحقّق — برقمٍ إن أمكن.]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لماذا نجح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[الفكرةُ من «الأفكار الأساسيّة» التي صنعت الفرق.]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موقفٌ واقعيٌّ من سوق المتعلّم وبيئة عمله، محلولٌ خطوةً خطوة — وهو ما تحلّونه معا في اللقاء.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٤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تمرينٌ عمليّ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المدّة: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[٢٠ دقيقة]</w:t>
      </w:r>
      <w:r>
        <w:rPr>
          <w:rFonts w:ascii="IBM Plex Sans Arabic" w:cs="IBM Plex Sans Arabic" w:eastAsia="IBM Plex Sans Arabic" w:hAnsi="IBM Plex Sans Arabic"/>
          <w:color w:val="5F6B6E"/>
          <w:rtl/>
        </w:rPr>
        <w:t xml:space="preserve">   ·  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[فرديّ / في مجموعة]</w:t>
      </w:r>
    </w:p>
    <w:p>
      <w:pPr>
        <w:keepNext/>
        <w:bidi/>
        <w:spacing w:after="60"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المطلوب: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[اختر موقفا من عملك …]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[طبّق عليه …]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[اكتب ما خرجت به في الجدول.]</w:t>
      </w:r>
    </w:p>
    <w:p>
      <w:pPr>
        <w:bidi/>
        <w:spacing w:after="8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[العمودُ الأوّل]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[الثاني]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[الثالث]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التمرينُ على موقفٍ من عمل المتعلّم نفسِه، وما يكتبه هنا يبني عليه مهمّةَ المحور في المنصّة. وغيّر أعمدةَ الجدول بما يحتاجه تمرينُك.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٥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أسئلةٌ للتأمّل</w:t>
      </w:r>
    </w:p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يربط الفكرةَ بعمله: أين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عمّا سيفعله بعد اللقاء: ما أوّلُ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عمّا يقيس به تقدّمَه: كيف ستعرف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أسئلةٌ لا جوابَ صحيحا لها — يكتب المتعلّمُ فيها عن نفسه.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٦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مصادرُ للاستزادة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المصدر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نوعُه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لماذا يستحقّ وقتَك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 المصدر ورابطُه]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[قراءة / فيديو / أداة]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[سطرٌ واحد]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هي المصادرُ نفسُها التي تضيفها لهذا المحور في «المهامّ والمصادر» — اذكرها هنا ليجدها من يطبع الكرّاسة.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keepNext/>
        <w:pageBreakBefore/>
        <w:bidi/>
        <w:spacing w:after="4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المحور ٢</w:t>
      </w:r>
    </w:p>
    <w:p>
      <w:pPr>
        <w:pStyle w:val="Heading1"/>
        <w:keepNext/>
        <w:pBdr>
          <w:bottom w:val="single" w:color="38A7B4" w:sz="12" w:space="6"/>
        </w:pBdr>
        <w:bidi/>
        <w:spacing w:after="120" w:before="0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40"/>
          <w:szCs w:val="40"/>
          <w:rtl/>
        </w:rPr>
        <w:t xml:space="preserve">[اسمُ المحور]</w:t>
      </w:r>
    </w:p>
    <w:p>
      <w:pPr>
        <w:bidi/>
        <w:spacing w:after="200"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الموعد: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[من … إلى …]</w:t>
      </w:r>
      <w:r>
        <w:rPr>
          <w:rFonts w:ascii="IBM Plex Sans Arabic" w:cs="IBM Plex Sans Arabic" w:eastAsia="IBM Plex Sans Arabic" w:hAnsi="IBM Plex Sans Arabic"/>
          <w:color w:val="5F6B6E"/>
          <w:rtl/>
        </w:rPr>
        <w:t xml:space="preserve">   ·  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اللقاءُ المباشر: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[اليومُ والساعة]</w:t>
      </w: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١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ما ستخرج به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F6F7" w:sz="6"/>
              <w:left w:val="single" w:color="EAF6F7" w:sz="6"/>
              <w:bottom w:val="single" w:color="EAF6F7" w:sz="6"/>
              <w:right w:val="single" w:color="EAF6F7" w:sz="6"/>
            </w:tcBorders>
            <w:shd w:fill="EAF6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في آخر هذا المحور تستطيع أن: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[فعلٌ يُرى ويُقاس — مثلا: تكتب مذكّرةَ تحضيرٍ لتفاوضٍ قادم]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[الفعلُ الثاني]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[الفعلُ الثالث — إن كان]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اكتب ما يستطيع المتعلّمُ أن يفعله، لا ما سيعرفه: «تكتب مذكّرةَ تحضير» لا «يفهم التفاوض». وأوّلُها جملةُ «ما يخرج به» التي كتبتها لهذا المحور في المنصّة.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٢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الأفكارُ الأساسيّة</w:t>
      </w:r>
    </w:p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من ثلاث أفكارٍ إلى خمس، لكلٍّ عنوانُها. والفكرةُ التي لا يستعملها التمرينُ لا مكانَ لها هنا.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٣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مثالٌ محلول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الموقف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[صِف الموقفَ في سطرين: من، وماذا يريد، وما الذي يعيقه.]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الحلُّ خطوةً خطوة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١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[الخطوةُ الأولى]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٢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[الثانية]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٣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[الثالثة]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النتيجة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[ما الذي تحقّق — برقمٍ إن أمكن.]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لماذا نجح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[الفكرةُ من «الأفكار الأساسيّة» التي صنعت الفرق.]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موقفٌ واقعيٌّ من سوق المتعلّم وبيئة عمله، محلولٌ خطوةً خطوة — وهو ما تحلّونه معا في اللقاء.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٤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تمرينٌ عمليّ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المدّة: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[٢٠ دقيقة]</w:t>
      </w:r>
      <w:r>
        <w:rPr>
          <w:rFonts w:ascii="IBM Plex Sans Arabic" w:cs="IBM Plex Sans Arabic" w:eastAsia="IBM Plex Sans Arabic" w:hAnsi="IBM Plex Sans Arabic"/>
          <w:color w:val="5F6B6E"/>
          <w:rtl/>
        </w:rPr>
        <w:t xml:space="preserve">   ·  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[فرديّ / في مجموعة]</w:t>
      </w:r>
    </w:p>
    <w:p>
      <w:pPr>
        <w:keepNext/>
        <w:bidi/>
        <w:spacing w:after="60"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المطلوب: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[اختر موقفا من عملك …]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[طبّق عليه …]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[اكتب ما خرجت به في الجدول.]</w:t>
      </w:r>
    </w:p>
    <w:p>
      <w:pPr>
        <w:bidi/>
        <w:spacing w:after="8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[العمودُ الأوّل]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[الثاني]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[الثالث]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التمرينُ على موقفٍ من عمل المتعلّم نفسِه، وما يكتبه هنا يبني عليه مهمّةَ المحور في المنصّة. وغيّر أعمدةَ الجدول بما يحتاجه تمرينُك.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٥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أسئلةٌ للتأمّل</w:t>
      </w:r>
    </w:p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يربط الفكرةَ بعمله: أين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عمّا سيفعله بعد اللقاء: ما أوّلُ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عمّا يقيس به تقدّمَه: كيف ستعرف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أسئلةٌ لا جوابَ صحيحا لها — يكتب المتعلّمُ فيها عن نفسه.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٦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مصادرُ للاستزادة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المصدر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نوعُه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لماذا يستحقّ وقتَك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 المصدر ورابطُه]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[قراءة / فيديو / أداة]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[سطرٌ واحد]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هي المصادرُ نفسُها التي تضيفها لهذا المحور في «المهامّ والمصادر» — اذكرها هنا ليجدها من يطبع الكرّاسة.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keepNext/>
        <w:pageBreakBefore/>
        <w:bidi/>
        <w:spacing w:after="4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المحور ٣</w:t>
      </w:r>
    </w:p>
    <w:p>
      <w:pPr>
        <w:pStyle w:val="Heading1"/>
        <w:keepNext/>
        <w:pBdr>
          <w:bottom w:val="single" w:color="38A7B4" w:sz="12" w:space="6"/>
        </w:pBdr>
        <w:bidi/>
        <w:spacing w:after="120" w:before="0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40"/>
          <w:szCs w:val="40"/>
          <w:rtl/>
        </w:rPr>
        <w:t xml:space="preserve">[اسمُ المحور]</w:t>
      </w:r>
    </w:p>
    <w:p>
      <w:pPr>
        <w:bidi/>
        <w:spacing w:after="200"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الموعد: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[من … إلى …]</w:t>
      </w:r>
      <w:r>
        <w:rPr>
          <w:rFonts w:ascii="IBM Plex Sans Arabic" w:cs="IBM Plex Sans Arabic" w:eastAsia="IBM Plex Sans Arabic" w:hAnsi="IBM Plex Sans Arabic"/>
          <w:color w:val="5F6B6E"/>
          <w:rtl/>
        </w:rPr>
        <w:t xml:space="preserve">   ·  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اللقاءُ المباشر: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[اليومُ والساعة]</w:t>
      </w: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١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ما ستخرج به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F6F7" w:sz="6"/>
              <w:left w:val="single" w:color="EAF6F7" w:sz="6"/>
              <w:bottom w:val="single" w:color="EAF6F7" w:sz="6"/>
              <w:right w:val="single" w:color="EAF6F7" w:sz="6"/>
            </w:tcBorders>
            <w:shd w:fill="EAF6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في آخر هذا المحور تستطيع أن: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[فعلٌ يُرى ويُقاس — مثلا: تكتب مذكّرةَ تحضيرٍ لتفاوضٍ قادم]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8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[الفعلُ الثاني]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[الفعلُ الثالث — إن كان]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اكتب ما يستطيع المتعلّمُ أن يفعله، لا ما سيعرفه: «تكتب مذكّرةَ تحضير» لا «يفهم التفاوض». وأوّلُها جملةُ «ما يخرج به» التي كتبتها لهذا المحور في المنصّة.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٢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الأفكارُ الأساسيّة</w:t>
      </w:r>
    </w:p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من ثلاث أفكارٍ إلى خمس، لكلٍّ عنوانُها. والفكرةُ التي لا يستعملها التمرينُ لا مكانَ لها هنا.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keepNext/>
        <w:bidi/>
        <w:spacing w:after="6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 ·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[عنوانُ الفكرة في سطرٍ واحد]</w:t>
      </w:r>
    </w:p>
    <w:p>
      <w:pPr>
        <w:bidi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[اشرحها في ثلاثة أسطرٍ أو أربعة، بلغةِ من يقرأ وحدَه.]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في عملك: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[أين يلقاها المتعلّمُ في يومه.]</w:t>
      </w: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٣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مثالٌ محلول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الموقف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[صِف الموقفَ في سطرين: من، وماذا يريد، وما الذي يعيقه.]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الحلُّ خطوةً خطوة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١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[الخطوةُ الأولى]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٢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[الثانية]</w:t>
            </w:r>
          </w:p>
          <w:p>
            <w:pPr>
              <w:bidi/>
              <w:spacing w:after="80"/>
              <w:ind w:start="400" w:hanging="40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247B84"/>
                <w:rtl/>
              </w:rPr>
              <w:t xml:space="preserve">٣</w:t>
            </w:r>
            <w:r>
              <w:rPr>
                <w:rtl/>
              </w:rPr>
              <w:tab/>
            </w: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[الثالثة]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النتيجة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[ما الذي تحقّق — برقمٍ إن أمكن.]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EA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لماذا نجح</w:t>
            </w:r>
          </w:p>
        </w:tc>
        <w:tc>
          <w:tcPr>
            <w:tcW w:type="dxa" w:w="7438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[الفكرةُ من «الأفكار الأساسيّة» التي صنعت الفرق.]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موقفٌ واقعيٌّ من سوق المتعلّم وبيئة عمله، محلولٌ خطوةً خطوة — وهو ما تحلّونه معا في اللقاء.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٤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تمرينٌ عمليّ</w:t>
      </w:r>
    </w:p>
    <w:p>
      <w:pPr>
        <w:bidi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المدّة: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[٢٠ دقيقة]</w:t>
      </w:r>
      <w:r>
        <w:rPr>
          <w:rFonts w:ascii="IBM Plex Sans Arabic" w:cs="IBM Plex Sans Arabic" w:eastAsia="IBM Plex Sans Arabic" w:hAnsi="IBM Plex Sans Arabic"/>
          <w:color w:val="5F6B6E"/>
          <w:rtl/>
        </w:rPr>
        <w:t xml:space="preserve">   ·   </w:t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[فرديّ / في مجموعة]</w:t>
      </w:r>
    </w:p>
    <w:p>
      <w:pPr>
        <w:keepNext/>
        <w:bidi/>
        <w:spacing w:after="60"/>
      </w:pPr>
      <w:r>
        <w:rPr>
          <w:rFonts w:ascii="IBM Plex Sans Arabic" w:cs="IBM Plex Sans Arabic" w:eastAsia="IBM Plex Sans Arabic" w:hAnsi="IBM Plex Sans Arabic"/>
          <w:b/>
          <w:bCs/>
          <w:color w:val="1A5C64"/>
          <w:rtl/>
        </w:rPr>
        <w:t xml:space="preserve">المطلوب: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[اختر موقفا من عملك …]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[طبّق عليه …]</w:t>
      </w:r>
    </w:p>
    <w:p>
      <w:pPr>
        <w:bidi/>
        <w:spacing w:after="80"/>
        <w:ind w:start="400" w:hanging="40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</w:t>
      </w:r>
      <w:r>
        <w:rPr>
          <w:rtl/>
        </w:rPr>
        <w:tab/>
      </w: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[اكتب ما خرجت به في الجدول.]</w:t>
      </w:r>
    </w:p>
    <w:p>
      <w:pPr>
        <w:bidi/>
        <w:spacing w:after="8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[العمودُ الأوّل]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[الثاني]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[الثالث]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 w:val="false"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التمرينُ على موقفٍ من عمل المتعلّم نفسِه، وما يكتبه هنا يبني عليه مهمّةَ المحور في المنصّة. وغيّر أعمدةَ الجدول بما يحتاجه تمرينُك.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٥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أسئلةٌ للتأمّل</w:t>
      </w:r>
    </w:p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١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يربط الفكرةَ بعمله: أين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٢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عمّا سيفعله بعد اللقاء: ما أوّلُ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40" w:before="160"/>
      </w:pPr>
      <w:r>
        <w:rPr>
          <w:rFonts w:ascii="IBM Plex Sans Arabic" w:cs="IBM Plex Sans Arabic" w:eastAsia="IBM Plex Sans Arabic" w:hAnsi="IBM Plex Sans Arabic"/>
          <w:b/>
          <w:bCs/>
          <w:color w:val="247B84"/>
          <w:rtl/>
        </w:rPr>
        <w:t xml:space="preserve">٣  </w:t>
      </w:r>
      <w:r>
        <w:rPr>
          <w:rFonts w:ascii="IBM Plex Sans Arabic" w:cs="IBM Plex Sans Arabic" w:eastAsia="IBM Plex Sans Arabic" w:hAnsi="IBM Plex Sans Arabic"/>
          <w:b/>
          <w:bCs/>
          <w:color w:val="1F2A2E"/>
          <w:rtl/>
        </w:rPr>
        <w:t xml:space="preserve">[سؤالٌ عمّا يقيس به تقدّمَه: كيف ستعرف …؟]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أسئلةٌ لا جوابَ صحيحا لها — يكتب المتعلّمُ فيها عن نفسه.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pStyle w:val="Heading2"/>
        <w:keepNext/>
        <w:bidi/>
        <w:spacing w:after="140" w:before="360"/>
      </w:pPr>
      <w:r>
        <w:rPr>
          <w:rFonts w:ascii="IBM Plex Sans Arabic" w:cs="IBM Plex Sans Arabic" w:eastAsia="IBM Plex Sans Arabic" w:hAnsi="IBM Plex Sans Arabic"/>
          <w:b/>
          <w:bCs/>
          <w:color w:val="1F2A2E"/>
          <w:sz w:val="26"/>
          <w:szCs w:val="26"/>
          <w:shd w:fill="FABC05" w:color="auto" w:val="clear"/>
          <w:rtl/>
        </w:rPr>
        <w:t xml:space="preserve"> ٦ </w:t>
      </w:r>
      <w:r>
        <w:rPr>
          <w:rFonts w:ascii="IBM Plex Sans Arabic" w:cs="IBM Plex Sans Arabic" w:eastAsia="IBM Plex Sans Arabic" w:hAnsi="IBM Plex Sans Arabic"/>
          <w:b/>
          <w:bCs/>
          <w:color w:val="1A5C64"/>
          <w:sz w:val="28"/>
          <w:szCs w:val="28"/>
          <w:rtl/>
        </w:rPr>
        <w:t xml:space="preserve">  مصادرُ للاستزادة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المصدر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نوعُه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shd w:fill="247B8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FFFFFF"/>
                <w:rtl/>
              </w:rPr>
              <w:t xml:space="preserve">لماذا يستحقّ وقتَك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[اسمُ المصدر ورابطُه]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[قراءة / فيديو / أداة]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[سطرٌ واحد]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</w:tr>
      <w:tr>
        <w:trPr>
          <w:cantSplit/>
          <w:trHeight w:val="640" w:hRule="atLeast"/>
        </w:trPr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2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  <w:tc>
          <w:tcPr>
            <w:tcW w:type="dxa" w:w="3214"/>
            <w:tcBorders>
              <w:top w:val="single" w:color="C5D1D3" w:sz="4"/>
              <w:left w:val="single" w:color="C5D1D3" w:sz="4"/>
              <w:bottom w:val="single" w:color="C5D1D3" w:sz="4"/>
              <w:right w:val="single" w:color="C5D1D3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>[…]</w:t>
            </w:r>
          </w:p>
        </w:tc>
      </w:tr>
    </w:tbl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هي المصادرُ نفسُها التي تضيفها لهذا المحور في «المهامّ والمصادر» — اذكرها هنا ليجدها من يطبع الكرّاسة.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pStyle w:val="Heading1"/>
        <w:keepNext/>
        <w:pageBreakBefore/>
        <w:pBdr>
          <w:bottom w:val="single" w:color="38A7B4" w:sz="12" w:space="6"/>
        </w:pBdr>
        <w:bidi/>
        <w:spacing w:after="120" w:before="0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40"/>
          <w:szCs w:val="40"/>
          <w:rtl/>
        </w:rPr>
        <w:t xml:space="preserve">مشروعُ التخرّج</w:t>
      </w:r>
    </w:p>
    <w:p>
      <w:pPr>
        <w:keepNext/>
        <w:bidi/>
        <w:spacing w:after="80" w:before="20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ما تسلّمه في آخر الدورة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AF6F7" w:sz="6"/>
              <w:left w:val="single" w:color="EAF6F7" w:sz="6"/>
              <w:bottom w:val="single" w:color="EAF6F7" w:sz="6"/>
              <w:right w:val="single" w:color="EAF6F7" w:sz="6"/>
            </w:tcBorders>
            <w:shd w:fill="EAF6F7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1A5C64"/>
                <w:rtl/>
              </w:rPr>
              <w:t xml:space="preserve">[وصفُ المشروع في ثلاثة أسطر: ماذا يسلّم المتعلّم، وبأيّ شكل، ومتى.]</w:t>
            </w:r>
          </w:p>
        </w:tc>
      </w:tr>
    </w:tbl>
    <w:p>
      <w:pPr>
        <w:keepNext/>
        <w:bidi/>
        <w:spacing w:after="60" w:before="24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كيف يُقيَّم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[المعيارُ الأوّل]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[الثاني]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IBM Plex Sans Arabic" w:cs="IBM Plex Sans Arabic" w:eastAsia="IBM Plex Sans Arabic" w:hAnsi="IBM Plex Sans Arabic"/>
          <w:color w:val="1F2A2E"/>
          <w:rtl/>
        </w:rPr>
        <w:t xml:space="preserve">[الثالث]</w:t>
      </w:r>
    </w:p>
    <w:p>
      <w:pPr>
        <w:keepNext/>
        <w:bidi/>
        <w:spacing w:after="6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ABC05" w:sz="6"/>
              <w:left w:val="single" w:color="FABC05" w:sz="6"/>
              <w:bottom w:val="single" w:color="FABC05" w:sz="6"/>
              <w:right w:val="single" w:color="FABC05" w:sz="6"/>
            </w:tcBorders>
            <w:shd w:fill="FFF6D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0" w:line="300" w:lineRule="auto"/>
            </w:pPr>
            <w:r>
              <w:rPr>
                <w:rFonts w:ascii="IBM Plex Sans Arabic" w:cs="IBM Plex Sans Arabic" w:eastAsia="IBM Plex Sans Arabic" w:hAnsi="IBM Plex Sans Arabic"/>
                <w:b/>
                <w:bCs/>
                <w:color w:val="6B5200"/>
                <w:sz w:val="19"/>
                <w:szCs w:val="19"/>
                <w:rtl/>
              </w:rPr>
              <w:t xml:space="preserve">للمدرّب — 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9"/>
                <w:szCs w:val="19"/>
                <w:rtl/>
              </w:rPr>
              <w:t xml:space="preserve">هو مشروعُ التخرّج نفسُه الذي تكتبه في «المهامّ والمصادر» — بوصفه ومعاييره.</w:t>
            </w:r>
            <w:r>
              <w:rPr>
                <w:rFonts w:ascii="IBM Plex Sans Arabic" w:cs="IBM Plex Sans Arabic" w:eastAsia="IBM Plex Sans Arabic" w:hAnsi="IBM Plex Sans Arabic"/>
                <w:color w:val="6B5200"/>
                <w:sz w:val="17"/>
                <w:szCs w:val="17"/>
                <w:rtl/>
              </w:rPr>
              <w:t xml:space="preserve">  (احذف هذا الصندوق)</w:t>
            </w:r>
          </w:p>
        </w:tc>
      </w:tr>
    </w:tbl>
    <w:p>
      <w:pPr>
        <w:bidi/>
        <w:spacing w:after="120" w:before="0"/>
      </w:pPr>
    </w:p>
    <w:p>
      <w:pPr>
        <w:keepNext/>
        <w:bidi/>
        <w:spacing w:after="60" w:before="200"/>
      </w:pPr>
      <w:r>
        <w:rPr>
          <w:rFonts w:ascii="IBM Plex Sans Arabic" w:cs="IBM Plex Sans Arabic" w:eastAsia="IBM Plex Sans Arabic" w:hAnsi="IBM Plex Sans Arabic"/>
          <w:b/>
          <w:bCs/>
          <w:color w:val="6B5200"/>
          <w:sz w:val="22"/>
          <w:szCs w:val="22"/>
          <w:rtl/>
        </w:rPr>
        <w:t xml:space="preserve">خطّتي للمشروع</w:t>
      </w: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p>
      <w:pPr>
        <w:pStyle w:val="Heading1"/>
        <w:keepNext/>
        <w:pageBreakBefore/>
        <w:pBdr>
          <w:bottom w:val="single" w:color="38A7B4" w:sz="12" w:space="6"/>
        </w:pBdr>
        <w:bidi/>
        <w:spacing w:after="120" w:before="0"/>
      </w:pPr>
      <w:r>
        <w:rPr>
          <w:rFonts w:ascii="IBM Plex Sans Arabic" w:cs="IBM Plex Sans Arabic" w:eastAsia="IBM Plex Sans Arabic" w:hAnsi="IBM Plex Sans Arabic"/>
          <w:b/>
          <w:bCs/>
          <w:color w:val="247B84"/>
          <w:sz w:val="40"/>
          <w:szCs w:val="40"/>
          <w:rtl/>
        </w:rPr>
        <w:t xml:space="preserve">ملاحظاتي</w:t>
      </w:r>
    </w:p>
    <w:p>
      <w:pPr>
        <w:bidi/>
        <w:spacing w:after="120" w:before="0"/>
      </w:pPr>
    </w:p>
    <w:tbl>
      <w:tblPr>
        <w:bidiVisual/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dotted" w:color="C5D1D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</w:pPr>
            <w:r>
              <w:rPr>
                <w:rFonts w:ascii="IBM Plex Sans Arabic" w:cs="IBM Plex Sans Arabic" w:eastAsia="IBM Plex Sans Arabic" w:hAnsi="IBM Plex Sans Arabic"/>
                <w:color w:val="1F2A2E"/>
                <w:rtl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BM Plex Sans Arabic">
    <w:charset w:val="B2"/>
    <w:family w:val="auto"/>
    <w:pitch w:val="variable"/>
    <w:sig w:usb0="E0002AFF" w:usb1="C000247B" w:usb2="00000009" w:usb3="00000000" w:csb0="000001FF" w:csb1="00000000"/>
    <w:embedRegular r:id="rId1" w:fontKey="{76A42DD7-8D80-866B-0385-768C0DD21898}"/>
    <w:embedBold r:id="rIdWzBold" w:fontKey="{D64FEE12-1504-4FEC-B800-85201D7D317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center"/>
    </w:pPr>
    <w:r>
      <w:rPr>
        <w:rFonts w:ascii="IBM Plex Sans Arabic" w:cs="IBM Plex Sans Arabic" w:eastAsia="IBM Plex Sans Arabic" w:hAnsi="IBM Plex Sans Arabic"/>
        <w:b/>
        <w:bCs/>
        <w:color w:val="247B84"/>
        <w:sz w:val="20"/>
        <w:szCs w:val="20"/>
        <w:rtl/>
      </w:rPr>
      <w:fldChar w:fldCharType="begin"/>
      <w:instrText xml:space="preserve">PAGE</w:instrText>
      <w:fldChar w:fldCharType="separate"/>
      <w:fldChar w:fldCharType="end"/>
    </w:r>
  </w:p>
  <w:p>
    <w:pPr>
      <w:bidi/>
      <w:spacing w:after="0"/>
      <w:jc w:val="center"/>
    </w:pPr>
    <w:r>
      <w:rPr>
        <w:rFonts w:ascii="IBM Plex Sans Arabic" w:cs="IBM Plex Sans Arabic" w:eastAsia="IBM Plex Sans Arabic" w:hAnsi="IBM Plex Sans Arabic"/>
        <w:color w:val="5F6B6E"/>
        <w:sz w:val="16"/>
        <w:szCs w:val="16"/>
        <w:rtl/>
      </w:rPr>
      <w:t xml:space="preserve">wajeezacademy.com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1D3" w:sz="4" w:space="6"/>
      </w:pBdr>
      <w:bidi/>
      <w:spacing w:after="0"/>
      <w:jc w:val="center"/>
    </w:pPr>
    <w:r>
      <w:rPr>
        <w:rFonts w:ascii="IBM Plex Sans Arabic" w:cs="IBM Plex Sans Arabic" w:eastAsia="IBM Plex Sans Arabic" w:hAnsi="IBM Plex Sans Arabic"/>
        <w:b/>
        <w:bCs/>
        <w:color w:val="247B84"/>
        <w:sz w:val="18"/>
        <w:szCs w:val="18"/>
        <w:rtl/>
      </w:rPr>
      <w:t xml:space="preserve">أكاديمية وجيز</w:t>
    </w:r>
    <w:r>
      <w:rPr>
        <w:rFonts w:ascii="IBM Plex Sans Arabic" w:cs="IBM Plex Sans Arabic" w:eastAsia="IBM Plex Sans Arabic" w:hAnsi="IBM Plex Sans Arabic"/>
        <w:color w:val="5F6B6E"/>
        <w:sz w:val="18"/>
        <w:szCs w:val="18"/>
        <w:rtl/>
      </w:rPr>
      <w:t xml:space="preserve">  ·  كرّاسةُ الدورة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440" w:hanging="360"/>
      </w:pPr>
      <w:rPr>
        <w:rFonts w:ascii="IBM Plex Sans Arabic" w:cs="IBM Plex Sans Arabic" w:eastAsia="IBM Plex Sans Arabic" w:hAnsi="IBM Plex Sans Arabic"/>
        <w:color w:val="247B8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eastAsia="IBM Plex Sans Arabic" w:hAnsi="IBM Plex Sans Arabic"/>
        <w:color w:val="1F2A2E"/>
        <w:sz w:val="22"/>
        <w:szCs w:val="22"/>
        <w:lang w:val="ar-JO" w:bidi="ar-JO"/>
      </w:rPr>
    </w:rPrDefault>
    <w:pPrDefault>
      <w:pPr>
        <w:spacing w:after="120"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 Arabic" w:cs="IBM Plex Sans Arabic" w:eastAsia="IBM Plex Sans Arabic" w:hAnsi="IBM Plex Sans Arabic"/>
      <w:b/>
      <w:bCs/>
      <w:color w:val="247B8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 Arabic" w:cs="IBM Plex Sans Arabic" w:eastAsia="IBM Plex Sans Arabic" w:hAnsi="IBM Plex Sans Arabic"/>
      <w:b/>
      <w:bCs/>
      <w:color w:val="1A5C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afe3e58ba2828348407ba086ae7b2b28ecdc12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WzBold" Type="http://schemas.openxmlformats.org/officeDocument/2006/relationships/font" Target="fonts/font-bold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قالبُ كرّاسة الدورة — أكاديمية وجيز</dc:title>
  <dc:creator>أكاديمية وجيز</dc:creator>
  <dc:description>كرّاسة أكاديمية وجيز — تُملأ ثمّ تُحفظ PDF وتُرفع في مساحة الشعبة.</dc:description>
  <cp:lastModifiedBy>Un-named</cp:lastModifiedBy>
  <cp:revision>1</cp:revision>
  <dcterms:created xsi:type="dcterms:W3CDTF">2026-10-11T22:53:05.099Z</dcterms:created>
  <dcterms:modified xsi:type="dcterms:W3CDTF">2026-10-11T22:53:05.099Z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