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0" w:before="0"/>
        <w:jc w:val="center"/>
      </w:pPr>
      <w:r>
        <w:rPr>
          <w:rFonts w:ascii="Calibri" w:cs="Calibri" w:eastAsia="Calibri" w:hAnsi="Calibri"/>
          <w:b/>
          <w:bCs/>
          <w:color w:val="0D2B4E"/>
          <w:sz w:val="72"/>
          <w:szCs w:val="72"/>
        </w:rPr>
        <w:t xml:space="preserve">CUSTOMER SHOPPING</w:t>
      </w:r>
    </w:p>
    <w:p>
      <w:pPr>
        <w:spacing w:after="40" w:before="40"/>
        <w:jc w:val="center"/>
      </w:pPr>
      <w:r>
        <w:rPr>
          <w:rFonts w:ascii="Calibri" w:cs="Calibri" w:eastAsia="Calibri" w:hAnsi="Calibri"/>
          <w:b/>
          <w:bCs/>
          <w:color w:val="0A7E8C"/>
          <w:sz w:val="72"/>
          <w:szCs w:val="72"/>
        </w:rPr>
        <w:t xml:space="preserve">BEHAVIOR ANALYSIS</w:t>
      </w:r>
    </w:p>
    <w:p>
      <w:pPr>
        <w:spacing w:after="0" w:before="80"/>
        <w:jc w:val="center"/>
      </w:pPr>
      <w:r>
        <w:rPr>
          <w:rFonts w:ascii="Calibri" w:cs="Calibri" w:eastAsia="Calibri" w:hAnsi="Calibri"/>
          <w:i/>
          <w:iCs/>
          <w:color w:val="7A8E99"/>
          <w:sz w:val="24"/>
          <w:szCs w:val="24"/>
        </w:rPr>
        <w:t xml:space="preserve">Comprehensive Data Report  ·  April 2026</w:t>
      </w:r>
    </w:p>
    <w:p>
      <w:pPr>
        <w:spacing w:after="0" w:before="80"/>
      </w:pPr>
      <w:r>
        <w:t xml:space="preserve"/>
      </w:r>
    </w:p>
    <w:p>
      <w:pPr>
        <w:pBdr>
          <w:bottom w:val="single" w:color="E8A020" w:sz="16"/>
        </w:pBdr>
        <w:spacing w:after="80" w:before="8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7E8C" w:sz="6"/>
              <w:left w:val="none" w:color="FFFFFF" w:sz="0"/>
              <w:bottom w:val="single" w:color="0A7E8C" w:sz="6"/>
              <w:right w:val="none" w:color="FFFFFF" w:sz="0"/>
            </w:tcBorders>
            <w:shd w:fill="E6F5F7"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E8A020"/>
                <w:sz w:val="44"/>
                <w:szCs w:val="44"/>
              </w:rPr>
              <w:t xml:space="preserve">3,900</w:t>
            </w:r>
          </w:p>
          <w:p>
            <w:pPr>
              <w:spacing w:after="0" w:before="40"/>
              <w:jc w:val="center"/>
            </w:pPr>
            <w:r>
              <w:rPr>
                <w:rFonts w:ascii="Calibri" w:cs="Calibri" w:eastAsia="Calibri" w:hAnsi="Calibri"/>
                <w:color w:val="7A8E99"/>
                <w:sz w:val="18"/>
                <w:szCs w:val="18"/>
              </w:rPr>
              <w:t xml:space="preserve">Total Customers</w:t>
            </w:r>
          </w:p>
        </w:tc>
        <w:tc>
          <w:tcPr>
            <w:tcW w:type="dxa" w:w="2340"/>
            <w:tcBorders>
              <w:top w:val="single" w:color="0A7E8C" w:sz="6"/>
              <w:left w:val="none" w:color="FFFFFF" w:sz="0"/>
              <w:bottom w:val="single" w:color="0A7E8C" w:sz="6"/>
              <w:right w:val="none" w:color="FFFFFF" w:sz="0"/>
            </w:tcBorders>
            <w:shd w:fill="E6F5F7"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E8A020"/>
                <w:sz w:val="44"/>
                <w:szCs w:val="44"/>
              </w:rPr>
              <w:t xml:space="preserve">$59.76</w:t>
            </w:r>
          </w:p>
          <w:p>
            <w:pPr>
              <w:spacing w:after="0" w:before="40"/>
              <w:jc w:val="center"/>
            </w:pPr>
            <w:r>
              <w:rPr>
                <w:rFonts w:ascii="Calibri" w:cs="Calibri" w:eastAsia="Calibri" w:hAnsi="Calibri"/>
                <w:color w:val="7A8E99"/>
                <w:sz w:val="18"/>
                <w:szCs w:val="18"/>
              </w:rPr>
              <w:t xml:space="preserve">Avg Purchase (USD)</w:t>
            </w:r>
          </w:p>
        </w:tc>
        <w:tc>
          <w:tcPr>
            <w:tcW w:type="dxa" w:w="2340"/>
            <w:tcBorders>
              <w:top w:val="single" w:color="0A7E8C" w:sz="6"/>
              <w:left w:val="none" w:color="FFFFFF" w:sz="0"/>
              <w:bottom w:val="single" w:color="0A7E8C" w:sz="6"/>
              <w:right w:val="none" w:color="FFFFFF" w:sz="0"/>
            </w:tcBorders>
            <w:shd w:fill="E6F5F7"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E8A020"/>
                <w:sz w:val="44"/>
                <w:szCs w:val="44"/>
              </w:rPr>
              <w:t xml:space="preserve">3.75 / 5</w:t>
            </w:r>
          </w:p>
          <w:p>
            <w:pPr>
              <w:spacing w:after="0" w:before="40"/>
              <w:jc w:val="center"/>
            </w:pPr>
            <w:r>
              <w:rPr>
                <w:rFonts w:ascii="Calibri" w:cs="Calibri" w:eastAsia="Calibri" w:hAnsi="Calibri"/>
                <w:color w:val="7A8E99"/>
                <w:sz w:val="18"/>
                <w:szCs w:val="18"/>
              </w:rPr>
              <w:t xml:space="preserve">Avg Review Rating</w:t>
            </w:r>
          </w:p>
        </w:tc>
        <w:tc>
          <w:tcPr>
            <w:tcW w:type="dxa" w:w="2340"/>
            <w:tcBorders>
              <w:top w:val="single" w:color="0A7E8C" w:sz="6"/>
              <w:left w:val="none" w:color="FFFFFF" w:sz="0"/>
              <w:bottom w:val="single" w:color="0A7E8C" w:sz="6"/>
              <w:right w:val="none" w:color="FFFFFF" w:sz="0"/>
            </w:tcBorders>
            <w:shd w:fill="E6F5F7"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E8A020"/>
                <w:sz w:val="44"/>
                <w:szCs w:val="44"/>
              </w:rPr>
              <w:t xml:space="preserve">3,900</w:t>
            </w:r>
          </w:p>
          <w:p>
            <w:pPr>
              <w:spacing w:after="0" w:before="40"/>
              <w:jc w:val="center"/>
            </w:pPr>
            <w:r>
              <w:rPr>
                <w:rFonts w:ascii="Calibri" w:cs="Calibri" w:eastAsia="Calibri" w:hAnsi="Calibri"/>
                <w:color w:val="7A8E99"/>
                <w:sz w:val="18"/>
                <w:szCs w:val="18"/>
              </w:rPr>
              <w:t xml:space="preserve">Total Transactions</w:t>
            </w:r>
          </w:p>
        </w:tc>
      </w:tr>
    </w:tbl>
    <w:p>
      <w:pPr>
        <w:spacing w:after="0" w:before="80"/>
      </w:pPr>
      <w:r>
        <w:t xml:space="preserve"/>
      </w:r>
    </w:p>
    <w:p>
      <w:pPr>
        <w:spacing w:after="0" w:before="40"/>
        <w:jc w:val="center"/>
      </w:pPr>
      <w:r>
        <w:rPr>
          <w:rFonts w:ascii="Calibri" w:cs="Calibri" w:eastAsia="Calibri" w:hAnsi="Calibri"/>
          <w:i/>
          <w:iCs/>
          <w:color w:val="7A8E99"/>
          <w:sz w:val="18"/>
          <w:szCs w:val="18"/>
        </w:rPr>
        <w:t xml:space="preserve">Dataset: 3,900 rows  ·  18 columns  ·  Tools: Python · MySQL · Power BI</w:t>
      </w:r>
    </w:p>
    <w:p>
      <w:pPr>
        <w:pBdr>
          <w:bottom w:val="single" w:color="0A7E8C" w:sz="8"/>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120"/>
              <w:left w:type="dxa" w:w="200"/>
              <w:bottom w:type="dxa" w:w="120"/>
              <w:right w:type="dxa" w:w="200"/>
            </w:tcMar>
          </w:tcPr>
          <w:p>
            <w:r>
              <w:rPr>
                <w:rFonts w:ascii="Calibri" w:cs="Calibri" w:eastAsia="Calibri" w:hAnsi="Calibri"/>
                <w:b/>
                <w:bCs/>
                <w:color w:val="FFFFFF"/>
                <w:sz w:val="28"/>
                <w:szCs w:val="28"/>
              </w:rPr>
              <w:t xml:space="preserve">PART A — DATA ANALYSIS METHODOLOGY</w:t>
            </w:r>
          </w:p>
        </w:tc>
      </w:tr>
    </w:tbl>
    <w:p>
      <w:pPr>
        <w:spacing w:after="0" w:before="120"/>
      </w:pPr>
      <w:r>
        <w:t xml:space="preserve"/>
      </w:r>
    </w:p>
    <w:p>
      <w:pPr>
        <w:spacing w:after="80" w:before="240"/>
      </w:pPr>
      <w:r>
        <w:rPr>
          <w:rFonts w:ascii="Calibri" w:cs="Calibri" w:eastAsia="Calibri" w:hAnsi="Calibri"/>
          <w:b/>
          <w:bCs/>
          <w:color w:val="0A7E8C"/>
          <w:sz w:val="26"/>
          <w:szCs w:val="26"/>
        </w:rPr>
        <w:t xml:space="preserve">1. Project Overview</w:t>
      </w:r>
    </w:p>
    <w:p>
      <w:pPr>
        <w:spacing w:after="80" w:before="60"/>
      </w:pPr>
      <w:r>
        <w:rPr>
          <w:rFonts w:ascii="Calibri" w:cs="Calibri" w:eastAsia="Calibri" w:hAnsi="Calibri"/>
          <w:color w:val="3D4F5C"/>
          <w:sz w:val="22"/>
          <w:szCs w:val="22"/>
        </w:rPr>
        <w:t xml:space="preserve">This project analyzes customer shopping behavior using transactional data from 3,900 purchases spanning multiple product categories, demographics, and seasonal patterns. The objective is to surface actionable insights into spending behavior, customer segmentation, product performance, and subscription dynamics to support strategic retail decision-making.</w:t>
      </w:r>
    </w:p>
    <w:p>
      <w:pPr>
        <w:spacing w:after="0" w:before="80"/>
      </w:pPr>
      <w:r>
        <w:t xml:space="preserve"/>
      </w:r>
    </w:p>
    <w:p>
      <w:pPr>
        <w:spacing w:after="80" w:before="240"/>
      </w:pPr>
      <w:r>
        <w:rPr>
          <w:rFonts w:ascii="Calibri" w:cs="Calibri" w:eastAsia="Calibri" w:hAnsi="Calibri"/>
          <w:b/>
          <w:bCs/>
          <w:color w:val="0A7E8C"/>
          <w:sz w:val="26"/>
          <w:szCs w:val="26"/>
        </w:rPr>
        <w:t xml:space="preserve">2.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Attribute</w:t>
            </w:r>
          </w:p>
        </w:tc>
        <w:tc>
          <w:tcPr>
            <w:tcW w:type="dxa" w:w="576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Detail</w:t>
            </w:r>
          </w:p>
        </w:tc>
      </w:tr>
      <w:tr>
        <w:tc>
          <w:tcPr>
            <w:tcW w:type="dxa" w:w="36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Total Records</w:t>
            </w:r>
          </w:p>
        </w:tc>
        <w:tc>
          <w:tcPr>
            <w:tcW w:type="dxa" w:w="576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3,900 rows</w:t>
            </w:r>
          </w:p>
        </w:tc>
      </w:tr>
      <w:tr>
        <w:tc>
          <w:tcPr>
            <w:tcW w:type="dxa" w:w="36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Features</w:t>
            </w:r>
          </w:p>
        </w:tc>
        <w:tc>
          <w:tcPr>
            <w:tcW w:type="dxa" w:w="576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18 columns</w:t>
            </w:r>
          </w:p>
        </w:tc>
      </w:tr>
      <w:tr>
        <w:tc>
          <w:tcPr>
            <w:tcW w:type="dxa" w:w="36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Demographics</w:t>
            </w:r>
          </w:p>
        </w:tc>
        <w:tc>
          <w:tcPr>
            <w:tcW w:type="dxa" w:w="576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Age, Gender, Location, Subscription Status</w:t>
            </w:r>
          </w:p>
        </w:tc>
      </w:tr>
      <w:tr>
        <w:tc>
          <w:tcPr>
            <w:tcW w:type="dxa" w:w="36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Purchase Data</w:t>
            </w:r>
          </w:p>
        </w:tc>
        <w:tc>
          <w:tcPr>
            <w:tcW w:type="dxa" w:w="576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Item, Category, Amount (USD), Season, Size, Color</w:t>
            </w:r>
          </w:p>
        </w:tc>
      </w:tr>
      <w:tr>
        <w:tc>
          <w:tcPr>
            <w:tcW w:type="dxa" w:w="36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Behaviour Data</w:t>
            </w:r>
          </w:p>
        </w:tc>
        <w:tc>
          <w:tcPr>
            <w:tcW w:type="dxa" w:w="576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Discount Applied, Frequency, Review Rating, Shipping Type</w:t>
            </w:r>
          </w:p>
        </w:tc>
      </w:tr>
      <w:tr>
        <w:tc>
          <w:tcPr>
            <w:tcW w:type="dxa" w:w="36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Missing Data</w:t>
            </w:r>
          </w:p>
        </w:tc>
        <w:tc>
          <w:tcPr>
            <w:tcW w:type="dxa" w:w="576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37 null values in Review Rating column (imputed via category median)</w:t>
            </w:r>
          </w:p>
        </w:tc>
      </w:tr>
    </w:tbl>
    <w:p>
      <w:pPr>
        <w:spacing w:after="0" w:before="120"/>
      </w:pPr>
      <w:r>
        <w:t xml:space="preserve"/>
      </w:r>
    </w:p>
    <w:p>
      <w:pPr>
        <w:spacing w:after="80" w:before="240"/>
      </w:pPr>
      <w:r>
        <w:rPr>
          <w:rFonts w:ascii="Calibri" w:cs="Calibri" w:eastAsia="Calibri" w:hAnsi="Calibri"/>
          <w:b/>
          <w:bCs/>
          <w:color w:val="0A7E8C"/>
          <w:sz w:val="26"/>
          <w:szCs w:val="26"/>
        </w:rPr>
        <w:t xml:space="preserve">3. Exploratory Data Analysis (Python)</w:t>
      </w:r>
    </w:p>
    <w:p>
      <w:pPr>
        <w:spacing w:after="80" w:before="60"/>
      </w:pPr>
      <w:r>
        <w:rPr>
          <w:rFonts w:ascii="Calibri" w:cs="Calibri" w:eastAsia="Calibri" w:hAnsi="Calibri"/>
          <w:color w:val="3D4F5C"/>
          <w:sz w:val="22"/>
          <w:szCs w:val="22"/>
        </w:rPr>
        <w:t xml:space="preserve">The following preprocessing steps were applied to ensure data quality and analytical readiness:</w:t>
      </w:r>
    </w:p>
    <w:p>
      <w:pPr>
        <w:spacing w:after="0" w:before="80"/>
      </w:pPr>
      <w:r>
        <w:t xml:space="preserve"/>
      </w:r>
    </w:p>
    <w:p>
      <w:pPr>
        <w:pStyle w:val="ListParagraph"/>
        <w:numPr>
          <w:ilvl w:val="0"/>
          <w:numId w:val="2"/>
        </w:numPr>
        <w:spacing w:after="40" w:before="40"/>
      </w:pPr>
      <w:r>
        <w:rPr>
          <w:rFonts w:ascii="Calibri" w:cs="Calibri" w:eastAsia="Calibri" w:hAnsi="Calibri"/>
          <w:b/>
          <w:bCs/>
          <w:color w:val="3D4F5C"/>
          <w:sz w:val="22"/>
          <w:szCs w:val="22"/>
        </w:rPr>
        <w:t xml:space="preserve">Data Loading:</w:t>
      </w:r>
      <w:r>
        <w:rPr>
          <w:rFonts w:ascii="Calibri" w:cs="Calibri" w:eastAsia="Calibri" w:hAnsi="Calibri"/>
          <w:color w:val="3D4F5C"/>
          <w:sz w:val="22"/>
          <w:szCs w:val="22"/>
        </w:rPr>
        <w:t xml:space="preserve"> Imported dataset with pandas; used df.info() and .describe() for initial structural review.</w:t>
      </w:r>
    </w:p>
    <w:p>
      <w:pPr>
        <w:pStyle w:val="ListParagraph"/>
        <w:numPr>
          <w:ilvl w:val="0"/>
          <w:numId w:val="2"/>
        </w:numPr>
        <w:spacing w:after="40" w:before="40"/>
      </w:pPr>
      <w:r>
        <w:rPr>
          <w:rFonts w:ascii="Calibri" w:cs="Calibri" w:eastAsia="Calibri" w:hAnsi="Calibri"/>
          <w:b/>
          <w:bCs/>
          <w:color w:val="3D4F5C"/>
          <w:sz w:val="22"/>
          <w:szCs w:val="22"/>
        </w:rPr>
        <w:t xml:space="preserve">Missing Data Handling:</w:t>
      </w:r>
      <w:r>
        <w:rPr>
          <w:rFonts w:ascii="Calibri" w:cs="Calibri" w:eastAsia="Calibri" w:hAnsi="Calibri"/>
          <w:color w:val="3D4F5C"/>
          <w:sz w:val="22"/>
          <w:szCs w:val="22"/>
        </w:rPr>
        <w:t xml:space="preserve"> Identified 37 nulls in Review Rating via df.isnull().sum(). Imputed using category-level mean.</w:t>
      </w:r>
    </w:p>
    <w:p>
      <w:pPr>
        <w:pStyle w:val="ListParagraph"/>
        <w:numPr>
          <w:ilvl w:val="0"/>
          <w:numId w:val="2"/>
        </w:numPr>
        <w:spacing w:after="40" w:before="40"/>
      </w:pPr>
      <w:r>
        <w:rPr>
          <w:rFonts w:ascii="Calibri" w:cs="Calibri" w:eastAsia="Calibri" w:hAnsi="Calibri"/>
          <w:b/>
          <w:bCs/>
          <w:color w:val="3D4F5C"/>
          <w:sz w:val="22"/>
          <w:szCs w:val="22"/>
        </w:rPr>
        <w:t xml:space="preserve">Column Standardisation:</w:t>
      </w:r>
      <w:r>
        <w:rPr>
          <w:rFonts w:ascii="Calibri" w:cs="Calibri" w:eastAsia="Calibri" w:hAnsi="Calibri"/>
          <w:color w:val="3D4F5C"/>
          <w:sz w:val="22"/>
          <w:szCs w:val="22"/>
        </w:rPr>
        <w:t xml:space="preserve"> Renamed all columns to snake_case for consistent referencing.</w:t>
      </w:r>
    </w:p>
    <w:p>
      <w:pPr>
        <w:pStyle w:val="ListParagraph"/>
        <w:numPr>
          <w:ilvl w:val="0"/>
          <w:numId w:val="2"/>
        </w:numPr>
        <w:spacing w:after="40" w:before="40"/>
      </w:pPr>
      <w:r>
        <w:rPr>
          <w:rFonts w:ascii="Calibri" w:cs="Calibri" w:eastAsia="Calibri" w:hAnsi="Calibri"/>
          <w:b/>
          <w:bCs/>
          <w:color w:val="3D4F5C"/>
          <w:sz w:val="22"/>
          <w:szCs w:val="22"/>
        </w:rPr>
        <w:t xml:space="preserve">Feature Engineering:</w:t>
      </w:r>
      <w:r>
        <w:rPr>
          <w:rFonts w:ascii="Calibri" w:cs="Calibri" w:eastAsia="Calibri" w:hAnsi="Calibri"/>
          <w:color w:val="3D4F5C"/>
          <w:sz w:val="22"/>
          <w:szCs w:val="22"/>
        </w:rPr>
        <w:t xml:space="preserve"> Created age_group (quartile bins: Young, Adult, Middle-Aged, Senior) and purchase_frequency_days (mapped text frequency to numeric days).</w:t>
      </w:r>
    </w:p>
    <w:p>
      <w:pPr>
        <w:pStyle w:val="ListParagraph"/>
        <w:numPr>
          <w:ilvl w:val="0"/>
          <w:numId w:val="2"/>
        </w:numPr>
        <w:spacing w:after="40" w:before="40"/>
      </w:pPr>
      <w:r>
        <w:rPr>
          <w:rFonts w:ascii="Calibri" w:cs="Calibri" w:eastAsia="Calibri" w:hAnsi="Calibri"/>
          <w:b/>
          <w:bCs/>
          <w:color w:val="3D4F5C"/>
          <w:sz w:val="22"/>
          <w:szCs w:val="22"/>
        </w:rPr>
        <w:t xml:space="preserve">Redundancy Check:</w:t>
      </w:r>
      <w:r>
        <w:rPr>
          <w:rFonts w:ascii="Calibri" w:cs="Calibri" w:eastAsia="Calibri" w:hAnsi="Calibri"/>
          <w:color w:val="3D4F5C"/>
          <w:sz w:val="22"/>
          <w:szCs w:val="22"/>
        </w:rPr>
        <w:t xml:space="preserve"> Verified that discount_applied and promo_code_used were identical; dropped promo_code_used.</w:t>
      </w:r>
    </w:p>
    <w:p>
      <w:pPr>
        <w:pStyle w:val="ListParagraph"/>
        <w:numPr>
          <w:ilvl w:val="0"/>
          <w:numId w:val="2"/>
        </w:numPr>
        <w:spacing w:after="40" w:before="40"/>
      </w:pPr>
      <w:r>
        <w:rPr>
          <w:rFonts w:ascii="Calibri" w:cs="Calibri" w:eastAsia="Calibri" w:hAnsi="Calibri"/>
          <w:b/>
          <w:bCs/>
          <w:color w:val="3D4F5C"/>
          <w:sz w:val="22"/>
          <w:szCs w:val="22"/>
        </w:rPr>
        <w:t xml:space="preserve">Database Integration:</w:t>
      </w:r>
      <w:r>
        <w:rPr>
          <w:rFonts w:ascii="Calibri" w:cs="Calibri" w:eastAsia="Calibri" w:hAnsi="Calibri"/>
          <w:color w:val="3D4F5C"/>
          <w:sz w:val="22"/>
          <w:szCs w:val="22"/>
        </w:rPr>
        <w:t xml:space="preserve"> Loaded cleaned DataFrame into MySQL via SQLAlchemy for structured SQL analysis.</w:t>
      </w:r>
    </w:p>
    <w:p>
      <w:pPr>
        <w:spacing w:after="0" w:before="80"/>
      </w:pPr>
      <w:r>
        <w:t xml:space="preserve"/>
      </w:r>
    </w:p>
    <w:p>
      <w:pPr>
        <w:spacing w:after="80" w:before="60"/>
      </w:pPr>
      <w:r>
        <w:rPr>
          <w:rFonts w:ascii="Calibri" w:cs="Calibri" w:eastAsia="Calibri" w:hAnsi="Calibri"/>
          <w:color w:val="3D4F5C"/>
          <w:sz w:val="22"/>
          <w:szCs w:val="22"/>
        </w:rPr>
        <w:t xml:space="preserve">Key code snippets used in preprocessing: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DE2" w:sz="2"/>
              <w:left w:val="single" w:color="B2DDE2" w:sz="2"/>
              <w:bottom w:val="single" w:color="B2DDE2" w:sz="2"/>
              <w:right w:val="single" w:color="B2DDE2" w:sz="2"/>
            </w:tcBorders>
            <w:shd w:fill="0D2B4E" w:val="clear"/>
            <w:tcMar>
              <w:top w:type="dxa" w:w="120"/>
              <w:left w:type="dxa" w:w="240"/>
              <w:bottom w:type="dxa" w:w="120"/>
              <w:right w:type="dxa" w:w="120"/>
            </w:tcMar>
          </w:tcPr>
          <w:p>
            <w:pPr>
              <w:spacing w:after="20" w:before="20"/>
            </w:pPr>
            <w:r>
              <w:rPr>
                <w:rFonts w:ascii="Courier New" w:cs="Courier New" w:eastAsia="Courier New" w:hAnsi="Courier New"/>
                <w:color w:val="7FDBCC"/>
                <w:sz w:val="18"/>
                <w:szCs w:val="18"/>
              </w:rPr>
              <w:t xml:space="preserve"># Column standardisation</w:t>
            </w:r>
          </w:p>
          <w:p>
            <w:pPr>
              <w:spacing w:after="20" w:before="20"/>
            </w:pPr>
            <w:r>
              <w:rPr>
                <w:rFonts w:ascii="Courier New" w:cs="Courier New" w:eastAsia="Courier New" w:hAnsi="Courier New"/>
                <w:color w:val="7FDBCC"/>
                <w:sz w:val="18"/>
                <w:szCs w:val="18"/>
              </w:rPr>
              <w:t xml:space="preserve">df.columns = df.columns.str.lower().str.replace(' ', '_')</w:t>
            </w:r>
          </w:p>
          <w:p>
            <w:pPr>
              <w:spacing w:after="20" w:before="20"/>
            </w:pPr>
            <w:r>
              <w:rPr>
                <w:rFonts w:ascii="Courier New" w:cs="Courier New" w:eastAsia="Courier New" w:hAnsi="Courier New"/>
                <w:color w:val="7FDBCC"/>
                <w:sz w:val="18"/>
                <w:szCs w:val="18"/>
              </w:rPr>
              <w:t xml:space="preserve"/>
            </w:r>
          </w:p>
          <w:p>
            <w:pPr>
              <w:spacing w:after="20" w:before="20"/>
            </w:pPr>
            <w:r>
              <w:rPr>
                <w:rFonts w:ascii="Courier New" w:cs="Courier New" w:eastAsia="Courier New" w:hAnsi="Courier New"/>
                <w:color w:val="7FDBCC"/>
                <w:sz w:val="18"/>
                <w:szCs w:val="18"/>
              </w:rPr>
              <w:t xml:space="preserve"># Age group binning</w:t>
            </w:r>
          </w:p>
          <w:p>
            <w:pPr>
              <w:spacing w:after="20" w:before="20"/>
            </w:pPr>
            <w:r>
              <w:rPr>
                <w:rFonts w:ascii="Courier New" w:cs="Courier New" w:eastAsia="Courier New" w:hAnsi="Courier New"/>
                <w:color w:val="7FDBCC"/>
                <w:sz w:val="18"/>
                <w:szCs w:val="18"/>
              </w:rPr>
              <w:t xml:space="preserve">labels = ["Young", "Adult", "Middle-Aged", "Senior"]</w:t>
            </w:r>
          </w:p>
          <w:p>
            <w:pPr>
              <w:spacing w:after="20" w:before="20"/>
            </w:pPr>
            <w:r>
              <w:rPr>
                <w:rFonts w:ascii="Courier New" w:cs="Courier New" w:eastAsia="Courier New" w:hAnsi="Courier New"/>
                <w:color w:val="7FDBCC"/>
                <w:sz w:val="18"/>
                <w:szCs w:val="18"/>
              </w:rPr>
              <w:t xml:space="preserve">df["age_group"] = pd.qcut(df["age"], q=4, labels=labels)</w:t>
            </w:r>
          </w:p>
          <w:p>
            <w:pPr>
              <w:spacing w:after="20" w:before="20"/>
            </w:pPr>
            <w:r>
              <w:rPr>
                <w:rFonts w:ascii="Courier New" w:cs="Courier New" w:eastAsia="Courier New" w:hAnsi="Courier New"/>
                <w:color w:val="7FDBCC"/>
                <w:sz w:val="18"/>
                <w:szCs w:val="18"/>
              </w:rPr>
              <w:t xml:space="preserve"/>
            </w:r>
          </w:p>
          <w:p>
            <w:pPr>
              <w:spacing w:after="20" w:before="20"/>
            </w:pPr>
            <w:r>
              <w:rPr>
                <w:rFonts w:ascii="Courier New" w:cs="Courier New" w:eastAsia="Courier New" w:hAnsi="Courier New"/>
                <w:color w:val="7FDBCC"/>
                <w:sz w:val="18"/>
                <w:szCs w:val="18"/>
              </w:rPr>
              <w:t xml:space="preserve"># Purchase frequency mapping</w:t>
            </w:r>
          </w:p>
          <w:p>
            <w:pPr>
              <w:spacing w:after="20" w:before="20"/>
            </w:pPr>
            <w:r>
              <w:rPr>
                <w:rFonts w:ascii="Courier New" w:cs="Courier New" w:eastAsia="Courier New" w:hAnsi="Courier New"/>
                <w:color w:val="7FDBCC"/>
                <w:sz w:val="18"/>
                <w:szCs w:val="18"/>
              </w:rPr>
              <w:t xml:space="preserve">freq_map = {"Weekly": 7, "Fortnightly": 14, "Monthly": 30, "Quarterly": 90, "Annually": 365}</w:t>
            </w:r>
          </w:p>
          <w:p>
            <w:pPr>
              <w:spacing w:after="20" w:before="20"/>
            </w:pPr>
            <w:r>
              <w:rPr>
                <w:rFonts w:ascii="Courier New" w:cs="Courier New" w:eastAsia="Courier New" w:hAnsi="Courier New"/>
                <w:color w:val="7FDBCC"/>
                <w:sz w:val="18"/>
                <w:szCs w:val="18"/>
              </w:rPr>
              <w:t xml:space="preserve">df["purchase_frequency_days"] = df["frequency_of_purchases"].map(freq_map)</w:t>
            </w:r>
          </w:p>
          <w:p>
            <w:pPr>
              <w:spacing w:after="20" w:before="20"/>
            </w:pPr>
            <w:r>
              <w:rPr>
                <w:rFonts w:ascii="Courier New" w:cs="Courier New" w:eastAsia="Courier New" w:hAnsi="Courier New"/>
                <w:color w:val="7FDBCC"/>
                <w:sz w:val="18"/>
                <w:szCs w:val="18"/>
              </w:rPr>
              <w:t xml:space="preserve"/>
            </w:r>
          </w:p>
          <w:p>
            <w:pPr>
              <w:spacing w:after="20" w:before="20"/>
            </w:pPr>
            <w:r>
              <w:rPr>
                <w:rFonts w:ascii="Courier New" w:cs="Courier New" w:eastAsia="Courier New" w:hAnsi="Courier New"/>
                <w:color w:val="7FDBCC"/>
                <w:sz w:val="18"/>
                <w:szCs w:val="18"/>
              </w:rPr>
              <w:t xml:space="preserve"># Missing value imputation</w:t>
            </w:r>
          </w:p>
          <w:p>
            <w:pPr>
              <w:spacing w:after="20" w:before="20"/>
            </w:pPr>
            <w:r>
              <w:rPr>
                <w:rFonts w:ascii="Courier New" w:cs="Courier New" w:eastAsia="Courier New" w:hAnsi="Courier New"/>
                <w:color w:val="7FDBCC"/>
                <w:sz w:val="18"/>
                <w:szCs w:val="18"/>
              </w:rPr>
              <w:t xml:space="preserve">df["review_rating"] = df.groupby("category")["review_rating"].transform(lambda x: x.fillna(x.mean()))</w:t>
            </w:r>
          </w:p>
        </w:tc>
      </w:tr>
    </w:tbl>
    <w:p>
      <w:pPr>
        <w:spacing w:after="0" w:before="120"/>
      </w:pPr>
      <w:r>
        <w:t xml:space="preserve"/>
      </w:r>
    </w:p>
    <w:p>
      <w:pPr>
        <w:spacing w:after="80" w:before="240"/>
      </w:pPr>
      <w:r>
        <w:rPr>
          <w:rFonts w:ascii="Calibri" w:cs="Calibri" w:eastAsia="Calibri" w:hAnsi="Calibri"/>
          <w:b/>
          <w:bCs/>
          <w:color w:val="0A7E8C"/>
          <w:sz w:val="26"/>
          <w:szCs w:val="26"/>
        </w:rPr>
        <w:t xml:space="preserve">4. SQL Business Queries &amp; Findings</w:t>
      </w:r>
    </w:p>
    <w:p>
      <w:pPr>
        <w:spacing w:after="80" w:before="60"/>
      </w:pPr>
      <w:r>
        <w:rPr>
          <w:rFonts w:ascii="Calibri" w:cs="Calibri" w:eastAsia="Calibri" w:hAnsi="Calibri"/>
          <w:color w:val="3D4F5C"/>
          <w:sz w:val="22"/>
          <w:szCs w:val="22"/>
        </w:rPr>
        <w:t xml:space="preserve">Ten structured queries were executed in MySQL to answer key business questions. Below are the queries, results, and interpretations:</w:t>
      </w:r>
    </w:p>
    <w:p>
      <w:pPr>
        <w:spacing w:after="0" w:before="80"/>
      </w:pPr>
      <w:r>
        <w:t xml:space="preserve"/>
      </w:r>
    </w:p>
    <w:p>
      <w:pPr>
        <w:spacing w:after="60" w:before="120"/>
      </w:pPr>
      <w:r>
        <w:rPr>
          <w:rFonts w:ascii="Calibri" w:cs="Calibri" w:eastAsia="Calibri" w:hAnsi="Calibri"/>
          <w:b/>
          <w:bCs/>
          <w:color w:val="0D2B4E"/>
          <w:sz w:val="23"/>
          <w:szCs w:val="23"/>
        </w:rPr>
        <w:t xml:space="preserve">Query 1 — Revenue by Gender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DE2" w:sz="2"/>
              <w:left w:val="single" w:color="B2DDE2" w:sz="2"/>
              <w:bottom w:val="single" w:color="B2DDE2" w:sz="2"/>
              <w:right w:val="single" w:color="B2DDE2" w:sz="2"/>
            </w:tcBorders>
            <w:shd w:fill="0D2B4E" w:val="clear"/>
            <w:tcMar>
              <w:top w:type="dxa" w:w="120"/>
              <w:left w:type="dxa" w:w="240"/>
              <w:bottom w:type="dxa" w:w="120"/>
              <w:right w:type="dxa" w:w="120"/>
            </w:tcMar>
          </w:tcPr>
          <w:p>
            <w:pPr>
              <w:spacing w:after="20" w:before="20"/>
            </w:pPr>
            <w:r>
              <w:rPr>
                <w:rFonts w:ascii="Courier New" w:cs="Courier New" w:eastAsia="Courier New" w:hAnsi="Courier New"/>
                <w:color w:val="7FDBCC"/>
                <w:sz w:val="18"/>
                <w:szCs w:val="18"/>
              </w:rPr>
              <w:t xml:space="preserve">SELECT gender, SUM(purchase_amount_usd) AS revenue</w:t>
            </w:r>
          </w:p>
          <w:p>
            <w:pPr>
              <w:spacing w:after="20" w:before="20"/>
            </w:pPr>
            <w:r>
              <w:rPr>
                <w:rFonts w:ascii="Courier New" w:cs="Courier New" w:eastAsia="Courier New" w:hAnsi="Courier New"/>
                <w:color w:val="7FDBCC"/>
                <w:sz w:val="18"/>
                <w:szCs w:val="18"/>
              </w:rPr>
              <w:t xml:space="preserve">FROM customers GROUP BY gender;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Gender</w:t>
            </w:r>
          </w:p>
        </w:tc>
        <w:tc>
          <w:tcPr>
            <w:tcW w:type="dxa" w:w="468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Total Revenue (USD)</w:t>
            </w:r>
          </w:p>
        </w:tc>
      </w:tr>
      <w:tr>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Male</w:t>
            </w:r>
          </w:p>
        </w:tc>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157,890</w:t>
            </w:r>
          </w:p>
        </w:tc>
      </w:tr>
      <w:tr>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Female</w:t>
            </w:r>
          </w:p>
        </w:tc>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75,191</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Interpretation</w:t>
            </w:r>
          </w:p>
          <w:p>
            <w:pPr>
              <w:pStyle w:val="ListParagraph"/>
              <w:numPr>
                <w:ilvl w:val="0"/>
                <w:numId w:val="2"/>
              </w:numPr>
              <w:spacing w:after="30" w:before="30"/>
            </w:pPr>
            <w:r>
              <w:rPr>
                <w:rFonts w:ascii="Calibri" w:cs="Calibri" w:eastAsia="Calibri" w:hAnsi="Calibri"/>
                <w:color w:val="3D4F5C"/>
                <w:sz w:val="21"/>
                <w:szCs w:val="21"/>
              </w:rPr>
              <w:t xml:space="preserve">Male customers generate ~67.7% of total revenue vs. 32.3% for Female customers.</w:t>
            </w:r>
          </w:p>
          <w:p>
            <w:pPr>
              <w:pStyle w:val="ListParagraph"/>
              <w:numPr>
                <w:ilvl w:val="0"/>
                <w:numId w:val="2"/>
              </w:numPr>
              <w:spacing w:after="30" w:before="30"/>
            </w:pPr>
            <w:r>
              <w:rPr>
                <w:rFonts w:ascii="Calibri" w:cs="Calibri" w:eastAsia="Calibri" w:hAnsi="Calibri"/>
                <w:color w:val="3D4F5C"/>
                <w:sz w:val="21"/>
                <w:szCs w:val="21"/>
              </w:rPr>
              <w:t xml:space="preserve">This disparity could reflect a gender skew in the customer base (2,652 Male vs. 1,248 Female in the dataset) rather than a spending difference.</w:t>
            </w:r>
          </w:p>
          <w:p>
            <w:pPr>
              <w:pStyle w:val="ListParagraph"/>
              <w:numPr>
                <w:ilvl w:val="0"/>
                <w:numId w:val="2"/>
              </w:numPr>
              <w:spacing w:after="30" w:before="30"/>
            </w:pPr>
            <w:r>
              <w:rPr>
                <w:rFonts w:ascii="Calibri" w:cs="Calibri" w:eastAsia="Calibri" w:hAnsi="Calibri"/>
                <w:color w:val="3D4F5C"/>
                <w:sz w:val="21"/>
                <w:szCs w:val="21"/>
              </w:rPr>
              <w:t xml:space="preserve">Female customer acquisition and targeted campaigns represent a significant untapped revenue opportunity.</w:t>
            </w:r>
          </w:p>
        </w:tc>
      </w:tr>
    </w:tbl>
    <w:p>
      <w:pPr>
        <w:spacing w:after="0" w:before="120"/>
      </w:pPr>
      <w:r>
        <w:t xml:space="preserve"/>
      </w:r>
    </w:p>
    <w:p>
      <w:pPr>
        <w:spacing w:after="60" w:before="120"/>
      </w:pPr>
      <w:r>
        <w:rPr>
          <w:rFonts w:ascii="Calibri" w:cs="Calibri" w:eastAsia="Calibri" w:hAnsi="Calibri"/>
          <w:b/>
          <w:bCs/>
          <w:color w:val="0D2B4E"/>
          <w:sz w:val="23"/>
          <w:szCs w:val="23"/>
        </w:rPr>
        <w:t xml:space="preserve">Query 2 — High-Spending Discount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DE2" w:sz="2"/>
              <w:left w:val="single" w:color="B2DDE2" w:sz="2"/>
              <w:bottom w:val="single" w:color="B2DDE2" w:sz="2"/>
              <w:right w:val="single" w:color="B2DDE2" w:sz="2"/>
            </w:tcBorders>
            <w:shd w:fill="0D2B4E" w:val="clear"/>
            <w:tcMar>
              <w:top w:type="dxa" w:w="120"/>
              <w:left w:type="dxa" w:w="240"/>
              <w:bottom w:type="dxa" w:w="120"/>
              <w:right w:type="dxa" w:w="120"/>
            </w:tcMar>
          </w:tcPr>
          <w:p>
            <w:pPr>
              <w:spacing w:after="20" w:before="20"/>
            </w:pPr>
            <w:r>
              <w:rPr>
                <w:rFonts w:ascii="Courier New" w:cs="Courier New" w:eastAsia="Courier New" w:hAnsi="Courier New"/>
                <w:color w:val="7FDBCC"/>
                <w:sz w:val="18"/>
                <w:szCs w:val="18"/>
              </w:rPr>
              <w:t xml:space="preserve">SELECT customer_id, purchase_amount_usd</w:t>
            </w:r>
          </w:p>
          <w:p>
            <w:pPr>
              <w:spacing w:after="20" w:before="20"/>
            </w:pPr>
            <w:r>
              <w:rPr>
                <w:rFonts w:ascii="Courier New" w:cs="Courier New" w:eastAsia="Courier New" w:hAnsi="Courier New"/>
                <w:color w:val="7FDBCC"/>
                <w:sz w:val="18"/>
                <w:szCs w:val="18"/>
              </w:rPr>
              <w:t xml:space="preserve">FROM customers</w:t>
            </w:r>
          </w:p>
          <w:p>
            <w:pPr>
              <w:spacing w:after="20" w:before="20"/>
            </w:pPr>
            <w:r>
              <w:rPr>
                <w:rFonts w:ascii="Courier New" w:cs="Courier New" w:eastAsia="Courier New" w:hAnsi="Courier New"/>
                <w:color w:val="7FDBCC"/>
                <w:sz w:val="18"/>
                <w:szCs w:val="18"/>
              </w:rPr>
              <w:t xml:space="preserve">WHERE discount_applied = 'Yes'</w:t>
            </w:r>
          </w:p>
          <w:p>
            <w:pPr>
              <w:spacing w:after="20" w:before="20"/>
            </w:pPr>
            <w:r>
              <w:rPr>
                <w:rFonts w:ascii="Courier New" w:cs="Courier New" w:eastAsia="Courier New" w:hAnsi="Courier New"/>
                <w:color w:val="7FDBCC"/>
                <w:sz w:val="18"/>
                <w:szCs w:val="18"/>
              </w:rPr>
              <w:t xml:space="preserve">  AND purchase_amount_usd &gt;= (SELECT AVG(purchase_amount_usd) FROM customers);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Interpretation</w:t>
            </w:r>
          </w:p>
          <w:p>
            <w:pPr>
              <w:pStyle w:val="ListParagraph"/>
              <w:numPr>
                <w:ilvl w:val="0"/>
                <w:numId w:val="2"/>
              </w:numPr>
              <w:spacing w:after="30" w:before="30"/>
            </w:pPr>
            <w:r>
              <w:rPr>
                <w:rFonts w:ascii="Calibri" w:cs="Calibri" w:eastAsia="Calibri" w:hAnsi="Calibri"/>
                <w:color w:val="3D4F5C"/>
                <w:sz w:val="21"/>
                <w:szCs w:val="21"/>
              </w:rPr>
              <w:t xml:space="preserve">A meaningful subset of discount users still spends above the average ($59.76), disproving the assumption that discounts only attract low-spend shoppers.</w:t>
            </w:r>
          </w:p>
          <w:p>
            <w:pPr>
              <w:pStyle w:val="ListParagraph"/>
              <w:numPr>
                <w:ilvl w:val="0"/>
                <w:numId w:val="2"/>
              </w:numPr>
              <w:spacing w:after="30" w:before="30"/>
            </w:pPr>
            <w:r>
              <w:rPr>
                <w:rFonts w:ascii="Calibri" w:cs="Calibri" w:eastAsia="Calibri" w:hAnsi="Calibri"/>
                <w:color w:val="3D4F5C"/>
                <w:sz w:val="21"/>
                <w:szCs w:val="21"/>
              </w:rPr>
              <w:t xml:space="preserve">These customers represent ideal upsell targets — they respond to incentives but maintain high basket values.</w:t>
            </w:r>
          </w:p>
          <w:p>
            <w:pPr>
              <w:pStyle w:val="ListParagraph"/>
              <w:numPr>
                <w:ilvl w:val="0"/>
                <w:numId w:val="2"/>
              </w:numPr>
              <w:spacing w:after="30" w:before="30"/>
            </w:pPr>
            <w:r>
              <w:rPr>
                <w:rFonts w:ascii="Calibri" w:cs="Calibri" w:eastAsia="Calibri" w:hAnsi="Calibri"/>
                <w:color w:val="3D4F5C"/>
                <w:sz w:val="21"/>
                <w:szCs w:val="21"/>
              </w:rPr>
              <w:t xml:space="preserve">Consider exclusive early-access or premium tier offers for this high-value discount segment.</w:t>
            </w:r>
          </w:p>
        </w:tc>
      </w:tr>
    </w:tbl>
    <w:p>
      <w:pPr>
        <w:spacing w:after="0" w:before="120"/>
      </w:pPr>
      <w:r>
        <w:t xml:space="preserve"/>
      </w:r>
    </w:p>
    <w:p>
      <w:pPr>
        <w:spacing w:after="60" w:before="120"/>
      </w:pPr>
      <w:r>
        <w:rPr>
          <w:rFonts w:ascii="Calibri" w:cs="Calibri" w:eastAsia="Calibri" w:hAnsi="Calibri"/>
          <w:b/>
          <w:bCs/>
          <w:color w:val="0D2B4E"/>
          <w:sz w:val="23"/>
          <w:szCs w:val="23"/>
        </w:rPr>
        <w:t xml:space="preserve">Query 3 — Top 5 Products by Average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DE2" w:sz="2"/>
              <w:left w:val="single" w:color="B2DDE2" w:sz="2"/>
              <w:bottom w:val="single" w:color="B2DDE2" w:sz="2"/>
              <w:right w:val="single" w:color="B2DDE2" w:sz="2"/>
            </w:tcBorders>
            <w:shd w:fill="0D2B4E" w:val="clear"/>
            <w:tcMar>
              <w:top w:type="dxa" w:w="120"/>
              <w:left w:type="dxa" w:w="240"/>
              <w:bottom w:type="dxa" w:w="120"/>
              <w:right w:type="dxa" w:w="120"/>
            </w:tcMar>
          </w:tcPr>
          <w:p>
            <w:pPr>
              <w:spacing w:after="20" w:before="20"/>
            </w:pPr>
            <w:r>
              <w:rPr>
                <w:rFonts w:ascii="Courier New" w:cs="Courier New" w:eastAsia="Courier New" w:hAnsi="Courier New"/>
                <w:color w:val="7FDBCC"/>
                <w:sz w:val="18"/>
                <w:szCs w:val="18"/>
              </w:rPr>
              <w:t xml:space="preserve">SELECT item_purchased, ROUND(AVG(review_rating), 2) AS avg_product_rating</w:t>
            </w:r>
          </w:p>
          <w:p>
            <w:pPr>
              <w:spacing w:after="20" w:before="20"/>
            </w:pPr>
            <w:r>
              <w:rPr>
                <w:rFonts w:ascii="Courier New" w:cs="Courier New" w:eastAsia="Courier New" w:hAnsi="Courier New"/>
                <w:color w:val="7FDBCC"/>
                <w:sz w:val="18"/>
                <w:szCs w:val="18"/>
              </w:rPr>
              <w:t xml:space="preserve">FROM customers GROUP BY item_purchased</w:t>
            </w:r>
          </w:p>
          <w:p>
            <w:pPr>
              <w:spacing w:after="20" w:before="20"/>
            </w:pPr>
            <w:r>
              <w:rPr>
                <w:rFonts w:ascii="Courier New" w:cs="Courier New" w:eastAsia="Courier New" w:hAnsi="Courier New"/>
                <w:color w:val="7FDBCC"/>
                <w:sz w:val="18"/>
                <w:szCs w:val="18"/>
              </w:rPr>
              <w:t xml:space="preserve">ORDER BY AVG(review_rating) DESC LIMIT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Item Purchased</w:t>
            </w:r>
          </w:p>
        </w:tc>
        <w:tc>
          <w:tcPr>
            <w:tcW w:type="dxa" w:w="468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Avg Rating</w:t>
            </w:r>
          </w:p>
        </w:tc>
      </w:tr>
      <w:tr>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Sandals</w:t>
            </w:r>
          </w:p>
        </w:tc>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3.82</w:t>
            </w:r>
          </w:p>
        </w:tc>
      </w:tr>
      <w:tr>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Boots</w:t>
            </w:r>
          </w:p>
        </w:tc>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3.79</w:t>
            </w:r>
          </w:p>
        </w:tc>
      </w:tr>
      <w:tr>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Gloves</w:t>
            </w:r>
          </w:p>
        </w:tc>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3.78</w:t>
            </w:r>
          </w:p>
        </w:tc>
      </w:tr>
      <w:tr>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Hat</w:t>
            </w:r>
          </w:p>
        </w:tc>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3.78</w:t>
            </w:r>
          </w:p>
        </w:tc>
      </w:tr>
      <w:tr>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Handbag</w:t>
            </w:r>
          </w:p>
        </w:tc>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3.78</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Interpretation</w:t>
            </w:r>
          </w:p>
          <w:p>
            <w:pPr>
              <w:pStyle w:val="ListParagraph"/>
              <w:numPr>
                <w:ilvl w:val="0"/>
                <w:numId w:val="2"/>
              </w:numPr>
              <w:spacing w:after="30" w:before="30"/>
            </w:pPr>
            <w:r>
              <w:rPr>
                <w:rFonts w:ascii="Calibri" w:cs="Calibri" w:eastAsia="Calibri" w:hAnsi="Calibri"/>
                <w:color w:val="3D4F5C"/>
                <w:sz w:val="21"/>
                <w:szCs w:val="21"/>
              </w:rPr>
              <w:t xml:space="preserve">The highest-rated products span Footwear (Sandals, Boots) and Accessories (Gloves, Hat, Handbag).</w:t>
            </w:r>
          </w:p>
          <w:p>
            <w:pPr>
              <w:pStyle w:val="ListParagraph"/>
              <w:numPr>
                <w:ilvl w:val="0"/>
                <w:numId w:val="2"/>
              </w:numPr>
              <w:spacing w:after="30" w:before="30"/>
            </w:pPr>
            <w:r>
              <w:rPr>
                <w:rFonts w:ascii="Calibri" w:cs="Calibri" w:eastAsia="Calibri" w:hAnsi="Calibri"/>
                <w:color w:val="3D4F5C"/>
                <w:sz w:val="21"/>
                <w:szCs w:val="21"/>
              </w:rPr>
              <w:t xml:space="preserve">Notably, even the top-rated products score below 3.9 — indicating a systemic quality perception gap across the catalogue.</w:t>
            </w:r>
          </w:p>
          <w:p>
            <w:pPr>
              <w:pStyle w:val="ListParagraph"/>
              <w:numPr>
                <w:ilvl w:val="0"/>
                <w:numId w:val="2"/>
              </w:numPr>
              <w:spacing w:after="30" w:before="30"/>
            </w:pPr>
            <w:r>
              <w:rPr>
                <w:rFonts w:ascii="Calibri" w:cs="Calibri" w:eastAsia="Calibri" w:hAnsi="Calibri"/>
                <w:color w:val="3D4F5C"/>
                <w:sz w:val="21"/>
                <w:szCs w:val="21"/>
              </w:rPr>
              <w:t xml:space="preserve">These items should be featured prominently in marketing as social proof anchors.</w:t>
            </w:r>
          </w:p>
          <w:p>
            <w:pPr>
              <w:pStyle w:val="ListParagraph"/>
              <w:numPr>
                <w:ilvl w:val="0"/>
                <w:numId w:val="2"/>
              </w:numPr>
              <w:spacing w:after="30" w:before="30"/>
            </w:pPr>
            <w:r>
              <w:rPr>
                <w:rFonts w:ascii="Calibri" w:cs="Calibri" w:eastAsia="Calibri" w:hAnsi="Calibri"/>
                <w:color w:val="3D4F5C"/>
                <w:sz w:val="21"/>
                <w:szCs w:val="21"/>
              </w:rPr>
              <w:t xml:space="preserve">Investment in quality improvements for low-rated Clothing items could lift the overall 3.75 average significantly.</w:t>
            </w:r>
          </w:p>
        </w:tc>
      </w:tr>
    </w:tbl>
    <w:p>
      <w:pPr>
        <w:spacing w:after="0" w:before="120"/>
      </w:pPr>
      <w:r>
        <w:t xml:space="preserve"/>
      </w:r>
    </w:p>
    <w:p>
      <w:pPr>
        <w:spacing w:after="60" w:before="120"/>
      </w:pPr>
      <w:r>
        <w:rPr>
          <w:rFonts w:ascii="Calibri" w:cs="Calibri" w:eastAsia="Calibri" w:hAnsi="Calibri"/>
          <w:b/>
          <w:bCs/>
          <w:color w:val="0D2B4E"/>
          <w:sz w:val="23"/>
          <w:szCs w:val="23"/>
        </w:rPr>
        <w:t xml:space="preserve">Query 4 — Shipping Type Comparison (Express vs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DE2" w:sz="2"/>
              <w:left w:val="single" w:color="B2DDE2" w:sz="2"/>
              <w:bottom w:val="single" w:color="B2DDE2" w:sz="2"/>
              <w:right w:val="single" w:color="B2DDE2" w:sz="2"/>
            </w:tcBorders>
            <w:shd w:fill="0D2B4E" w:val="clear"/>
            <w:tcMar>
              <w:top w:type="dxa" w:w="120"/>
              <w:left w:type="dxa" w:w="240"/>
              <w:bottom w:type="dxa" w:w="120"/>
              <w:right w:type="dxa" w:w="120"/>
            </w:tcMar>
          </w:tcPr>
          <w:p>
            <w:pPr>
              <w:spacing w:after="20" w:before="20"/>
            </w:pPr>
            <w:r>
              <w:rPr>
                <w:rFonts w:ascii="Courier New" w:cs="Courier New" w:eastAsia="Courier New" w:hAnsi="Courier New"/>
                <w:color w:val="7FDBCC"/>
                <w:sz w:val="18"/>
                <w:szCs w:val="18"/>
              </w:rPr>
              <w:t xml:space="preserve">SELECT shipping_type, ROUND(AVG(purchase_amount_usd), 2) AS avg_purchase</w:t>
            </w:r>
          </w:p>
          <w:p>
            <w:pPr>
              <w:spacing w:after="20" w:before="20"/>
            </w:pPr>
            <w:r>
              <w:rPr>
                <w:rFonts w:ascii="Courier New" w:cs="Courier New" w:eastAsia="Courier New" w:hAnsi="Courier New"/>
                <w:color w:val="7FDBCC"/>
                <w:sz w:val="18"/>
                <w:szCs w:val="18"/>
              </w:rPr>
              <w:t xml:space="preserve">FROM customers WHERE shipping_type IN ('Express', 'Standard')</w:t>
            </w:r>
          </w:p>
          <w:p>
            <w:pPr>
              <w:spacing w:after="20" w:before="20"/>
            </w:pPr>
            <w:r>
              <w:rPr>
                <w:rFonts w:ascii="Courier New" w:cs="Courier New" w:eastAsia="Courier New" w:hAnsi="Courier New"/>
                <w:color w:val="7FDBCC"/>
                <w:sz w:val="18"/>
                <w:szCs w:val="18"/>
              </w:rPr>
              <w:t xml:space="preserve">GROUP BY shipping_type;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Shipping Type</w:t>
            </w:r>
          </w:p>
        </w:tc>
        <w:tc>
          <w:tcPr>
            <w:tcW w:type="dxa" w:w="468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Avg Purchase (USD)</w:t>
            </w:r>
          </w:p>
        </w:tc>
      </w:tr>
      <w:tr>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Express</w:t>
            </w:r>
          </w:p>
        </w:tc>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60.48</w:t>
            </w:r>
          </w:p>
        </w:tc>
      </w:tr>
      <w:tr>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Standard</w:t>
            </w:r>
          </w:p>
        </w:tc>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58.46</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Interpretation</w:t>
            </w:r>
          </w:p>
          <w:p>
            <w:pPr>
              <w:pStyle w:val="ListParagraph"/>
              <w:numPr>
                <w:ilvl w:val="0"/>
                <w:numId w:val="2"/>
              </w:numPr>
              <w:spacing w:after="30" w:before="30"/>
            </w:pPr>
            <w:r>
              <w:rPr>
                <w:rFonts w:ascii="Calibri" w:cs="Calibri" w:eastAsia="Calibri" w:hAnsi="Calibri"/>
                <w:color w:val="3D4F5C"/>
                <w:sz w:val="21"/>
                <w:szCs w:val="21"/>
              </w:rPr>
              <w:t xml:space="preserve">Express shipping users spend ~3.5% more on average ($60.48 vs $58.46).</w:t>
            </w:r>
          </w:p>
          <w:p>
            <w:pPr>
              <w:pStyle w:val="ListParagraph"/>
              <w:numPr>
                <w:ilvl w:val="0"/>
                <w:numId w:val="2"/>
              </w:numPr>
              <w:spacing w:after="30" w:before="30"/>
            </w:pPr>
            <w:r>
              <w:rPr>
                <w:rFonts w:ascii="Calibri" w:cs="Calibri" w:eastAsia="Calibri" w:hAnsi="Calibri"/>
                <w:color w:val="3D4F5C"/>
                <w:sz w:val="21"/>
                <w:szCs w:val="21"/>
              </w:rPr>
              <w:t xml:space="preserve">This positive correlation suggests Express customers may be more impulsive or time-sensitive, creating an upsell opportunity.</w:t>
            </w:r>
          </w:p>
          <w:p>
            <w:pPr>
              <w:pStyle w:val="ListParagraph"/>
              <w:numPr>
                <w:ilvl w:val="0"/>
                <w:numId w:val="2"/>
              </w:numPr>
              <w:spacing w:after="30" w:before="30"/>
            </w:pPr>
            <w:r>
              <w:rPr>
                <w:rFonts w:ascii="Calibri" w:cs="Calibri" w:eastAsia="Calibri" w:hAnsi="Calibri"/>
                <w:color w:val="3D4F5C"/>
                <w:sz w:val="21"/>
                <w:szCs w:val="21"/>
              </w:rPr>
              <w:t xml:space="preserve">Promoting Express shipping at checkout for carts above a value threshold could simultaneously boost AOV and fulfilment revenue.</w:t>
            </w:r>
          </w:p>
        </w:tc>
      </w:tr>
    </w:tbl>
    <w:p>
      <w:pPr>
        <w:spacing w:after="0" w:before="120"/>
      </w:pPr>
      <w:r>
        <w:t xml:space="preserve"/>
      </w:r>
    </w:p>
    <w:p>
      <w:pPr>
        <w:spacing w:after="60" w:before="120"/>
      </w:pPr>
      <w:r>
        <w:rPr>
          <w:rFonts w:ascii="Calibri" w:cs="Calibri" w:eastAsia="Calibri" w:hAnsi="Calibri"/>
          <w:b/>
          <w:bCs/>
          <w:color w:val="0D2B4E"/>
          <w:sz w:val="23"/>
          <w:szCs w:val="23"/>
        </w:rPr>
        <w:t xml:space="preserve">Query 5 — Subscribers vs. Non-Subscribers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DE2" w:sz="2"/>
              <w:left w:val="single" w:color="B2DDE2" w:sz="2"/>
              <w:bottom w:val="single" w:color="B2DDE2" w:sz="2"/>
              <w:right w:val="single" w:color="B2DDE2" w:sz="2"/>
            </w:tcBorders>
            <w:shd w:fill="0D2B4E" w:val="clear"/>
            <w:tcMar>
              <w:top w:type="dxa" w:w="120"/>
              <w:left w:type="dxa" w:w="240"/>
              <w:bottom w:type="dxa" w:w="120"/>
              <w:right w:type="dxa" w:w="120"/>
            </w:tcMar>
          </w:tcPr>
          <w:p>
            <w:pPr>
              <w:spacing w:after="20" w:before="20"/>
            </w:pPr>
            <w:r>
              <w:rPr>
                <w:rFonts w:ascii="Courier New" w:cs="Courier New" w:eastAsia="Courier New" w:hAnsi="Courier New"/>
                <w:color w:val="7FDBCC"/>
                <w:sz w:val="18"/>
                <w:szCs w:val="18"/>
              </w:rPr>
              <w:t xml:space="preserve">SELECT subscription_status, COUNT(customer_id) AS total_customers,</w:t>
            </w:r>
          </w:p>
          <w:p>
            <w:pPr>
              <w:spacing w:after="20" w:before="20"/>
            </w:pPr>
            <w:r>
              <w:rPr>
                <w:rFonts w:ascii="Courier New" w:cs="Courier New" w:eastAsia="Courier New" w:hAnsi="Courier New"/>
                <w:color w:val="7FDBCC"/>
                <w:sz w:val="18"/>
                <w:szCs w:val="18"/>
              </w:rPr>
              <w:t xml:space="preserve">       ROUND(AVG(purchase_amount_usd), 2) AS avg_spent,</w:t>
            </w:r>
          </w:p>
          <w:p>
            <w:pPr>
              <w:spacing w:after="20" w:before="20"/>
            </w:pPr>
            <w:r>
              <w:rPr>
                <w:rFonts w:ascii="Courier New" w:cs="Courier New" w:eastAsia="Courier New" w:hAnsi="Courier New"/>
                <w:color w:val="7FDBCC"/>
                <w:sz w:val="18"/>
                <w:szCs w:val="18"/>
              </w:rPr>
              <w:t xml:space="preserve">       ROUND(SUM(purchase_amount_usd), 2) AS total_revenue</w:t>
            </w:r>
          </w:p>
          <w:p>
            <w:pPr>
              <w:spacing w:after="20" w:before="20"/>
            </w:pPr>
            <w:r>
              <w:rPr>
                <w:rFonts w:ascii="Courier New" w:cs="Courier New" w:eastAsia="Courier New" w:hAnsi="Courier New"/>
                <w:color w:val="7FDBCC"/>
                <w:sz w:val="18"/>
                <w:szCs w:val="18"/>
              </w:rPr>
              <w:t xml:space="preserve">FROM customers GROUP BY subscription_status;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Status</w:t>
            </w:r>
          </w:p>
        </w:tc>
        <w:tc>
          <w:tcPr>
            <w:tcW w:type="dxa" w:w="234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Customers</w:t>
            </w:r>
          </w:p>
        </w:tc>
        <w:tc>
          <w:tcPr>
            <w:tcW w:type="dxa" w:w="234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Avg Spend (USD)</w:t>
            </w:r>
          </w:p>
        </w:tc>
        <w:tc>
          <w:tcPr>
            <w:tcW w:type="dxa" w:w="234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Total Revenue (USD)</w:t>
            </w:r>
          </w:p>
        </w:tc>
      </w:tr>
      <w:tr>
        <w:tc>
          <w:tcPr>
            <w:tcW w:type="dxa" w:w="234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Yes</w:t>
            </w:r>
          </w:p>
        </w:tc>
        <w:tc>
          <w:tcPr>
            <w:tcW w:type="dxa" w:w="234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1,053</w:t>
            </w:r>
          </w:p>
        </w:tc>
        <w:tc>
          <w:tcPr>
            <w:tcW w:type="dxa" w:w="234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59.49</w:t>
            </w:r>
          </w:p>
        </w:tc>
        <w:tc>
          <w:tcPr>
            <w:tcW w:type="dxa" w:w="234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62,645</w:t>
            </w:r>
          </w:p>
        </w:tc>
      </w:tr>
      <w:tr>
        <w:tc>
          <w:tcPr>
            <w:tcW w:type="dxa" w:w="234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No</w:t>
            </w:r>
          </w:p>
        </w:tc>
        <w:tc>
          <w:tcPr>
            <w:tcW w:type="dxa" w:w="234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2,847</w:t>
            </w:r>
          </w:p>
        </w:tc>
        <w:tc>
          <w:tcPr>
            <w:tcW w:type="dxa" w:w="234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59.87</w:t>
            </w:r>
          </w:p>
        </w:tc>
        <w:tc>
          <w:tcPr>
            <w:tcW w:type="dxa" w:w="234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170,436</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Interpretation</w:t>
            </w:r>
          </w:p>
          <w:p>
            <w:pPr>
              <w:pStyle w:val="ListParagraph"/>
              <w:numPr>
                <w:ilvl w:val="0"/>
                <w:numId w:val="2"/>
              </w:numPr>
              <w:spacing w:after="30" w:before="30"/>
            </w:pPr>
            <w:r>
              <w:rPr>
                <w:rFonts w:ascii="Calibri" w:cs="Calibri" w:eastAsia="Calibri" w:hAnsi="Calibri"/>
                <w:color w:val="3D4F5C"/>
                <w:sz w:val="21"/>
                <w:szCs w:val="21"/>
              </w:rPr>
              <w:t xml:space="preserve">Non-subscribers outnumber subscribers 2.7:1, yet average spend is nearly identical ($59.87 vs $59.49).</w:t>
            </w:r>
          </w:p>
          <w:p>
            <w:pPr>
              <w:pStyle w:val="ListParagraph"/>
              <w:numPr>
                <w:ilvl w:val="0"/>
                <w:numId w:val="2"/>
              </w:numPr>
              <w:spacing w:after="30" w:before="30"/>
            </w:pPr>
            <w:r>
              <w:rPr>
                <w:rFonts w:ascii="Calibri" w:cs="Calibri" w:eastAsia="Calibri" w:hAnsi="Calibri"/>
                <w:color w:val="3D4F5C"/>
                <w:sz w:val="21"/>
                <w:szCs w:val="21"/>
              </w:rPr>
              <w:t xml:space="preserve">This means subscriptions do not currently drive higher spend — the value of subscriptions must come from frequency and retention, not basket size.</w:t>
            </w:r>
          </w:p>
          <w:p>
            <w:pPr>
              <w:pStyle w:val="ListParagraph"/>
              <w:numPr>
                <w:ilvl w:val="0"/>
                <w:numId w:val="2"/>
              </w:numPr>
              <w:spacing w:after="30" w:before="30"/>
            </w:pPr>
            <w:r>
              <w:rPr>
                <w:rFonts w:ascii="Calibri" w:cs="Calibri" w:eastAsia="Calibri" w:hAnsi="Calibri"/>
                <w:color w:val="3D4F5C"/>
                <w:sz w:val="21"/>
                <w:szCs w:val="21"/>
              </w:rPr>
              <w:t xml:space="preserve">The 73.26% unsubscribed population represents a loyalty programme gap — with 2,847 potential converts who already spend as much as subscribers.</w:t>
            </w:r>
          </w:p>
          <w:p>
            <w:pPr>
              <w:pStyle w:val="ListParagraph"/>
              <w:numPr>
                <w:ilvl w:val="0"/>
                <w:numId w:val="2"/>
              </w:numPr>
              <w:spacing w:after="30" w:before="30"/>
            </w:pPr>
            <w:r>
              <w:rPr>
                <w:rFonts w:ascii="Calibri" w:cs="Calibri" w:eastAsia="Calibri" w:hAnsi="Calibri"/>
                <w:color w:val="3D4F5C"/>
                <w:sz w:val="21"/>
                <w:szCs w:val="21"/>
              </w:rPr>
              <w:t xml:space="preserve">Focus subscription strategy on purchase frequency incentives rather than spend-based rewards.</w:t>
            </w:r>
          </w:p>
        </w:tc>
      </w:tr>
    </w:tbl>
    <w:p>
      <w:pPr>
        <w:spacing w:after="0" w:before="120"/>
      </w:pPr>
      <w:r>
        <w:t xml:space="preserve"/>
      </w:r>
    </w:p>
    <w:p>
      <w:pPr>
        <w:spacing w:after="60" w:before="120"/>
      </w:pPr>
      <w:r>
        <w:rPr>
          <w:rFonts w:ascii="Calibri" w:cs="Calibri" w:eastAsia="Calibri" w:hAnsi="Calibri"/>
          <w:b/>
          <w:bCs/>
          <w:color w:val="0D2B4E"/>
          <w:sz w:val="23"/>
          <w:szCs w:val="23"/>
        </w:rPr>
        <w:t xml:space="preserve">Query 6 — Discount-Dependent Products (Top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DE2" w:sz="2"/>
              <w:left w:val="single" w:color="B2DDE2" w:sz="2"/>
              <w:bottom w:val="single" w:color="B2DDE2" w:sz="2"/>
              <w:right w:val="single" w:color="B2DDE2" w:sz="2"/>
            </w:tcBorders>
            <w:shd w:fill="0D2B4E" w:val="clear"/>
            <w:tcMar>
              <w:top w:type="dxa" w:w="120"/>
              <w:left w:type="dxa" w:w="240"/>
              <w:bottom w:type="dxa" w:w="120"/>
              <w:right w:type="dxa" w:w="120"/>
            </w:tcMar>
          </w:tcPr>
          <w:p>
            <w:pPr>
              <w:spacing w:after="20" w:before="20"/>
            </w:pPr>
            <w:r>
              <w:rPr>
                <w:rFonts w:ascii="Courier New" w:cs="Courier New" w:eastAsia="Courier New" w:hAnsi="Courier New"/>
                <w:color w:val="7FDBCC"/>
                <w:sz w:val="18"/>
                <w:szCs w:val="18"/>
              </w:rPr>
              <w:t xml:space="preserve">SELECT item_purchased,</w:t>
            </w:r>
          </w:p>
          <w:p>
            <w:pPr>
              <w:spacing w:after="20" w:before="20"/>
            </w:pPr>
            <w:r>
              <w:rPr>
                <w:rFonts w:ascii="Courier New" w:cs="Courier New" w:eastAsia="Courier New" w:hAnsi="Courier New"/>
                <w:color w:val="7FDBCC"/>
                <w:sz w:val="18"/>
                <w:szCs w:val="18"/>
              </w:rPr>
              <w:t xml:space="preserve">  ROUND(100 * SUM(CASE WHEN discount_applied='Yes' THEN 1 ELSE 0 END) / COUNT(*), 2) AS discount_rate</w:t>
            </w:r>
          </w:p>
          <w:p>
            <w:pPr>
              <w:spacing w:after="20" w:before="20"/>
            </w:pPr>
            <w:r>
              <w:rPr>
                <w:rFonts w:ascii="Courier New" w:cs="Courier New" w:eastAsia="Courier New" w:hAnsi="Courier New"/>
                <w:color w:val="7FDBCC"/>
                <w:sz w:val="18"/>
                <w:szCs w:val="18"/>
              </w:rPr>
              <w:t xml:space="preserve">FROM customers GROUP BY item_purchased ORDER BY discount_rate DESC LIMIT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Item</w:t>
            </w:r>
          </w:p>
        </w:tc>
        <w:tc>
          <w:tcPr>
            <w:tcW w:type="dxa" w:w="468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Discount Rate (%)</w:t>
            </w:r>
          </w:p>
        </w:tc>
      </w:tr>
      <w:tr>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Hat</w:t>
            </w:r>
          </w:p>
        </w:tc>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50.00</w:t>
            </w:r>
          </w:p>
        </w:tc>
      </w:tr>
      <w:tr>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Sneakers</w:t>
            </w:r>
          </w:p>
        </w:tc>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49.66</w:t>
            </w:r>
          </w:p>
        </w:tc>
      </w:tr>
      <w:tr>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Coat</w:t>
            </w:r>
          </w:p>
        </w:tc>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49.07</w:t>
            </w:r>
          </w:p>
        </w:tc>
      </w:tr>
      <w:tr>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Sweater</w:t>
            </w:r>
          </w:p>
        </w:tc>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48.17</w:t>
            </w:r>
          </w:p>
        </w:tc>
      </w:tr>
      <w:tr>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Pants</w:t>
            </w:r>
          </w:p>
        </w:tc>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47.37</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Interpretation</w:t>
            </w:r>
          </w:p>
          <w:p>
            <w:pPr>
              <w:pStyle w:val="ListParagraph"/>
              <w:numPr>
                <w:ilvl w:val="0"/>
                <w:numId w:val="2"/>
              </w:numPr>
              <w:spacing w:after="30" w:before="30"/>
            </w:pPr>
            <w:r>
              <w:rPr>
                <w:rFonts w:ascii="Calibri" w:cs="Calibri" w:eastAsia="Calibri" w:hAnsi="Calibri"/>
                <w:color w:val="3D4F5C"/>
                <w:sz w:val="21"/>
                <w:szCs w:val="21"/>
              </w:rPr>
              <w:t xml:space="preserve">Nearly 50% of Hat and Sneaker purchases involve a discount — indicating these products may be price-perceived as overvalued at full price.</w:t>
            </w:r>
          </w:p>
          <w:p>
            <w:pPr>
              <w:pStyle w:val="ListParagraph"/>
              <w:numPr>
                <w:ilvl w:val="0"/>
                <w:numId w:val="2"/>
              </w:numPr>
              <w:spacing w:after="30" w:before="30"/>
            </w:pPr>
            <w:r>
              <w:rPr>
                <w:rFonts w:ascii="Calibri" w:cs="Calibri" w:eastAsia="Calibri" w:hAnsi="Calibri"/>
                <w:color w:val="3D4F5C"/>
                <w:sz w:val="21"/>
                <w:szCs w:val="21"/>
              </w:rPr>
              <w:t xml:space="preserve">High discount dependency erodes margins; these items need a pricing strategy review.</w:t>
            </w:r>
          </w:p>
          <w:p>
            <w:pPr>
              <w:pStyle w:val="ListParagraph"/>
              <w:numPr>
                <w:ilvl w:val="0"/>
                <w:numId w:val="2"/>
              </w:numPr>
              <w:spacing w:after="30" w:before="30"/>
            </w:pPr>
            <w:r>
              <w:rPr>
                <w:rFonts w:ascii="Calibri" w:cs="Calibri" w:eastAsia="Calibri" w:hAnsi="Calibri"/>
                <w:color w:val="3D4F5C"/>
                <w:sz w:val="21"/>
                <w:szCs w:val="21"/>
              </w:rPr>
              <w:t xml:space="preserve">Consider reducing list price marginally to maintain sales volume without constant discounting.</w:t>
            </w:r>
          </w:p>
          <w:p>
            <w:pPr>
              <w:pStyle w:val="ListParagraph"/>
              <w:numPr>
                <w:ilvl w:val="0"/>
                <w:numId w:val="2"/>
              </w:numPr>
              <w:spacing w:after="30" w:before="30"/>
            </w:pPr>
            <w:r>
              <w:rPr>
                <w:rFonts w:ascii="Calibri" w:cs="Calibri" w:eastAsia="Calibri" w:hAnsi="Calibri"/>
                <w:color w:val="3D4F5C"/>
                <w:sz w:val="21"/>
                <w:szCs w:val="21"/>
              </w:rPr>
              <w:t xml:space="preserve">Coat and Sweater (cold-weather items) on this list also suggests seasonal discount over-reliance.</w:t>
            </w:r>
          </w:p>
        </w:tc>
      </w:tr>
    </w:tbl>
    <w:p>
      <w:pPr>
        <w:spacing w:after="0" w:before="120"/>
      </w:pPr>
      <w:r>
        <w:t xml:space="preserve"/>
      </w:r>
    </w:p>
    <w:p>
      <w:pPr>
        <w:spacing w:after="60" w:before="120"/>
      </w:pPr>
      <w:r>
        <w:rPr>
          <w:rFonts w:ascii="Calibri" w:cs="Calibri" w:eastAsia="Calibri" w:hAnsi="Calibri"/>
          <w:b/>
          <w:bCs/>
          <w:color w:val="0D2B4E"/>
          <w:sz w:val="23"/>
          <w:szCs w:val="23"/>
        </w:rPr>
        <w:t xml:space="preserve">Query 7 — Customer Segmentation (New / Returning / Loyal)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DE2" w:sz="2"/>
              <w:left w:val="single" w:color="B2DDE2" w:sz="2"/>
              <w:bottom w:val="single" w:color="B2DDE2" w:sz="2"/>
              <w:right w:val="single" w:color="B2DDE2" w:sz="2"/>
            </w:tcBorders>
            <w:shd w:fill="0D2B4E" w:val="clear"/>
            <w:tcMar>
              <w:top w:type="dxa" w:w="120"/>
              <w:left w:type="dxa" w:w="240"/>
              <w:bottom w:type="dxa" w:w="120"/>
              <w:right w:type="dxa" w:w="120"/>
            </w:tcMar>
          </w:tcPr>
          <w:p>
            <w:pPr>
              <w:spacing w:after="20" w:before="20"/>
            </w:pPr>
            <w:r>
              <w:rPr>
                <w:rFonts w:ascii="Courier New" w:cs="Courier New" w:eastAsia="Courier New" w:hAnsi="Courier New"/>
                <w:color w:val="7FDBCC"/>
                <w:sz w:val="18"/>
                <w:szCs w:val="18"/>
              </w:rPr>
              <w:t xml:space="preserve">WITH customer_type AS (</w:t>
            </w:r>
          </w:p>
          <w:p>
            <w:pPr>
              <w:spacing w:after="20" w:before="20"/>
            </w:pPr>
            <w:r>
              <w:rPr>
                <w:rFonts w:ascii="Courier New" w:cs="Courier New" w:eastAsia="Courier New" w:hAnsi="Courier New"/>
                <w:color w:val="7FDBCC"/>
                <w:sz w:val="18"/>
                <w:szCs w:val="18"/>
              </w:rPr>
              <w:t xml:space="preserve">  SELECT customer_id, previous_purchases,</w:t>
            </w:r>
          </w:p>
          <w:p>
            <w:pPr>
              <w:spacing w:after="20" w:before="20"/>
            </w:pPr>
            <w:r>
              <w:rPr>
                <w:rFonts w:ascii="Courier New" w:cs="Courier New" w:eastAsia="Courier New" w:hAnsi="Courier New"/>
                <w:color w:val="7FDBCC"/>
                <w:sz w:val="18"/>
                <w:szCs w:val="18"/>
              </w:rPr>
              <w:t xml:space="preserve">    CASE WHEN previous_purchases = 1 THEN 'New'</w:t>
            </w:r>
          </w:p>
          <w:p>
            <w:pPr>
              <w:spacing w:after="20" w:before="20"/>
            </w:pPr>
            <w:r>
              <w:rPr>
                <w:rFonts w:ascii="Courier New" w:cs="Courier New" w:eastAsia="Courier New" w:hAnsi="Courier New"/>
                <w:color w:val="7FDBCC"/>
                <w:sz w:val="18"/>
                <w:szCs w:val="18"/>
              </w:rPr>
              <w:t xml:space="preserve">         WHEN previous_purchases BETWEEN 2 AND 10 THEN 'Returning'</w:t>
            </w:r>
          </w:p>
          <w:p>
            <w:pPr>
              <w:spacing w:after="20" w:before="20"/>
            </w:pPr>
            <w:r>
              <w:rPr>
                <w:rFonts w:ascii="Courier New" w:cs="Courier New" w:eastAsia="Courier New" w:hAnsi="Courier New"/>
                <w:color w:val="7FDBCC"/>
                <w:sz w:val="18"/>
                <w:szCs w:val="18"/>
              </w:rPr>
              <w:t xml:space="preserve">         ELSE 'Loyal' END AS customer_segment FROM customers)</w:t>
            </w:r>
          </w:p>
          <w:p>
            <w:pPr>
              <w:spacing w:after="20" w:before="20"/>
            </w:pPr>
            <w:r>
              <w:rPr>
                <w:rFonts w:ascii="Courier New" w:cs="Courier New" w:eastAsia="Courier New" w:hAnsi="Courier New"/>
                <w:color w:val="7FDBCC"/>
                <w:sz w:val="18"/>
                <w:szCs w:val="18"/>
              </w:rPr>
              <w:t xml:space="preserve">SELECT customer_segment, COUNT(*) AS no_of_cust FROM customer_type GROUP BY customer_segment;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Segment</w:t>
            </w:r>
          </w:p>
        </w:tc>
        <w:tc>
          <w:tcPr>
            <w:tcW w:type="dxa" w:w="312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Count</w:t>
            </w:r>
          </w:p>
        </w:tc>
        <w:tc>
          <w:tcPr>
            <w:tcW w:type="dxa" w:w="312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Share (%)</w:t>
            </w:r>
          </w:p>
        </w:tc>
      </w:tr>
      <w:tr>
        <w:tc>
          <w:tcPr>
            <w:tcW w:type="dxa" w:w="312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Loyal</w:t>
            </w:r>
          </w:p>
        </w:tc>
        <w:tc>
          <w:tcPr>
            <w:tcW w:type="dxa" w:w="312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3,116</w:t>
            </w:r>
          </w:p>
        </w:tc>
        <w:tc>
          <w:tcPr>
            <w:tcW w:type="dxa" w:w="312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79.9%</w:t>
            </w:r>
          </w:p>
        </w:tc>
      </w:tr>
      <w:tr>
        <w:tc>
          <w:tcPr>
            <w:tcW w:type="dxa" w:w="312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Returning</w:t>
            </w:r>
          </w:p>
        </w:tc>
        <w:tc>
          <w:tcPr>
            <w:tcW w:type="dxa" w:w="312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701</w:t>
            </w:r>
          </w:p>
        </w:tc>
        <w:tc>
          <w:tcPr>
            <w:tcW w:type="dxa" w:w="312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18.0%</w:t>
            </w:r>
          </w:p>
        </w:tc>
      </w:tr>
      <w:tr>
        <w:tc>
          <w:tcPr>
            <w:tcW w:type="dxa" w:w="312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New</w:t>
            </w:r>
          </w:p>
        </w:tc>
        <w:tc>
          <w:tcPr>
            <w:tcW w:type="dxa" w:w="312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83</w:t>
            </w:r>
          </w:p>
        </w:tc>
        <w:tc>
          <w:tcPr>
            <w:tcW w:type="dxa" w:w="312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2.1%</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Interpretation</w:t>
            </w:r>
          </w:p>
          <w:p>
            <w:pPr>
              <w:pStyle w:val="ListParagraph"/>
              <w:numPr>
                <w:ilvl w:val="0"/>
                <w:numId w:val="2"/>
              </w:numPr>
              <w:spacing w:after="30" w:before="30"/>
            </w:pPr>
            <w:r>
              <w:rPr>
                <w:rFonts w:ascii="Calibri" w:cs="Calibri" w:eastAsia="Calibri" w:hAnsi="Calibri"/>
                <w:color w:val="3D4F5C"/>
                <w:sz w:val="21"/>
                <w:szCs w:val="21"/>
              </w:rPr>
              <w:t xml:space="preserve">An overwhelming 79.9% of customers are classified as Loyal (&gt;10 previous purchases) — a strong foundation for retention-focused strategy.</w:t>
            </w:r>
          </w:p>
          <w:p>
            <w:pPr>
              <w:pStyle w:val="ListParagraph"/>
              <w:numPr>
                <w:ilvl w:val="0"/>
                <w:numId w:val="2"/>
              </w:numPr>
              <w:spacing w:after="30" w:before="30"/>
            </w:pPr>
            <w:r>
              <w:rPr>
                <w:rFonts w:ascii="Calibri" w:cs="Calibri" w:eastAsia="Calibri" w:hAnsi="Calibri"/>
                <w:color w:val="3D4F5C"/>
                <w:sz w:val="21"/>
                <w:szCs w:val="21"/>
              </w:rPr>
              <w:t xml:space="preserve">Only 2.1% are New customers, highlighting a critical customer acquisition gap.</w:t>
            </w:r>
          </w:p>
          <w:p>
            <w:pPr>
              <w:pStyle w:val="ListParagraph"/>
              <w:numPr>
                <w:ilvl w:val="0"/>
                <w:numId w:val="2"/>
              </w:numPr>
              <w:spacing w:after="30" w:before="30"/>
            </w:pPr>
            <w:r>
              <w:rPr>
                <w:rFonts w:ascii="Calibri" w:cs="Calibri" w:eastAsia="Calibri" w:hAnsi="Calibri"/>
                <w:color w:val="3D4F5C"/>
                <w:sz w:val="21"/>
                <w:szCs w:val="21"/>
              </w:rPr>
              <w:t xml:space="preserve">The pipeline from New to Returning to Loyal needs investment — currently very few new customers are entering the funnel.</w:t>
            </w:r>
          </w:p>
          <w:p>
            <w:pPr>
              <w:pStyle w:val="ListParagraph"/>
              <w:numPr>
                <w:ilvl w:val="0"/>
                <w:numId w:val="2"/>
              </w:numPr>
              <w:spacing w:after="30" w:before="30"/>
            </w:pPr>
            <w:r>
              <w:rPr>
                <w:rFonts w:ascii="Calibri" w:cs="Calibri" w:eastAsia="Calibri" w:hAnsi="Calibri"/>
                <w:color w:val="3D4F5C"/>
                <w:sz w:val="21"/>
                <w:szCs w:val="21"/>
              </w:rPr>
              <w:t xml:space="preserve">Acquisition campaigns via digital channels should be a top priority to diversify the customer base.</w:t>
            </w:r>
          </w:p>
        </w:tc>
      </w:tr>
    </w:tbl>
    <w:p>
      <w:pPr>
        <w:spacing w:after="0" w:before="120"/>
      </w:pPr>
      <w:r>
        <w:t xml:space="preserve"/>
      </w:r>
    </w:p>
    <w:p>
      <w:pPr>
        <w:spacing w:after="60" w:before="120"/>
      </w:pPr>
      <w:r>
        <w:rPr>
          <w:rFonts w:ascii="Calibri" w:cs="Calibri" w:eastAsia="Calibri" w:hAnsi="Calibri"/>
          <w:b/>
          <w:bCs/>
          <w:color w:val="0D2B4E"/>
          <w:sz w:val="23"/>
          <w:szCs w:val="23"/>
        </w:rPr>
        <w:t xml:space="preserve">Query 8 — Top 3 Products per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DE2" w:sz="2"/>
              <w:left w:val="single" w:color="B2DDE2" w:sz="2"/>
              <w:bottom w:val="single" w:color="B2DDE2" w:sz="2"/>
              <w:right w:val="single" w:color="B2DDE2" w:sz="2"/>
            </w:tcBorders>
            <w:shd w:fill="0D2B4E" w:val="clear"/>
            <w:tcMar>
              <w:top w:type="dxa" w:w="120"/>
              <w:left w:type="dxa" w:w="240"/>
              <w:bottom w:type="dxa" w:w="120"/>
              <w:right w:type="dxa" w:w="120"/>
            </w:tcMar>
          </w:tcPr>
          <w:p>
            <w:pPr>
              <w:spacing w:after="20" w:before="20"/>
            </w:pPr>
            <w:r>
              <w:rPr>
                <w:rFonts w:ascii="Courier New" w:cs="Courier New" w:eastAsia="Courier New" w:hAnsi="Courier New"/>
                <w:color w:val="7FDBCC"/>
                <w:sz w:val="18"/>
                <w:szCs w:val="18"/>
              </w:rPr>
              <w:t xml:space="preserve">WITH items_count AS (</w:t>
            </w:r>
          </w:p>
          <w:p>
            <w:pPr>
              <w:spacing w:after="20" w:before="20"/>
            </w:pPr>
            <w:r>
              <w:rPr>
                <w:rFonts w:ascii="Courier New" w:cs="Courier New" w:eastAsia="Courier New" w:hAnsi="Courier New"/>
                <w:color w:val="7FDBCC"/>
                <w:sz w:val="18"/>
                <w:szCs w:val="18"/>
              </w:rPr>
              <w:t xml:space="preserve">  SELECT category, item_purchased, COUNT(customer_id) AS total_orders,</w:t>
            </w:r>
          </w:p>
          <w:p>
            <w:pPr>
              <w:spacing w:after="20" w:before="20"/>
            </w:pPr>
            <w:r>
              <w:rPr>
                <w:rFonts w:ascii="Courier New" w:cs="Courier New" w:eastAsia="Courier New" w:hAnsi="Courier New"/>
                <w:color w:val="7FDBCC"/>
                <w:sz w:val="18"/>
                <w:szCs w:val="18"/>
              </w:rPr>
              <w:t xml:space="preserve">    ROW_NUMBER() OVER(PARTITION BY category ORDER BY COUNT(customer_id) DESC) AS item_rnk</w:t>
            </w:r>
          </w:p>
          <w:p>
            <w:pPr>
              <w:spacing w:after="20" w:before="20"/>
            </w:pPr>
            <w:r>
              <w:rPr>
                <w:rFonts w:ascii="Courier New" w:cs="Courier New" w:eastAsia="Courier New" w:hAnsi="Courier New"/>
                <w:color w:val="7FDBCC"/>
                <w:sz w:val="18"/>
                <w:szCs w:val="18"/>
              </w:rPr>
              <w:t xml:space="preserve">  FROM customers GROUP BY category, item_purchased)</w:t>
            </w:r>
          </w:p>
          <w:p>
            <w:pPr>
              <w:spacing w:after="20" w:before="20"/>
            </w:pPr>
            <w:r>
              <w:rPr>
                <w:rFonts w:ascii="Courier New" w:cs="Courier New" w:eastAsia="Courier New" w:hAnsi="Courier New"/>
                <w:color w:val="7FDBCC"/>
                <w:sz w:val="18"/>
                <w:szCs w:val="18"/>
              </w:rPr>
              <w:t xml:space="preserve">SELECT item_rnk, category, item_purchased, total_orders FROM items_count WHERE item_rnk &lt;= 3;</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Rank</w:t>
            </w:r>
          </w:p>
        </w:tc>
        <w:tc>
          <w:tcPr>
            <w:tcW w:type="dxa" w:w="240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Category</w:t>
            </w:r>
          </w:p>
        </w:tc>
        <w:tc>
          <w:tcPr>
            <w:tcW w:type="dxa" w:w="336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Item</w:t>
            </w:r>
          </w:p>
        </w:tc>
        <w:tc>
          <w:tcPr>
            <w:tcW w:type="dxa" w:w="240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Orders</w:t>
            </w:r>
          </w:p>
        </w:tc>
      </w:tr>
      <w:tr>
        <w:tc>
          <w:tcPr>
            <w:tcW w:type="dxa" w:w="12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1</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Accessories</w:t>
            </w:r>
          </w:p>
        </w:tc>
        <w:tc>
          <w:tcPr>
            <w:tcW w:type="dxa" w:w="336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Jewelry</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171</w:t>
            </w:r>
          </w:p>
        </w:tc>
      </w:tr>
      <w:tr>
        <w:tc>
          <w:tcPr>
            <w:tcW w:type="dxa" w:w="12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2</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Accessories</w:t>
            </w:r>
          </w:p>
        </w:tc>
        <w:tc>
          <w:tcPr>
            <w:tcW w:type="dxa" w:w="336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Sunglasses</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161</w:t>
            </w:r>
          </w:p>
        </w:tc>
      </w:tr>
      <w:tr>
        <w:tc>
          <w:tcPr>
            <w:tcW w:type="dxa" w:w="12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3</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Accessories</w:t>
            </w:r>
          </w:p>
        </w:tc>
        <w:tc>
          <w:tcPr>
            <w:tcW w:type="dxa" w:w="336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Belt</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161</w:t>
            </w:r>
          </w:p>
        </w:tc>
      </w:tr>
      <w:tr>
        <w:tc>
          <w:tcPr>
            <w:tcW w:type="dxa" w:w="12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1</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Clothing</w:t>
            </w:r>
          </w:p>
        </w:tc>
        <w:tc>
          <w:tcPr>
            <w:tcW w:type="dxa" w:w="336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Blouse</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171</w:t>
            </w:r>
          </w:p>
        </w:tc>
      </w:tr>
      <w:tr>
        <w:tc>
          <w:tcPr>
            <w:tcW w:type="dxa" w:w="12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2</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Clothing</w:t>
            </w:r>
          </w:p>
        </w:tc>
        <w:tc>
          <w:tcPr>
            <w:tcW w:type="dxa" w:w="336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Pants</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171</w:t>
            </w:r>
          </w:p>
        </w:tc>
      </w:tr>
      <w:tr>
        <w:tc>
          <w:tcPr>
            <w:tcW w:type="dxa" w:w="12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3</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Clothing</w:t>
            </w:r>
          </w:p>
        </w:tc>
        <w:tc>
          <w:tcPr>
            <w:tcW w:type="dxa" w:w="336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Shirt</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169</w:t>
            </w:r>
          </w:p>
        </w:tc>
      </w:tr>
      <w:tr>
        <w:tc>
          <w:tcPr>
            <w:tcW w:type="dxa" w:w="12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1</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Footwear</w:t>
            </w:r>
          </w:p>
        </w:tc>
        <w:tc>
          <w:tcPr>
            <w:tcW w:type="dxa" w:w="336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Sandals</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160</w:t>
            </w:r>
          </w:p>
        </w:tc>
      </w:tr>
      <w:tr>
        <w:tc>
          <w:tcPr>
            <w:tcW w:type="dxa" w:w="12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2</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Footwear</w:t>
            </w:r>
          </w:p>
        </w:tc>
        <w:tc>
          <w:tcPr>
            <w:tcW w:type="dxa" w:w="336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Shoes</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150</w:t>
            </w:r>
          </w:p>
        </w:tc>
      </w:tr>
      <w:tr>
        <w:tc>
          <w:tcPr>
            <w:tcW w:type="dxa" w:w="12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3</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Footwear</w:t>
            </w:r>
          </w:p>
        </w:tc>
        <w:tc>
          <w:tcPr>
            <w:tcW w:type="dxa" w:w="336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Sneakers</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145</w:t>
            </w:r>
          </w:p>
        </w:tc>
      </w:tr>
      <w:tr>
        <w:tc>
          <w:tcPr>
            <w:tcW w:type="dxa" w:w="12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1</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Outerwear</w:t>
            </w:r>
          </w:p>
        </w:tc>
        <w:tc>
          <w:tcPr>
            <w:tcW w:type="dxa" w:w="336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Jacket</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163</w:t>
            </w:r>
          </w:p>
        </w:tc>
      </w:tr>
      <w:tr>
        <w:tc>
          <w:tcPr>
            <w:tcW w:type="dxa" w:w="12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2</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Outerwear</w:t>
            </w:r>
          </w:p>
        </w:tc>
        <w:tc>
          <w:tcPr>
            <w:tcW w:type="dxa" w:w="336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Coat</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161</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Interpretation</w:t>
            </w:r>
          </w:p>
          <w:p>
            <w:pPr>
              <w:pStyle w:val="ListParagraph"/>
              <w:numPr>
                <w:ilvl w:val="0"/>
                <w:numId w:val="2"/>
              </w:numPr>
              <w:spacing w:after="30" w:before="30"/>
            </w:pPr>
            <w:r>
              <w:rPr>
                <w:rFonts w:ascii="Calibri" w:cs="Calibri" w:eastAsia="Calibri" w:hAnsi="Calibri"/>
                <w:color w:val="3D4F5C"/>
                <w:sz w:val="21"/>
                <w:szCs w:val="21"/>
              </w:rPr>
              <w:t xml:space="preserve">Jewelry leads Accessories (171 orders), tying with Blouse and Pants for the most-ordered items overall.</w:t>
            </w:r>
          </w:p>
          <w:p>
            <w:pPr>
              <w:pStyle w:val="ListParagraph"/>
              <w:numPr>
                <w:ilvl w:val="0"/>
                <w:numId w:val="2"/>
              </w:numPr>
              <w:spacing w:after="30" w:before="30"/>
            </w:pPr>
            <w:r>
              <w:rPr>
                <w:rFonts w:ascii="Calibri" w:cs="Calibri" w:eastAsia="Calibri" w:hAnsi="Calibri"/>
                <w:color w:val="3D4F5C"/>
                <w:sz w:val="21"/>
                <w:szCs w:val="21"/>
              </w:rPr>
              <w:t xml:space="preserve">Clothing has three near-equal top sellers, suggesting broad demand across styles rather than a single dominant item.</w:t>
            </w:r>
          </w:p>
          <w:p>
            <w:pPr>
              <w:pStyle w:val="ListParagraph"/>
              <w:numPr>
                <w:ilvl w:val="0"/>
                <w:numId w:val="2"/>
              </w:numPr>
              <w:spacing w:after="30" w:before="30"/>
            </w:pPr>
            <w:r>
              <w:rPr>
                <w:rFonts w:ascii="Calibri" w:cs="Calibri" w:eastAsia="Calibri" w:hAnsi="Calibri"/>
                <w:color w:val="3D4F5C"/>
                <w:sz w:val="21"/>
                <w:szCs w:val="21"/>
              </w:rPr>
              <w:t xml:space="preserve">Jacket edges out Coat in Outerwear despite both having low category revenue — indicating both items are under-promoted relative to demand.</w:t>
            </w:r>
          </w:p>
          <w:p>
            <w:pPr>
              <w:pStyle w:val="ListParagraph"/>
              <w:numPr>
                <w:ilvl w:val="0"/>
                <w:numId w:val="2"/>
              </w:numPr>
              <w:spacing w:after="30" w:before="30"/>
            </w:pPr>
            <w:r>
              <w:rPr>
                <w:rFonts w:ascii="Calibri" w:cs="Calibri" w:eastAsia="Calibri" w:hAnsi="Calibri"/>
                <w:color w:val="3D4F5C"/>
                <w:sz w:val="21"/>
                <w:szCs w:val="21"/>
              </w:rPr>
              <w:t xml:space="preserve">Sandals leading Footwear aligns with Summer being the weakest sales season — a targeting opportunity.</w:t>
            </w:r>
          </w:p>
        </w:tc>
      </w:tr>
    </w:tbl>
    <w:p>
      <w:pPr>
        <w:spacing w:after="0" w:before="120"/>
      </w:pPr>
      <w:r>
        <w:t xml:space="preserve"/>
      </w:r>
    </w:p>
    <w:p>
      <w:pPr>
        <w:spacing w:after="60" w:before="120"/>
      </w:pPr>
      <w:r>
        <w:rPr>
          <w:rFonts w:ascii="Calibri" w:cs="Calibri" w:eastAsia="Calibri" w:hAnsi="Calibri"/>
          <w:b/>
          <w:bCs/>
          <w:color w:val="0D2B4E"/>
          <w:sz w:val="23"/>
          <w:szCs w:val="23"/>
        </w:rPr>
        <w:t xml:space="preserve">Query 9 — Repeat Buyers &amp; Subscription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DE2" w:sz="2"/>
              <w:left w:val="single" w:color="B2DDE2" w:sz="2"/>
              <w:bottom w:val="single" w:color="B2DDE2" w:sz="2"/>
              <w:right w:val="single" w:color="B2DDE2" w:sz="2"/>
            </w:tcBorders>
            <w:shd w:fill="0D2B4E" w:val="clear"/>
            <w:tcMar>
              <w:top w:type="dxa" w:w="120"/>
              <w:left w:type="dxa" w:w="240"/>
              <w:bottom w:type="dxa" w:w="120"/>
              <w:right w:type="dxa" w:w="120"/>
            </w:tcMar>
          </w:tcPr>
          <w:p>
            <w:pPr>
              <w:spacing w:after="20" w:before="20"/>
            </w:pPr>
            <w:r>
              <w:rPr>
                <w:rFonts w:ascii="Courier New" w:cs="Courier New" w:eastAsia="Courier New" w:hAnsi="Courier New"/>
                <w:color w:val="7FDBCC"/>
                <w:sz w:val="18"/>
                <w:szCs w:val="18"/>
              </w:rPr>
              <w:t xml:space="preserve">SELECT subscription_status, COUNT(customer_id) AS repeat_buyers</w:t>
            </w:r>
          </w:p>
          <w:p>
            <w:pPr>
              <w:spacing w:after="20" w:before="20"/>
            </w:pPr>
            <w:r>
              <w:rPr>
                <w:rFonts w:ascii="Courier New" w:cs="Courier New" w:eastAsia="Courier New" w:hAnsi="Courier New"/>
                <w:color w:val="7FDBCC"/>
                <w:sz w:val="18"/>
                <w:szCs w:val="18"/>
              </w:rPr>
              <w:t xml:space="preserve">FROM customers WHERE previous_purchases &gt; 5</w:t>
            </w:r>
          </w:p>
          <w:p>
            <w:pPr>
              <w:spacing w:after="20" w:before="20"/>
            </w:pPr>
            <w:r>
              <w:rPr>
                <w:rFonts w:ascii="Courier New" w:cs="Courier New" w:eastAsia="Courier New" w:hAnsi="Courier New"/>
                <w:color w:val="7FDBCC"/>
                <w:sz w:val="18"/>
                <w:szCs w:val="18"/>
              </w:rPr>
              <w:t xml:space="preserve">GROUP BY subscription_status;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Subscription Status</w:t>
            </w:r>
          </w:p>
        </w:tc>
        <w:tc>
          <w:tcPr>
            <w:tcW w:type="dxa" w:w="468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Repeat Buyers (&gt;5 purchases)</w:t>
            </w:r>
          </w:p>
        </w:tc>
      </w:tr>
      <w:tr>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Yes</w:t>
            </w:r>
          </w:p>
        </w:tc>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958</w:t>
            </w:r>
          </w:p>
        </w:tc>
      </w:tr>
      <w:tr>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No</w:t>
            </w:r>
          </w:p>
        </w:tc>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2,518</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Interpretation</w:t>
            </w:r>
          </w:p>
          <w:p>
            <w:pPr>
              <w:pStyle w:val="ListParagraph"/>
              <w:numPr>
                <w:ilvl w:val="0"/>
                <w:numId w:val="2"/>
              </w:numPr>
              <w:spacing w:after="30" w:before="30"/>
            </w:pPr>
            <w:r>
              <w:rPr>
                <w:rFonts w:ascii="Calibri" w:cs="Calibri" w:eastAsia="Calibri" w:hAnsi="Calibri"/>
                <w:color w:val="3D4F5C"/>
                <w:sz w:val="21"/>
                <w:szCs w:val="21"/>
              </w:rPr>
              <w:t xml:space="preserve">Even among customers with &gt;5 previous purchases, 72.4% (2,518) are not subscribed — loyalty and subscription are currently decoupled.</w:t>
            </w:r>
          </w:p>
          <w:p>
            <w:pPr>
              <w:pStyle w:val="ListParagraph"/>
              <w:numPr>
                <w:ilvl w:val="0"/>
                <w:numId w:val="2"/>
              </w:numPr>
              <w:spacing w:after="30" w:before="30"/>
            </w:pPr>
            <w:r>
              <w:rPr>
                <w:rFonts w:ascii="Calibri" w:cs="Calibri" w:eastAsia="Calibri" w:hAnsi="Calibri"/>
                <w:color w:val="3D4F5C"/>
                <w:sz w:val="21"/>
                <w:szCs w:val="21"/>
              </w:rPr>
              <w:t xml:space="preserve">This is a missed retention mechanic: the most loyal repeat buyers are not being converted into subscribers.</w:t>
            </w:r>
          </w:p>
          <w:p>
            <w:pPr>
              <w:pStyle w:val="ListParagraph"/>
              <w:numPr>
                <w:ilvl w:val="0"/>
                <w:numId w:val="2"/>
              </w:numPr>
              <w:spacing w:after="30" w:before="30"/>
            </w:pPr>
            <w:r>
              <w:rPr>
                <w:rFonts w:ascii="Calibri" w:cs="Calibri" w:eastAsia="Calibri" w:hAnsi="Calibri"/>
                <w:color w:val="3D4F5C"/>
                <w:sz w:val="21"/>
                <w:szCs w:val="21"/>
              </w:rPr>
              <w:t xml:space="preserve">Targeted subscription nudges sent specifically to customers with &gt;5 purchases could significantly boost subscription rate with minimal friction.</w:t>
            </w:r>
          </w:p>
        </w:tc>
      </w:tr>
    </w:tbl>
    <w:p>
      <w:pPr>
        <w:spacing w:after="0" w:before="120"/>
      </w:pPr>
      <w:r>
        <w:t xml:space="preserve"/>
      </w:r>
    </w:p>
    <w:p>
      <w:pPr>
        <w:spacing w:after="60" w:before="120"/>
      </w:pPr>
      <w:r>
        <w:rPr>
          <w:rFonts w:ascii="Calibri" w:cs="Calibri" w:eastAsia="Calibri" w:hAnsi="Calibri"/>
          <w:b/>
          <w:bCs/>
          <w:color w:val="0D2B4E"/>
          <w:sz w:val="23"/>
          <w:szCs w:val="23"/>
        </w:rPr>
        <w:t xml:space="preserve">Query 10 — Revenue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DE2" w:sz="2"/>
              <w:left w:val="single" w:color="B2DDE2" w:sz="2"/>
              <w:bottom w:val="single" w:color="B2DDE2" w:sz="2"/>
              <w:right w:val="single" w:color="B2DDE2" w:sz="2"/>
            </w:tcBorders>
            <w:shd w:fill="0D2B4E" w:val="clear"/>
            <w:tcMar>
              <w:top w:type="dxa" w:w="120"/>
              <w:left w:type="dxa" w:w="240"/>
              <w:bottom w:type="dxa" w:w="120"/>
              <w:right w:type="dxa" w:w="120"/>
            </w:tcMar>
          </w:tcPr>
          <w:p>
            <w:pPr>
              <w:spacing w:after="20" w:before="20"/>
            </w:pPr>
            <w:r>
              <w:rPr>
                <w:rFonts w:ascii="Courier New" w:cs="Courier New" w:eastAsia="Courier New" w:hAnsi="Courier New"/>
                <w:color w:val="7FDBCC"/>
                <w:sz w:val="18"/>
                <w:szCs w:val="18"/>
              </w:rPr>
              <w:t xml:space="preserve">SELECT age_group, SUM(purchase_amount_usd) AS revenue</w:t>
            </w:r>
          </w:p>
          <w:p>
            <w:pPr>
              <w:spacing w:after="20" w:before="20"/>
            </w:pPr>
            <w:r>
              <w:rPr>
                <w:rFonts w:ascii="Courier New" w:cs="Courier New" w:eastAsia="Courier New" w:hAnsi="Courier New"/>
                <w:color w:val="7FDBCC"/>
                <w:sz w:val="18"/>
                <w:szCs w:val="18"/>
              </w:rPr>
              <w:t xml:space="preserve">FROM customers GROUP BY age_group ORDER BY revenue DESC;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Age Group</w:t>
            </w:r>
          </w:p>
        </w:tc>
        <w:tc>
          <w:tcPr>
            <w:tcW w:type="dxa" w:w="312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Revenue (USD)</w:t>
            </w:r>
          </w:p>
        </w:tc>
        <w:tc>
          <w:tcPr>
            <w:tcW w:type="dxa" w:w="312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Share (%)</w:t>
            </w:r>
          </w:p>
        </w:tc>
      </w:tr>
      <w:tr>
        <w:tc>
          <w:tcPr>
            <w:tcW w:type="dxa" w:w="312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Young</w:t>
            </w:r>
          </w:p>
        </w:tc>
        <w:tc>
          <w:tcPr>
            <w:tcW w:type="dxa" w:w="312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62,143</w:t>
            </w:r>
          </w:p>
        </w:tc>
        <w:tc>
          <w:tcPr>
            <w:tcW w:type="dxa" w:w="312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26.6%</w:t>
            </w:r>
          </w:p>
        </w:tc>
      </w:tr>
      <w:tr>
        <w:tc>
          <w:tcPr>
            <w:tcW w:type="dxa" w:w="312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Middle-Aged</w:t>
            </w:r>
          </w:p>
        </w:tc>
        <w:tc>
          <w:tcPr>
            <w:tcW w:type="dxa" w:w="312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59,197</w:t>
            </w:r>
          </w:p>
        </w:tc>
        <w:tc>
          <w:tcPr>
            <w:tcW w:type="dxa" w:w="312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25.3%</w:t>
            </w:r>
          </w:p>
        </w:tc>
      </w:tr>
      <w:tr>
        <w:tc>
          <w:tcPr>
            <w:tcW w:type="dxa" w:w="312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Adult</w:t>
            </w:r>
          </w:p>
        </w:tc>
        <w:tc>
          <w:tcPr>
            <w:tcW w:type="dxa" w:w="312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55,978</w:t>
            </w:r>
          </w:p>
        </w:tc>
        <w:tc>
          <w:tcPr>
            <w:tcW w:type="dxa" w:w="312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23.9%</w:t>
            </w:r>
          </w:p>
        </w:tc>
      </w:tr>
      <w:tr>
        <w:tc>
          <w:tcPr>
            <w:tcW w:type="dxa" w:w="312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Senior</w:t>
            </w:r>
          </w:p>
        </w:tc>
        <w:tc>
          <w:tcPr>
            <w:tcW w:type="dxa" w:w="312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55,763</w:t>
            </w:r>
          </w:p>
        </w:tc>
        <w:tc>
          <w:tcPr>
            <w:tcW w:type="dxa" w:w="312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23.8%</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Interpretation</w:t>
            </w:r>
          </w:p>
          <w:p>
            <w:pPr>
              <w:pStyle w:val="ListParagraph"/>
              <w:numPr>
                <w:ilvl w:val="0"/>
                <w:numId w:val="2"/>
              </w:numPr>
              <w:spacing w:after="30" w:before="30"/>
            </w:pPr>
            <w:r>
              <w:rPr>
                <w:rFonts w:ascii="Calibri" w:cs="Calibri" w:eastAsia="Calibri" w:hAnsi="Calibri"/>
                <w:color w:val="3D4F5C"/>
                <w:sz w:val="21"/>
                <w:szCs w:val="21"/>
              </w:rPr>
              <w:t xml:space="preserve">Young customers are the highest-revenue segment at $62,143 — yet only marginally ahead of Middle-Aged ($59,197).</w:t>
            </w:r>
          </w:p>
          <w:p>
            <w:pPr>
              <w:pStyle w:val="ListParagraph"/>
              <w:numPr>
                <w:ilvl w:val="0"/>
                <w:numId w:val="2"/>
              </w:numPr>
              <w:spacing w:after="30" w:before="30"/>
            </w:pPr>
            <w:r>
              <w:rPr>
                <w:rFonts w:ascii="Calibri" w:cs="Calibri" w:eastAsia="Calibri" w:hAnsi="Calibri"/>
                <w:color w:val="3D4F5C"/>
                <w:sz w:val="21"/>
                <w:szCs w:val="21"/>
              </w:rPr>
              <w:t xml:space="preserve">The near-equal spread across all four groups (only ~$6,400 gap from top to bottom) confirms strong cross-generational product appeal.</w:t>
            </w:r>
          </w:p>
          <w:p>
            <w:pPr>
              <w:pStyle w:val="ListParagraph"/>
              <w:numPr>
                <w:ilvl w:val="0"/>
                <w:numId w:val="2"/>
              </w:numPr>
              <w:spacing w:after="30" w:before="30"/>
            </w:pPr>
            <w:r>
              <w:rPr>
                <w:rFonts w:ascii="Calibri" w:cs="Calibri" w:eastAsia="Calibri" w:hAnsi="Calibri"/>
                <w:color w:val="3D4F5C"/>
                <w:sz w:val="21"/>
                <w:szCs w:val="21"/>
              </w:rPr>
              <w:t xml:space="preserve">Senior customers contributing 23.8% of revenue is notable and often overlooked in retail marketing strategies.</w:t>
            </w:r>
          </w:p>
          <w:p>
            <w:pPr>
              <w:pStyle w:val="ListParagraph"/>
              <w:numPr>
                <w:ilvl w:val="0"/>
                <w:numId w:val="2"/>
              </w:numPr>
              <w:spacing w:after="30" w:before="30"/>
            </w:pPr>
            <w:r>
              <w:rPr>
                <w:rFonts w:ascii="Calibri" w:cs="Calibri" w:eastAsia="Calibri" w:hAnsi="Calibri"/>
                <w:color w:val="3D4F5C"/>
                <w:sz w:val="21"/>
                <w:szCs w:val="21"/>
              </w:rPr>
              <w:t xml:space="preserve">Age-targeted campaigns can be layered on top of this broad baseline to squeeze additional per-segment value.</w:t>
            </w:r>
          </w:p>
        </w:tc>
      </w:tr>
    </w:tbl>
    <w:p>
      <w:pPr>
        <w:pBdr>
          <w:bottom w:val="single" w:color="0A7E8C" w:sz="8"/>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120"/>
              <w:left w:type="dxa" w:w="200"/>
              <w:bottom w:type="dxa" w:w="120"/>
              <w:right w:type="dxa" w:w="200"/>
            </w:tcMar>
          </w:tcPr>
          <w:p>
            <w:r>
              <w:rPr>
                <w:rFonts w:ascii="Calibri" w:cs="Calibri" w:eastAsia="Calibri" w:hAnsi="Calibri"/>
                <w:b/>
                <w:bCs/>
                <w:color w:val="FFFFFF"/>
                <w:sz w:val="28"/>
                <w:szCs w:val="28"/>
              </w:rPr>
              <w:t xml:space="preserve">PART B — DASHBOARD INSIGHTS (POWER BI)</w:t>
            </w:r>
          </w:p>
        </w:tc>
      </w:tr>
    </w:tbl>
    <w:p>
      <w:pPr>
        <w:spacing w:after="0" w:before="120"/>
      </w:pPr>
      <w:r>
        <w:t xml:space="preserve"/>
      </w:r>
    </w:p>
    <w:p>
      <w:pPr>
        <w:spacing w:after="80" w:before="60"/>
      </w:pPr>
      <w:r>
        <w:rPr>
          <w:rFonts w:ascii="Calibri" w:cs="Calibri" w:eastAsia="Calibri" w:hAnsi="Calibri"/>
          <w:color w:val="3D4F5C"/>
          <w:sz w:val="22"/>
          <w:szCs w:val="22"/>
        </w:rPr>
        <w:t xml:space="preserve">The following section presents business insights derived from the interactive Power BI Customer Behaviour Dashboard, which visualises the same 3,900-customer dataset across subscription status, category sales, seasonal patterns, age segments, and shipping preferences.</w:t>
      </w:r>
    </w:p>
    <w:p>
      <w:pPr>
        <w:spacing w:after="0" w:before="120"/>
      </w:pPr>
      <w:r>
        <w:t xml:space="preserve"/>
      </w:r>
    </w:p>
    <w:p>
      <w:pPr>
        <w:spacing w:after="120" w:before="120"/>
        <w:jc w:val="center"/>
      </w:pPr>
      <w:r>
        <w:drawing>
          <wp:inline xmlns:wp="http://schemas.openxmlformats.org/drawingml/2006/wordprocessingDrawing">
            <wp:extent cx="6172200" cy="3879337"/>
            <wp:effectExtent b="0" l="0" r="0" t="0"/>
            <wp:docPr id="1" name="Dashboard" descr="Customer Behaviou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shboard"/>
                    <pic:cNvPicPr/>
                  </pic:nvPicPr>
                  <pic:blipFill>
                    <a:blip xmlns:r="http://schemas.openxmlformats.org/officeDocument/2006/relationships" r:embed="rId8"/>
                    <a:stretch>
                      <a:fillRect/>
                    </a:stretch>
                  </pic:blipFill>
                  <pic:spPr>
                    <a:xfrm>
                      <a:off x="0" y="0"/>
                      <a:ext cx="6172200" cy="3879337"/>
                    </a:xfrm>
                    <a:prstGeom prst="rect">
                      <a:avLst/>
                    </a:prstGeom>
                  </pic:spPr>
                </pic:pic>
              </a:graphicData>
            </a:graphic>
          </wp:inline>
        </w:drawing>
      </w:r>
    </w:p>
    <w:p>
      <w:pPr>
        <w:spacing w:after="160" w:before="60"/>
        <w:jc w:val="center"/>
      </w:pPr>
      <w:r>
        <w:rPr>
          <w:rFonts w:ascii="Calibri" w:cs="Calibri" w:eastAsia="Calibri" w:hAnsi="Calibri"/>
          <w:i/>
          <w:iCs/>
          <w:color w:val="7A8E99"/>
          <w:sz w:val="18"/>
          <w:szCs w:val="18"/>
        </w:rPr>
        <w:t xml:space="preserve">Figure 1: Customer Behaviour Dashboard (Power BI) — 3,900 customers across all categories, seasons and demographics</w:t>
      </w:r>
    </w:p>
    <w:p>
      <w:pPr>
        <w:spacing w:after="80" w:before="240"/>
      </w:pPr>
      <w:r>
        <w:rPr>
          <w:rFonts w:ascii="Calibri" w:cs="Calibri" w:eastAsia="Calibri" w:hAnsi="Calibri"/>
          <w:b/>
          <w:bCs/>
          <w:color w:val="0A7E8C"/>
          <w:sz w:val="26"/>
          <w:szCs w:val="26"/>
        </w:rPr>
        <w:t xml:space="preserve">1. Subscription &amp; Customer Loyalty</w:t>
      </w:r>
    </w:p>
    <w:p>
      <w:pPr>
        <w:spacing w:after="80" w:before="60"/>
      </w:pPr>
      <w:r>
        <w:rPr>
          <w:rFonts w:ascii="Calibri" w:cs="Calibri" w:eastAsia="Calibri" w:hAnsi="Calibri"/>
          <w:color w:val="3D4F5C"/>
          <w:sz w:val="22"/>
          <w:szCs w:val="22"/>
        </w:rPr>
        <w:t xml:space="preserve">Only 26.74% of customers are subscribed versus 73.26% unsubscribed — a significant loyalty gap confirmed by both the dashboard donut chart and SQL Query 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Key Insights</w:t>
            </w:r>
          </w:p>
          <w:p>
            <w:pPr>
              <w:pStyle w:val="ListParagraph"/>
              <w:numPr>
                <w:ilvl w:val="0"/>
                <w:numId w:val="2"/>
              </w:numPr>
              <w:spacing w:after="30" w:before="30"/>
            </w:pPr>
            <w:r>
              <w:rPr>
                <w:rFonts w:ascii="Calibri" w:cs="Calibri" w:eastAsia="Calibri" w:hAnsi="Calibri"/>
                <w:color w:val="3D4F5C"/>
                <w:sz w:val="21"/>
                <w:szCs w:val="21"/>
              </w:rPr>
              <w:t xml:space="preserve">73.26% of the customer base is unsubscribed, representing the single largest retention opportunity in the dataset.</w:t>
            </w:r>
          </w:p>
          <w:p>
            <w:pPr>
              <w:pStyle w:val="ListParagraph"/>
              <w:numPr>
                <w:ilvl w:val="0"/>
                <w:numId w:val="2"/>
              </w:numPr>
              <w:spacing w:after="30" w:before="30"/>
            </w:pPr>
            <w:r>
              <w:rPr>
                <w:rFonts w:ascii="Calibri" w:cs="Calibri" w:eastAsia="Calibri" w:hAnsi="Calibri"/>
                <w:color w:val="3D4F5C"/>
                <w:sz w:val="21"/>
                <w:szCs w:val="21"/>
              </w:rPr>
              <w:t xml:space="preserve">SQL data confirms average spend is nearly identical between subscribed ($59.49) and unsubscribed ($59.87) customers — meaning subscriptions must be driven by frequency incentives, not spend.</w:t>
            </w:r>
          </w:p>
          <w:p>
            <w:pPr>
              <w:pStyle w:val="ListParagraph"/>
              <w:numPr>
                <w:ilvl w:val="0"/>
                <w:numId w:val="2"/>
              </w:numPr>
              <w:spacing w:after="30" w:before="30"/>
            </w:pPr>
            <w:r>
              <w:rPr>
                <w:rFonts w:ascii="Calibri" w:cs="Calibri" w:eastAsia="Calibri" w:hAnsi="Calibri"/>
                <w:color w:val="3D4F5C"/>
                <w:sz w:val="21"/>
                <w:szCs w:val="21"/>
              </w:rPr>
              <w:t xml:space="preserve">Among repeat buyers (&gt;5 purchases), 72.4% are still unsubscribed — a clear signal that loyalty and subscription are currently disconnected.</w:t>
            </w:r>
          </w:p>
        </w:tc>
      </w:tr>
    </w:tbl>
    <w:p>
      <w:pPr>
        <w:spacing w:after="0" w:before="80"/>
      </w:pPr>
      <w:r>
        <w:t xml:space="preserve"/>
      </w:r>
    </w:p>
    <w:p>
      <w:pPr>
        <w:pStyle w:val="ListParagraph"/>
        <w:numPr>
          <w:ilvl w:val="0"/>
          <w:numId w:val="2"/>
        </w:numPr>
        <w:spacing w:after="40" w:before="40"/>
      </w:pPr>
      <w:r>
        <w:rPr>
          <w:rFonts w:ascii="Calibri" w:cs="Calibri" w:eastAsia="Calibri" w:hAnsi="Calibri"/>
          <w:b/>
          <w:bCs/>
          <w:color w:val="3D4F5C"/>
          <w:sz w:val="22"/>
          <w:szCs w:val="22"/>
        </w:rPr>
        <w:t xml:space="preserve">Loyalty Programme:</w:t>
      </w:r>
      <w:r>
        <w:rPr>
          <w:rFonts w:ascii="Calibri" w:cs="Calibri" w:eastAsia="Calibri" w:hAnsi="Calibri"/>
          <w:color w:val="3D4F5C"/>
          <w:sz w:val="22"/>
          <w:szCs w:val="22"/>
        </w:rPr>
        <w:t xml:space="preserve"> Introduce tiered subscriber benefits — early access, free returns, exclusive SKUs.</w:t>
      </w:r>
    </w:p>
    <w:p>
      <w:pPr>
        <w:pStyle w:val="ListParagraph"/>
        <w:numPr>
          <w:ilvl w:val="0"/>
          <w:numId w:val="2"/>
        </w:numPr>
        <w:spacing w:after="40" w:before="40"/>
      </w:pPr>
      <w:r>
        <w:rPr>
          <w:rFonts w:ascii="Calibri" w:cs="Calibri" w:eastAsia="Calibri" w:hAnsi="Calibri"/>
          <w:b/>
          <w:bCs/>
          <w:color w:val="3D4F5C"/>
          <w:sz w:val="22"/>
          <w:szCs w:val="22"/>
        </w:rPr>
        <w:t xml:space="preserve">Nudge Campaign:</w:t>
      </w:r>
      <w:r>
        <w:rPr>
          <w:rFonts w:ascii="Calibri" w:cs="Calibri" w:eastAsia="Calibri" w:hAnsi="Calibri"/>
          <w:color w:val="3D4F5C"/>
          <w:sz w:val="22"/>
          <w:szCs w:val="22"/>
        </w:rPr>
        <w:t xml:space="preserve"> Target customers with &gt;5 previous purchases with a personalised subscription offer.</w:t>
      </w:r>
    </w:p>
    <w:p>
      <w:pPr>
        <w:pStyle w:val="ListParagraph"/>
        <w:numPr>
          <w:ilvl w:val="0"/>
          <w:numId w:val="2"/>
        </w:numPr>
        <w:spacing w:after="40" w:before="40"/>
      </w:pPr>
      <w:r>
        <w:rPr>
          <w:rFonts w:ascii="Calibri" w:cs="Calibri" w:eastAsia="Calibri" w:hAnsi="Calibri"/>
          <w:b/>
          <w:bCs/>
          <w:color w:val="3D4F5C"/>
          <w:sz w:val="22"/>
          <w:szCs w:val="22"/>
        </w:rPr>
        <w:t xml:space="preserve">Checkout Conversion:</w:t>
      </w:r>
      <w:r>
        <w:rPr>
          <w:rFonts w:ascii="Calibri" w:cs="Calibri" w:eastAsia="Calibri" w:hAnsi="Calibri"/>
          <w:color w:val="3D4F5C"/>
          <w:sz w:val="22"/>
          <w:szCs w:val="22"/>
        </w:rPr>
        <w:t xml:space="preserve"> A/B test subscription prompts at the post-purchase confirmation stage.</w:t>
      </w:r>
    </w:p>
    <w:p>
      <w:pPr>
        <w:spacing w:after="0" w:before="120"/>
      </w:pPr>
      <w:r>
        <w:t xml:space="preserve"/>
      </w:r>
    </w:p>
    <w:p>
      <w:pPr>
        <w:spacing w:after="80" w:before="240"/>
      </w:pPr>
      <w:r>
        <w:rPr>
          <w:rFonts w:ascii="Calibri" w:cs="Calibri" w:eastAsia="Calibri" w:hAnsi="Calibri"/>
          <w:b/>
          <w:bCs/>
          <w:color w:val="0A7E8C"/>
          <w:sz w:val="26"/>
          <w:szCs w:val="26"/>
        </w:rPr>
        <w:t xml:space="preserve">2. Category Sales Performance</w:t>
      </w:r>
    </w:p>
    <w:p>
      <w:pPr>
        <w:spacing w:after="80" w:before="60"/>
      </w:pPr>
      <w:r>
        <w:rPr>
          <w:rFonts w:ascii="Calibri" w:cs="Calibri" w:eastAsia="Calibri" w:hAnsi="Calibri"/>
          <w:color w:val="3D4F5C"/>
          <w:sz w:val="22"/>
          <w:szCs w:val="22"/>
        </w:rPr>
        <w:t xml:space="preserve">Clothing leads at ₹103K, followed by Accessories (₹73K), Footwear (₹36K), and Outerwear (₹18K). SQL Query 8 reveals Jewelry and Blouse as category-leading SKUs.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7E8C" w:sz="6"/>
              <w:left w:val="none" w:color="FFFFFF" w:sz="0"/>
              <w:bottom w:val="single" w:color="0A7E8C" w:sz="6"/>
              <w:right w:val="none" w:color="FFFFFF" w:sz="0"/>
            </w:tcBorders>
            <w:shd w:fill="E6F5F7"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E8A020"/>
                <w:sz w:val="44"/>
                <w:szCs w:val="44"/>
              </w:rPr>
              <w:t xml:space="preserve">₹103K</w:t>
            </w:r>
          </w:p>
          <w:p>
            <w:pPr>
              <w:spacing w:after="0" w:before="40"/>
              <w:jc w:val="center"/>
            </w:pPr>
            <w:r>
              <w:rPr>
                <w:rFonts w:ascii="Calibri" w:cs="Calibri" w:eastAsia="Calibri" w:hAnsi="Calibri"/>
                <w:color w:val="7A8E99"/>
                <w:sz w:val="18"/>
                <w:szCs w:val="18"/>
              </w:rPr>
              <w:t xml:space="preserve">Clothing</w:t>
            </w:r>
          </w:p>
        </w:tc>
        <w:tc>
          <w:tcPr>
            <w:tcW w:type="dxa" w:w="2340"/>
            <w:tcBorders>
              <w:top w:val="single" w:color="0A7E8C" w:sz="6"/>
              <w:left w:val="none" w:color="FFFFFF" w:sz="0"/>
              <w:bottom w:val="single" w:color="0A7E8C" w:sz="6"/>
              <w:right w:val="none" w:color="FFFFFF" w:sz="0"/>
            </w:tcBorders>
            <w:shd w:fill="E6F5F7"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E8A020"/>
                <w:sz w:val="44"/>
                <w:szCs w:val="44"/>
              </w:rPr>
              <w:t xml:space="preserve">₹73K</w:t>
            </w:r>
          </w:p>
          <w:p>
            <w:pPr>
              <w:spacing w:after="0" w:before="40"/>
              <w:jc w:val="center"/>
            </w:pPr>
            <w:r>
              <w:rPr>
                <w:rFonts w:ascii="Calibri" w:cs="Calibri" w:eastAsia="Calibri" w:hAnsi="Calibri"/>
                <w:color w:val="7A8E99"/>
                <w:sz w:val="18"/>
                <w:szCs w:val="18"/>
              </w:rPr>
              <w:t xml:space="preserve">Accessories</w:t>
            </w:r>
          </w:p>
        </w:tc>
        <w:tc>
          <w:tcPr>
            <w:tcW w:type="dxa" w:w="2340"/>
            <w:tcBorders>
              <w:top w:val="single" w:color="0A7E8C" w:sz="6"/>
              <w:left w:val="none" w:color="FFFFFF" w:sz="0"/>
              <w:bottom w:val="single" w:color="0A7E8C" w:sz="6"/>
              <w:right w:val="none" w:color="FFFFFF" w:sz="0"/>
            </w:tcBorders>
            <w:shd w:fill="E6F5F7"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E8A020"/>
                <w:sz w:val="44"/>
                <w:szCs w:val="44"/>
              </w:rPr>
              <w:t xml:space="preserve">₹36K</w:t>
            </w:r>
          </w:p>
          <w:p>
            <w:pPr>
              <w:spacing w:after="0" w:before="40"/>
              <w:jc w:val="center"/>
            </w:pPr>
            <w:r>
              <w:rPr>
                <w:rFonts w:ascii="Calibri" w:cs="Calibri" w:eastAsia="Calibri" w:hAnsi="Calibri"/>
                <w:color w:val="7A8E99"/>
                <w:sz w:val="18"/>
                <w:szCs w:val="18"/>
              </w:rPr>
              <w:t xml:space="preserve">Footwear</w:t>
            </w:r>
          </w:p>
        </w:tc>
        <w:tc>
          <w:tcPr>
            <w:tcW w:type="dxa" w:w="2340"/>
            <w:tcBorders>
              <w:top w:val="single" w:color="0A7E8C" w:sz="6"/>
              <w:left w:val="none" w:color="FFFFFF" w:sz="0"/>
              <w:bottom w:val="single" w:color="0A7E8C" w:sz="6"/>
              <w:right w:val="none" w:color="FFFFFF" w:sz="0"/>
            </w:tcBorders>
            <w:shd w:fill="E6F5F7" w:val="clear"/>
            <w:tcMar>
              <w:top w:type="dxa" w:w="160"/>
              <w:left w:type="dxa" w:w="160"/>
              <w:bottom w:type="dxa" w:w="160"/>
              <w:right w:type="dxa" w:w="160"/>
            </w:tcMar>
            <w:vAlign w:val="center"/>
          </w:tcPr>
          <w:p>
            <w:pPr>
              <w:spacing w:after="0" w:before="0"/>
              <w:jc w:val="center"/>
            </w:pPr>
            <w:r>
              <w:rPr>
                <w:rFonts w:ascii="Calibri" w:cs="Calibri" w:eastAsia="Calibri" w:hAnsi="Calibri"/>
                <w:b/>
                <w:bCs/>
                <w:color w:val="E8A020"/>
                <w:sz w:val="44"/>
                <w:szCs w:val="44"/>
              </w:rPr>
              <w:t xml:space="preserve">₹18K</w:t>
            </w:r>
          </w:p>
          <w:p>
            <w:pPr>
              <w:spacing w:after="0" w:before="40"/>
              <w:jc w:val="center"/>
            </w:pPr>
            <w:r>
              <w:rPr>
                <w:rFonts w:ascii="Calibri" w:cs="Calibri" w:eastAsia="Calibri" w:hAnsi="Calibri"/>
                <w:color w:val="7A8E99"/>
                <w:sz w:val="18"/>
                <w:szCs w:val="18"/>
              </w:rPr>
              <w:t xml:space="preserve">Outerwear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Key Insights</w:t>
            </w:r>
          </w:p>
          <w:p>
            <w:pPr>
              <w:pStyle w:val="ListParagraph"/>
              <w:numPr>
                <w:ilvl w:val="0"/>
                <w:numId w:val="2"/>
              </w:numPr>
              <w:spacing w:after="30" w:before="30"/>
            </w:pPr>
            <w:r>
              <w:rPr>
                <w:rFonts w:ascii="Calibri" w:cs="Calibri" w:eastAsia="Calibri" w:hAnsi="Calibri"/>
                <w:color w:val="3D4F5C"/>
                <w:sz w:val="21"/>
                <w:szCs w:val="21"/>
              </w:rPr>
              <w:t xml:space="preserve">Clothing accounts for ~44% of category revenue — a healthy lead but also a concentration risk.</w:t>
            </w:r>
          </w:p>
          <w:p>
            <w:pPr>
              <w:pStyle w:val="ListParagraph"/>
              <w:numPr>
                <w:ilvl w:val="0"/>
                <w:numId w:val="2"/>
              </w:numPr>
              <w:spacing w:after="30" w:before="30"/>
            </w:pPr>
            <w:r>
              <w:rPr>
                <w:rFonts w:ascii="Calibri" w:cs="Calibri" w:eastAsia="Calibri" w:hAnsi="Calibri"/>
                <w:color w:val="3D4F5C"/>
                <w:sz w:val="21"/>
                <w:szCs w:val="21"/>
              </w:rPr>
              <w:t xml:space="preserve">Accessories (₹73K) are a strong secondary category and ideal cross-sell target given Jewelry's leading order count.</w:t>
            </w:r>
          </w:p>
          <w:p>
            <w:pPr>
              <w:pStyle w:val="ListParagraph"/>
              <w:numPr>
                <w:ilvl w:val="0"/>
                <w:numId w:val="2"/>
              </w:numPr>
              <w:spacing w:after="30" w:before="30"/>
            </w:pPr>
            <w:r>
              <w:rPr>
                <w:rFonts w:ascii="Calibri" w:cs="Calibri" w:eastAsia="Calibri" w:hAnsi="Calibri"/>
                <w:color w:val="3D4F5C"/>
                <w:sz w:val="21"/>
                <w:szCs w:val="21"/>
              </w:rPr>
              <w:t xml:space="preserve">Outerwear (₹18K) is critically underperforming; SQL shows Jacket leads the category in orders (163), suggesting pricing or visibility issues rather than lack of demand.</w:t>
            </w:r>
          </w:p>
          <w:p>
            <w:pPr>
              <w:pStyle w:val="ListParagraph"/>
              <w:numPr>
                <w:ilvl w:val="0"/>
                <w:numId w:val="2"/>
              </w:numPr>
              <w:spacing w:after="30" w:before="30"/>
            </w:pPr>
            <w:r>
              <w:rPr>
                <w:rFonts w:ascii="Calibri" w:cs="Calibri" w:eastAsia="Calibri" w:hAnsi="Calibri"/>
                <w:color w:val="3D4F5C"/>
                <w:sz w:val="21"/>
                <w:szCs w:val="21"/>
              </w:rPr>
              <w:t xml:space="preserve">Footwear discount dependency (Sneakers at 49.66% discount rate) is suppressing margin in the third-largest category.</w:t>
            </w:r>
          </w:p>
        </w:tc>
      </w:tr>
    </w:tbl>
    <w:p>
      <w:pPr>
        <w:spacing w:after="0" w:before="80"/>
      </w:pPr>
      <w:r>
        <w:t xml:space="preserve"/>
      </w:r>
    </w:p>
    <w:p>
      <w:pPr>
        <w:pStyle w:val="ListParagraph"/>
        <w:numPr>
          <w:ilvl w:val="0"/>
          <w:numId w:val="2"/>
        </w:numPr>
        <w:spacing w:after="40" w:before="40"/>
      </w:pPr>
      <w:r>
        <w:rPr>
          <w:rFonts w:ascii="Calibri" w:cs="Calibri" w:eastAsia="Calibri" w:hAnsi="Calibri"/>
          <w:b/>
          <w:bCs/>
          <w:color w:val="3D4F5C"/>
          <w:sz w:val="22"/>
          <w:szCs w:val="22"/>
        </w:rPr>
        <w:t xml:space="preserve">Bundle Strategy:</w:t>
      </w:r>
      <w:r>
        <w:rPr>
          <w:rFonts w:ascii="Calibri" w:cs="Calibri" w:eastAsia="Calibri" w:hAnsi="Calibri"/>
          <w:color w:val="3D4F5C"/>
          <w:sz w:val="22"/>
          <w:szCs w:val="22"/>
        </w:rPr>
        <w:t xml:space="preserve"> Pair top Clothing SKUs (Blouse, Pants) with Accessories (Jewelry, Belt) via 'Complete the Look' promotions.</w:t>
      </w:r>
    </w:p>
    <w:p>
      <w:pPr>
        <w:pStyle w:val="ListParagraph"/>
        <w:numPr>
          <w:ilvl w:val="0"/>
          <w:numId w:val="2"/>
        </w:numPr>
        <w:spacing w:after="40" w:before="40"/>
      </w:pPr>
      <w:r>
        <w:rPr>
          <w:rFonts w:ascii="Calibri" w:cs="Calibri" w:eastAsia="Calibri" w:hAnsi="Calibri"/>
          <w:b/>
          <w:bCs/>
          <w:color w:val="3D4F5C"/>
          <w:sz w:val="22"/>
          <w:szCs w:val="22"/>
        </w:rPr>
        <w:t xml:space="preserve">Outerwear Pricing Review:</w:t>
      </w:r>
      <w:r>
        <w:rPr>
          <w:rFonts w:ascii="Calibri" w:cs="Calibri" w:eastAsia="Calibri" w:hAnsi="Calibri"/>
          <w:color w:val="3D4F5C"/>
          <w:sz w:val="22"/>
          <w:szCs w:val="22"/>
        </w:rPr>
        <w:t xml:space="preserve"> Audit Jacket/Coat pricing — high order counts suggest demand exists but revenue is low.</w:t>
      </w:r>
    </w:p>
    <w:p>
      <w:pPr>
        <w:pStyle w:val="ListParagraph"/>
        <w:numPr>
          <w:ilvl w:val="0"/>
          <w:numId w:val="2"/>
        </w:numPr>
        <w:spacing w:after="40" w:before="40"/>
      </w:pPr>
      <w:r>
        <w:rPr>
          <w:rFonts w:ascii="Calibri" w:cs="Calibri" w:eastAsia="Calibri" w:hAnsi="Calibri"/>
          <w:b/>
          <w:bCs/>
          <w:color w:val="3D4F5C"/>
          <w:sz w:val="22"/>
          <w:szCs w:val="22"/>
        </w:rPr>
        <w:t xml:space="preserve">Footwear Discount Reduction:</w:t>
      </w:r>
      <w:r>
        <w:rPr>
          <w:rFonts w:ascii="Calibri" w:cs="Calibri" w:eastAsia="Calibri" w:hAnsi="Calibri"/>
          <w:color w:val="3D4F5C"/>
          <w:sz w:val="22"/>
          <w:szCs w:val="22"/>
        </w:rPr>
        <w:t xml:space="preserve"> Test reducing Sneaker list price by 10-15% to maintain volume without full-price discounting.</w:t>
      </w:r>
    </w:p>
    <w:p>
      <w:pPr>
        <w:spacing w:after="0" w:before="120"/>
      </w:pPr>
      <w:r>
        <w:t xml:space="preserve"/>
      </w:r>
    </w:p>
    <w:p>
      <w:pPr>
        <w:spacing w:after="80" w:before="240"/>
      </w:pPr>
      <w:r>
        <w:rPr>
          <w:rFonts w:ascii="Calibri" w:cs="Calibri" w:eastAsia="Calibri" w:hAnsi="Calibri"/>
          <w:b/>
          <w:bCs/>
          <w:color w:val="0A7E8C"/>
          <w:sz w:val="26"/>
          <w:szCs w:val="26"/>
        </w:rPr>
        <w:t xml:space="preserve">3. Seasonal Sales Trends</w:t>
      </w:r>
    </w:p>
    <w:p>
      <w:pPr>
        <w:spacing w:after="80" w:before="60"/>
      </w:pPr>
      <w:r>
        <w:rPr>
          <w:rFonts w:ascii="Calibri" w:cs="Calibri" w:eastAsia="Calibri" w:hAnsi="Calibri"/>
          <w:color w:val="3D4F5C"/>
          <w:sz w:val="22"/>
          <w:szCs w:val="22"/>
        </w:rPr>
        <w:t xml:space="preserve">Revenue peaks in Fall (₹59.6K) and Winter (₹58K), holds in Spring (₹57.9K), then collapses in Summer (₹5.1K) — a 91% seasonal drop.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Season</w:t>
            </w:r>
          </w:p>
        </w:tc>
        <w:tc>
          <w:tcPr>
            <w:tcW w:type="dxa" w:w="234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Revenue</w:t>
            </w:r>
          </w:p>
        </w:tc>
        <w:tc>
          <w:tcPr>
            <w:tcW w:type="dxa" w:w="468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vs. Fall Peak</w:t>
            </w:r>
          </w:p>
        </w:tc>
      </w:tr>
      <w:tr>
        <w:tc>
          <w:tcPr>
            <w:tcW w:type="dxa" w:w="234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Fall</w:t>
            </w:r>
          </w:p>
        </w:tc>
        <w:tc>
          <w:tcPr>
            <w:tcW w:type="dxa" w:w="234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₹59,600</w:t>
            </w:r>
          </w:p>
        </w:tc>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Baseline</w:t>
            </w:r>
          </w:p>
        </w:tc>
      </w:tr>
      <w:tr>
        <w:tc>
          <w:tcPr>
            <w:tcW w:type="dxa" w:w="234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Winter</w:t>
            </w:r>
          </w:p>
        </w:tc>
        <w:tc>
          <w:tcPr>
            <w:tcW w:type="dxa" w:w="234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₹58,000</w:t>
            </w:r>
          </w:p>
        </w:tc>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-2.7%</w:t>
            </w:r>
          </w:p>
        </w:tc>
      </w:tr>
      <w:tr>
        <w:tc>
          <w:tcPr>
            <w:tcW w:type="dxa" w:w="234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Spring</w:t>
            </w:r>
          </w:p>
        </w:tc>
        <w:tc>
          <w:tcPr>
            <w:tcW w:type="dxa" w:w="234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₹57,900</w:t>
            </w:r>
          </w:p>
        </w:tc>
        <w:tc>
          <w:tcPr>
            <w:tcW w:type="dxa" w:w="46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-2.8%</w:t>
            </w:r>
          </w:p>
        </w:tc>
      </w:tr>
      <w:tr>
        <w:tc>
          <w:tcPr>
            <w:tcW w:type="dxa" w:w="234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Summer</w:t>
            </w:r>
          </w:p>
        </w:tc>
        <w:tc>
          <w:tcPr>
            <w:tcW w:type="dxa" w:w="234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₹5,100</w:t>
            </w:r>
          </w:p>
        </w:tc>
        <w:tc>
          <w:tcPr>
            <w:tcW w:type="dxa" w:w="46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-91.4%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Key Insights</w:t>
            </w:r>
          </w:p>
          <w:p>
            <w:pPr>
              <w:pStyle w:val="ListParagraph"/>
              <w:numPr>
                <w:ilvl w:val="0"/>
                <w:numId w:val="2"/>
              </w:numPr>
              <w:spacing w:after="30" w:before="30"/>
            </w:pPr>
            <w:r>
              <w:rPr>
                <w:rFonts w:ascii="Calibri" w:cs="Calibri" w:eastAsia="Calibri" w:hAnsi="Calibri"/>
                <w:color w:val="3D4F5C"/>
                <w:sz w:val="21"/>
                <w:szCs w:val="21"/>
              </w:rPr>
              <w:t xml:space="preserve">Summer's near-zero revenue (₹5.1K) is anomalous and suggests either a product mix gap or a complete absence of summer-appropriate marketing.</w:t>
            </w:r>
          </w:p>
          <w:p>
            <w:pPr>
              <w:pStyle w:val="ListParagraph"/>
              <w:numPr>
                <w:ilvl w:val="0"/>
                <w:numId w:val="2"/>
              </w:numPr>
              <w:spacing w:after="30" w:before="30"/>
            </w:pPr>
            <w:r>
              <w:rPr>
                <w:rFonts w:ascii="Calibri" w:cs="Calibri" w:eastAsia="Calibri" w:hAnsi="Calibri"/>
                <w:color w:val="3D4F5C"/>
                <w:sz w:val="21"/>
                <w:szCs w:val="21"/>
              </w:rPr>
              <w:t xml:space="preserve">Discount-dependent Outerwear items (Coat, Sweater) inflating Fall/Winter sales may mask fragile category health.</w:t>
            </w:r>
          </w:p>
          <w:p>
            <w:pPr>
              <w:pStyle w:val="ListParagraph"/>
              <w:numPr>
                <w:ilvl w:val="0"/>
                <w:numId w:val="2"/>
              </w:numPr>
              <w:spacing w:after="30" w:before="30"/>
            </w:pPr>
            <w:r>
              <w:rPr>
                <w:rFonts w:ascii="Calibri" w:cs="Calibri" w:eastAsia="Calibri" w:hAnsi="Calibri"/>
                <w:color w:val="3D4F5C"/>
                <w:sz w:val="21"/>
                <w:szCs w:val="21"/>
              </w:rPr>
              <w:t xml:space="preserve">Spring performance is healthy — sustained momentum into early Summer via seasonal transition campaigns is feasible.</w:t>
            </w:r>
          </w:p>
        </w:tc>
      </w:tr>
    </w:tbl>
    <w:p>
      <w:pPr>
        <w:spacing w:after="0" w:before="80"/>
      </w:pPr>
      <w:r>
        <w:t xml:space="preserve"/>
      </w:r>
    </w:p>
    <w:p>
      <w:pPr>
        <w:pStyle w:val="ListParagraph"/>
        <w:numPr>
          <w:ilvl w:val="0"/>
          <w:numId w:val="2"/>
        </w:numPr>
        <w:spacing w:after="40" w:before="40"/>
      </w:pPr>
      <w:r>
        <w:rPr>
          <w:rFonts w:ascii="Calibri" w:cs="Calibri" w:eastAsia="Calibri" w:hAnsi="Calibri"/>
          <w:b/>
          <w:bCs/>
          <w:color w:val="3D4F5C"/>
          <w:sz w:val="22"/>
          <w:szCs w:val="22"/>
        </w:rPr>
        <w:t xml:space="preserve">Summer Product Line:</w:t>
      </w:r>
      <w:r>
        <w:rPr>
          <w:rFonts w:ascii="Calibri" w:cs="Calibri" w:eastAsia="Calibri" w:hAnsi="Calibri"/>
          <w:color w:val="3D4F5C"/>
          <w:sz w:val="22"/>
          <w:szCs w:val="22"/>
        </w:rPr>
        <w:t xml:space="preserve"> Introduce lightweight Clothing and Accessories ranges specifically for warm-weather shopping.</w:t>
      </w:r>
    </w:p>
    <w:p>
      <w:pPr>
        <w:pStyle w:val="ListParagraph"/>
        <w:numPr>
          <w:ilvl w:val="0"/>
          <w:numId w:val="2"/>
        </w:numPr>
        <w:spacing w:after="40" w:before="40"/>
      </w:pPr>
      <w:r>
        <w:rPr>
          <w:rFonts w:ascii="Calibri" w:cs="Calibri" w:eastAsia="Calibri" w:hAnsi="Calibri"/>
          <w:b/>
          <w:bCs/>
          <w:color w:val="3D4F5C"/>
          <w:sz w:val="22"/>
          <w:szCs w:val="22"/>
        </w:rPr>
        <w:t xml:space="preserve">Seasonal Campaign Calendar:</w:t>
      </w:r>
      <w:r>
        <w:rPr>
          <w:rFonts w:ascii="Calibri" w:cs="Calibri" w:eastAsia="Calibri" w:hAnsi="Calibri"/>
          <w:color w:val="3D4F5C"/>
          <w:sz w:val="22"/>
          <w:szCs w:val="22"/>
        </w:rPr>
        <w:t xml:space="preserve"> Plan and fund Summer promotional events 2 months in advance using Fall/Winter surplus.</w:t>
      </w:r>
    </w:p>
    <w:p>
      <w:pPr>
        <w:pStyle w:val="ListParagraph"/>
        <w:numPr>
          <w:ilvl w:val="0"/>
          <w:numId w:val="2"/>
        </w:numPr>
        <w:spacing w:after="40" w:before="40"/>
      </w:pPr>
      <w:r>
        <w:rPr>
          <w:rFonts w:ascii="Calibri" w:cs="Calibri" w:eastAsia="Calibri" w:hAnsi="Calibri"/>
          <w:b/>
          <w:bCs/>
          <w:color w:val="3D4F5C"/>
          <w:sz w:val="22"/>
          <w:szCs w:val="22"/>
        </w:rPr>
        <w:t xml:space="preserve">Outerwear Margin Fix:</w:t>
      </w:r>
      <w:r>
        <w:rPr>
          <w:rFonts w:ascii="Calibri" w:cs="Calibri" w:eastAsia="Calibri" w:hAnsi="Calibri"/>
          <w:color w:val="3D4F5C"/>
          <w:sz w:val="22"/>
          <w:szCs w:val="22"/>
        </w:rPr>
        <w:t xml:space="preserve"> Reduce seasonal discount depth on Coats and Sweaters; shift to volume-based promotions instead.</w:t>
      </w:r>
    </w:p>
    <w:p>
      <w:pPr>
        <w:spacing w:after="0" w:before="120"/>
      </w:pPr>
      <w:r>
        <w:t xml:space="preserve"/>
      </w:r>
    </w:p>
    <w:p>
      <w:pPr>
        <w:spacing w:after="80" w:before="240"/>
      </w:pPr>
      <w:r>
        <w:rPr>
          <w:rFonts w:ascii="Calibri" w:cs="Calibri" w:eastAsia="Calibri" w:hAnsi="Calibri"/>
          <w:b/>
          <w:bCs/>
          <w:color w:val="0A7E8C"/>
          <w:sz w:val="26"/>
          <w:szCs w:val="26"/>
        </w:rPr>
        <w:t xml:space="preserve">4. Customer Age Segments</w:t>
      </w:r>
    </w:p>
    <w:p>
      <w:pPr>
        <w:spacing w:after="80" w:before="60"/>
      </w:pPr>
      <w:r>
        <w:rPr>
          <w:rFonts w:ascii="Calibri" w:cs="Calibri" w:eastAsia="Calibri" w:hAnsi="Calibri"/>
          <w:color w:val="3D4F5C"/>
          <w:sz w:val="22"/>
          <w:szCs w:val="22"/>
        </w:rPr>
        <w:t xml:space="preserve">Young customers lead revenue at $62,143 with all four segments contributing within a narrow $6,400 range — confirming broad demographic appeal.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Key Insights</w:t>
            </w:r>
          </w:p>
          <w:p>
            <w:pPr>
              <w:pStyle w:val="ListParagraph"/>
              <w:numPr>
                <w:ilvl w:val="0"/>
                <w:numId w:val="2"/>
              </w:numPr>
              <w:spacing w:after="30" w:before="30"/>
            </w:pPr>
            <w:r>
              <w:rPr>
                <w:rFonts w:ascii="Calibri" w:cs="Calibri" w:eastAsia="Calibri" w:hAnsi="Calibri"/>
                <w:color w:val="3D4F5C"/>
                <w:sz w:val="21"/>
                <w:szCs w:val="21"/>
              </w:rPr>
              <w:t xml:space="preserve">Young customers top revenue despite representing just one quartile — digital acquisition and social commerce should be prioritised for this segment.</w:t>
            </w:r>
          </w:p>
          <w:p>
            <w:pPr>
              <w:pStyle w:val="ListParagraph"/>
              <w:numPr>
                <w:ilvl w:val="0"/>
                <w:numId w:val="2"/>
              </w:numPr>
              <w:spacing w:after="30" w:before="30"/>
            </w:pPr>
            <w:r>
              <w:rPr>
                <w:rFonts w:ascii="Calibri" w:cs="Calibri" w:eastAsia="Calibri" w:hAnsi="Calibri"/>
                <w:color w:val="3D4F5C"/>
                <w:sz w:val="21"/>
                <w:szCs w:val="21"/>
              </w:rPr>
              <w:t xml:space="preserve">The $6,400 gap between Young and Senior is narrow for a dataset of 3,900 customers — Seniors are a commercially viable, often under-served segment.</w:t>
            </w:r>
          </w:p>
          <w:p>
            <w:pPr>
              <w:pStyle w:val="ListParagraph"/>
              <w:numPr>
                <w:ilvl w:val="0"/>
                <w:numId w:val="2"/>
              </w:numPr>
              <w:spacing w:after="30" w:before="30"/>
            </w:pPr>
            <w:r>
              <w:rPr>
                <w:rFonts w:ascii="Calibri" w:cs="Calibri" w:eastAsia="Calibri" w:hAnsi="Calibri"/>
                <w:color w:val="3D4F5C"/>
                <w:sz w:val="21"/>
                <w:szCs w:val="21"/>
              </w:rPr>
              <w:t xml:space="preserve">Middle-Aged ($59,197) aligns with higher disposable income profiles — premium product lines may resonate strongly here.</w:t>
            </w:r>
          </w:p>
        </w:tc>
      </w:tr>
    </w:tbl>
    <w:p>
      <w:pPr>
        <w:spacing w:after="0" w:before="80"/>
      </w:pPr>
      <w:r>
        <w:t xml:space="preserve"/>
      </w:r>
    </w:p>
    <w:p>
      <w:pPr>
        <w:pStyle w:val="ListParagraph"/>
        <w:numPr>
          <w:ilvl w:val="0"/>
          <w:numId w:val="2"/>
        </w:numPr>
        <w:spacing w:after="40" w:before="40"/>
      </w:pPr>
      <w:r>
        <w:rPr>
          <w:rFonts w:ascii="Calibri" w:cs="Calibri" w:eastAsia="Calibri" w:hAnsi="Calibri"/>
          <w:b/>
          <w:bCs/>
          <w:color w:val="3D4F5C"/>
          <w:sz w:val="22"/>
          <w:szCs w:val="22"/>
        </w:rPr>
        <w:t xml:space="preserve">Youth Social Commerce:</w:t>
      </w:r>
      <w:r>
        <w:rPr>
          <w:rFonts w:ascii="Calibri" w:cs="Calibri" w:eastAsia="Calibri" w:hAnsi="Calibri"/>
          <w:color w:val="3D4F5C"/>
          <w:sz w:val="22"/>
          <w:szCs w:val="22"/>
        </w:rPr>
        <w:t xml:space="preserve"> Invest in Instagram and TikTok shopping formats targeted at Young segment.</w:t>
      </w:r>
    </w:p>
    <w:p>
      <w:pPr>
        <w:pStyle w:val="ListParagraph"/>
        <w:numPr>
          <w:ilvl w:val="0"/>
          <w:numId w:val="2"/>
        </w:numPr>
        <w:spacing w:after="40" w:before="40"/>
      </w:pPr>
      <w:r>
        <w:rPr>
          <w:rFonts w:ascii="Calibri" w:cs="Calibri" w:eastAsia="Calibri" w:hAnsi="Calibri"/>
          <w:b/>
          <w:bCs/>
          <w:color w:val="3D4F5C"/>
          <w:sz w:val="22"/>
          <w:szCs w:val="22"/>
        </w:rPr>
        <w:t xml:space="preserve">Senior UX:</w:t>
      </w:r>
      <w:r>
        <w:rPr>
          <w:rFonts w:ascii="Calibri" w:cs="Calibri" w:eastAsia="Calibri" w:hAnsi="Calibri"/>
          <w:color w:val="3D4F5C"/>
          <w:sz w:val="22"/>
          <w:szCs w:val="22"/>
        </w:rPr>
        <w:t xml:space="preserve"> Simplify checkout flow and increase font sizes in digital touchpoints; design senior-specific promotions.</w:t>
      </w:r>
    </w:p>
    <w:p>
      <w:pPr>
        <w:pStyle w:val="ListParagraph"/>
        <w:numPr>
          <w:ilvl w:val="0"/>
          <w:numId w:val="2"/>
        </w:numPr>
        <w:spacing w:after="40" w:before="40"/>
      </w:pPr>
      <w:r>
        <w:rPr>
          <w:rFonts w:ascii="Calibri" w:cs="Calibri" w:eastAsia="Calibri" w:hAnsi="Calibri"/>
          <w:b/>
          <w:bCs/>
          <w:color w:val="3D4F5C"/>
          <w:sz w:val="22"/>
          <w:szCs w:val="22"/>
        </w:rPr>
        <w:t xml:space="preserve">Premium Mid-Life Tier:</w:t>
      </w:r>
      <w:r>
        <w:rPr>
          <w:rFonts w:ascii="Calibri" w:cs="Calibri" w:eastAsia="Calibri" w:hAnsi="Calibri"/>
          <w:color w:val="3D4F5C"/>
          <w:sz w:val="22"/>
          <w:szCs w:val="22"/>
        </w:rPr>
        <w:t xml:space="preserve"> Develop a premium product or membership tier tailored to Middle-Aged buyers.</w:t>
      </w:r>
    </w:p>
    <w:p>
      <w:pPr>
        <w:spacing w:after="0" w:before="120"/>
      </w:pPr>
      <w:r>
        <w:t xml:space="preserve"/>
      </w:r>
    </w:p>
    <w:p>
      <w:pPr>
        <w:spacing w:after="80" w:before="240"/>
      </w:pPr>
      <w:r>
        <w:rPr>
          <w:rFonts w:ascii="Calibri" w:cs="Calibri" w:eastAsia="Calibri" w:hAnsi="Calibri"/>
          <w:b/>
          <w:bCs/>
          <w:color w:val="0A7E8C"/>
          <w:sz w:val="26"/>
          <w:szCs w:val="26"/>
        </w:rPr>
        <w:t xml:space="preserve">5. Shipping Preferences</w:t>
      </w:r>
    </w:p>
    <w:p>
      <w:pPr>
        <w:spacing w:after="80" w:before="60"/>
      </w:pPr>
      <w:r>
        <w:rPr>
          <w:rFonts w:ascii="Calibri" w:cs="Calibri" w:eastAsia="Calibri" w:hAnsi="Calibri"/>
          <w:color w:val="3D4F5C"/>
          <w:sz w:val="22"/>
          <w:szCs w:val="22"/>
        </w:rPr>
        <w:t xml:space="preserve">Free Shipping leads at ₹40K, Store Pickup at ₹39K, with Express, Standard, Next Day Air, and 2-Day Shipping all clustering at ₹38K — a remarkably flat paid-shipping distribution.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A7E8C" w:sz="12"/>
              <w:bottom w:val="none" w:color="FFFFFF" w:sz="0"/>
              <w:right w:val="none" w:color="FFFFFF" w:sz="0"/>
            </w:tcBorders>
            <w:shd w:fill="F0FAFB" w:val="clear"/>
            <w:tcMar>
              <w:top w:type="dxa" w:w="120"/>
              <w:left w:type="dxa" w:w="240"/>
              <w:bottom w:type="dxa" w:w="120"/>
              <w:right w:type="dxa" w:w="120"/>
            </w:tcMar>
          </w:tcPr>
          <w:p>
            <w:pPr>
              <w:spacing w:after="80" w:before="40"/>
            </w:pPr>
            <w:r>
              <w:rPr>
                <w:rFonts w:ascii="Calibri" w:cs="Calibri" w:eastAsia="Calibri" w:hAnsi="Calibri"/>
                <w:b/>
                <w:bCs/>
                <w:color w:val="0A7E8C"/>
                <w:sz w:val="22"/>
                <w:szCs w:val="22"/>
              </w:rPr>
              <w:t xml:space="preserve">✔  Key Insights</w:t>
            </w:r>
          </w:p>
          <w:p>
            <w:pPr>
              <w:pStyle w:val="ListParagraph"/>
              <w:numPr>
                <w:ilvl w:val="0"/>
                <w:numId w:val="2"/>
              </w:numPr>
              <w:spacing w:after="30" w:before="30"/>
            </w:pPr>
            <w:r>
              <w:rPr>
                <w:rFonts w:ascii="Calibri" w:cs="Calibri" w:eastAsia="Calibri" w:hAnsi="Calibri"/>
                <w:color w:val="3D4F5C"/>
                <w:sz w:val="21"/>
                <w:szCs w:val="21"/>
              </w:rPr>
              <w:t xml:space="preserve">Free Shipping's top position confirms strong price sensitivity — zero delivery cost functions as a purchase trigger.</w:t>
            </w:r>
          </w:p>
          <w:p>
            <w:pPr>
              <w:pStyle w:val="ListParagraph"/>
              <w:numPr>
                <w:ilvl w:val="0"/>
                <w:numId w:val="2"/>
              </w:numPr>
              <w:spacing w:after="30" w:before="30"/>
            </w:pPr>
            <w:r>
              <w:rPr>
                <w:rFonts w:ascii="Calibri" w:cs="Calibri" w:eastAsia="Calibri" w:hAnsi="Calibri"/>
                <w:color w:val="3D4F5C"/>
                <w:sz w:val="21"/>
                <w:szCs w:val="21"/>
              </w:rPr>
              <w:t xml:space="preserve">Store Pickup at ₹39K demonstrates healthy omnichannel adoption and offers the lowest fulfilment cost for the business.</w:t>
            </w:r>
          </w:p>
          <w:p>
            <w:pPr>
              <w:pStyle w:val="ListParagraph"/>
              <w:numPr>
                <w:ilvl w:val="0"/>
                <w:numId w:val="2"/>
              </w:numPr>
              <w:spacing w:after="30" w:before="30"/>
            </w:pPr>
            <w:r>
              <w:rPr>
                <w:rFonts w:ascii="Calibri" w:cs="Calibri" w:eastAsia="Calibri" w:hAnsi="Calibri"/>
                <w:color w:val="3D4F5C"/>
                <w:sz w:val="21"/>
                <w:szCs w:val="21"/>
              </w:rPr>
              <w:t xml:space="preserve">The flat distribution across paid tiers ($38K each) shows customers are indifferent to delivery speed when paying — suggesting poor speed-to-value communication at checkout.</w:t>
            </w:r>
          </w:p>
          <w:p>
            <w:pPr>
              <w:pStyle w:val="ListParagraph"/>
              <w:numPr>
                <w:ilvl w:val="0"/>
                <w:numId w:val="2"/>
              </w:numPr>
              <w:spacing w:after="30" w:before="30"/>
            </w:pPr>
            <w:r>
              <w:rPr>
                <w:rFonts w:ascii="Calibri" w:cs="Calibri" w:eastAsia="Calibri" w:hAnsi="Calibri"/>
                <w:color w:val="3D4F5C"/>
                <w:sz w:val="21"/>
                <w:szCs w:val="21"/>
              </w:rPr>
              <w:t xml:space="preserve">SQL Query 4 shows Express users spend 3.5% more on average — a premium delivery upsell lever currently being left on the table.</w:t>
            </w:r>
          </w:p>
        </w:tc>
      </w:tr>
    </w:tbl>
    <w:p>
      <w:pPr>
        <w:spacing w:after="0" w:before="80"/>
      </w:pPr>
      <w:r>
        <w:t xml:space="preserve"/>
      </w:r>
    </w:p>
    <w:p>
      <w:pPr>
        <w:pStyle w:val="ListParagraph"/>
        <w:numPr>
          <w:ilvl w:val="0"/>
          <w:numId w:val="2"/>
        </w:numPr>
        <w:spacing w:after="40" w:before="40"/>
      </w:pPr>
      <w:r>
        <w:rPr>
          <w:rFonts w:ascii="Calibri" w:cs="Calibri" w:eastAsia="Calibri" w:hAnsi="Calibri"/>
          <w:b/>
          <w:bCs/>
          <w:color w:val="3D4F5C"/>
          <w:sz w:val="22"/>
          <w:szCs w:val="22"/>
        </w:rPr>
        <w:t xml:space="preserve">Free Shipping Threshold:</w:t>
      </w:r>
      <w:r>
        <w:rPr>
          <w:rFonts w:ascii="Calibri" w:cs="Calibri" w:eastAsia="Calibri" w:hAnsi="Calibri"/>
          <w:color w:val="3D4F5C"/>
          <w:sz w:val="22"/>
          <w:szCs w:val="22"/>
        </w:rPr>
        <w:t xml:space="preserve"> Implement minimum order value for free shipping (e.g., $75+) to protect margins while meeting expectations.</w:t>
      </w:r>
    </w:p>
    <w:p>
      <w:pPr>
        <w:pStyle w:val="ListParagraph"/>
        <w:numPr>
          <w:ilvl w:val="0"/>
          <w:numId w:val="2"/>
        </w:numPr>
        <w:spacing w:after="40" w:before="40"/>
      </w:pPr>
      <w:r>
        <w:rPr>
          <w:rFonts w:ascii="Calibri" w:cs="Calibri" w:eastAsia="Calibri" w:hAnsi="Calibri"/>
          <w:b/>
          <w:bCs/>
          <w:color w:val="3D4F5C"/>
          <w:sz w:val="22"/>
          <w:szCs w:val="22"/>
        </w:rPr>
        <w:t xml:space="preserve">Express Upsell:</w:t>
      </w:r>
      <w:r>
        <w:rPr>
          <w:rFonts w:ascii="Calibri" w:cs="Calibri" w:eastAsia="Calibri" w:hAnsi="Calibri"/>
          <w:color w:val="3D4F5C"/>
          <w:sz w:val="22"/>
          <w:szCs w:val="22"/>
        </w:rPr>
        <w:t xml:space="preserve"> Add a clear value proposition for Express at checkout (e.g., 'Upgrade for $4.99 — arrives tomorrow').</w:t>
      </w:r>
    </w:p>
    <w:p>
      <w:pPr>
        <w:pStyle w:val="ListParagraph"/>
        <w:numPr>
          <w:ilvl w:val="0"/>
          <w:numId w:val="2"/>
        </w:numPr>
        <w:spacing w:after="40" w:before="40"/>
      </w:pPr>
      <w:r>
        <w:rPr>
          <w:rFonts w:ascii="Calibri" w:cs="Calibri" w:eastAsia="Calibri" w:hAnsi="Calibri"/>
          <w:b/>
          <w:bCs/>
          <w:color w:val="3D4F5C"/>
          <w:sz w:val="22"/>
          <w:szCs w:val="22"/>
        </w:rPr>
        <w:t xml:space="preserve">Store Pickup Push:</w:t>
      </w:r>
      <w:r>
        <w:rPr>
          <w:rFonts w:ascii="Calibri" w:cs="Calibri" w:eastAsia="Calibri" w:hAnsi="Calibri"/>
          <w:color w:val="3D4F5C"/>
          <w:sz w:val="22"/>
          <w:szCs w:val="22"/>
        </w:rPr>
        <w:t xml:space="preserve"> Actively promote Store Pickup in urban markets as a cost-saving, same-day fulfilment option.</w:t>
      </w:r>
    </w:p>
    <w:p>
      <w:pPr>
        <w:pBdr>
          <w:bottom w:val="single" w:color="0A7E8C" w:sz="8"/>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120"/>
              <w:left w:type="dxa" w:w="200"/>
              <w:bottom w:type="dxa" w:w="120"/>
              <w:right w:type="dxa" w:w="200"/>
            </w:tcMar>
          </w:tcPr>
          <w:p>
            <w:r>
              <w:rPr>
                <w:rFonts w:ascii="Calibri" w:cs="Calibri" w:eastAsia="Calibri" w:hAnsi="Calibri"/>
                <w:b/>
                <w:bCs/>
                <w:color w:val="FFFFFF"/>
                <w:sz w:val="28"/>
                <w:szCs w:val="28"/>
              </w:rPr>
              <w:t xml:space="preserve">PART C — STRATEGIC RECOMMENDATIONS &amp; PRIORITY MATRIX</w:t>
            </w:r>
          </w:p>
        </w:tc>
      </w:tr>
    </w:tbl>
    <w:p>
      <w:pPr>
        <w:spacing w:after="0" w:before="120"/>
      </w:pPr>
      <w:r>
        <w:t xml:space="preserve"/>
      </w:r>
    </w:p>
    <w:p>
      <w:pPr>
        <w:spacing w:after="80" w:before="60"/>
      </w:pPr>
      <w:r>
        <w:rPr>
          <w:rFonts w:ascii="Calibri" w:cs="Calibri" w:eastAsia="Calibri" w:hAnsi="Calibri"/>
          <w:color w:val="3D4F5C"/>
          <w:sz w:val="22"/>
          <w:szCs w:val="22"/>
        </w:rPr>
        <w:t xml:space="preserve">The following initiatives are ranked by business impact and implementation timeline, synthesising insights from both the Python/SQL analysis and the Power BI dashboard.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2160"/>
        <w:gridCol w:w="1440"/>
        <w:gridCol w:w="2400"/>
      </w:tblGrid>
      <w:tr>
        <w:tc>
          <w:tcPr>
            <w:tcW w:type="dxa" w:w="48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w:t>
            </w:r>
          </w:p>
        </w:tc>
        <w:tc>
          <w:tcPr>
            <w:tcW w:type="dxa" w:w="288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Initiative</w:t>
            </w:r>
          </w:p>
        </w:tc>
        <w:tc>
          <w:tcPr>
            <w:tcW w:type="dxa" w:w="216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Focus Area</w:t>
            </w:r>
          </w:p>
        </w:tc>
        <w:tc>
          <w:tcPr>
            <w:tcW w:type="dxa" w:w="144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Impact</w:t>
            </w:r>
          </w:p>
        </w:tc>
        <w:tc>
          <w:tcPr>
            <w:tcW w:type="dxa" w:w="2400"/>
            <w:tcBorders>
              <w:top w:val="single" w:color="B2DDE2" w:sz="4"/>
              <w:left w:val="single" w:color="B2DDE2" w:sz="4"/>
              <w:bottom w:val="single" w:color="B2DDE2" w:sz="4"/>
              <w:right w:val="single" w:color="B2DDE2" w:sz="4"/>
            </w:tcBorders>
            <w:shd w:fill="0D2B4E"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Timeline</w:t>
            </w:r>
          </w:p>
        </w:tc>
      </w:tr>
      <w:tr>
        <w:tc>
          <w:tcPr>
            <w:tcW w:type="dxa" w:w="4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1</w:t>
            </w:r>
          </w:p>
        </w:tc>
        <w:tc>
          <w:tcPr>
            <w:tcW w:type="dxa" w:w="28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Summer Product &amp; Campaign Strategy</w:t>
            </w:r>
          </w:p>
        </w:tc>
        <w:tc>
          <w:tcPr>
            <w:tcW w:type="dxa" w:w="216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Revenue Recovery</w:t>
            </w:r>
          </w:p>
        </w:tc>
        <w:tc>
          <w:tcPr>
            <w:tcW w:type="dxa" w:w="144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Critical</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Immediate</w:t>
            </w:r>
          </w:p>
        </w:tc>
      </w:tr>
      <w:tr>
        <w:tc>
          <w:tcPr>
            <w:tcW w:type="dxa" w:w="4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2</w:t>
            </w:r>
          </w:p>
        </w:tc>
        <w:tc>
          <w:tcPr>
            <w:tcW w:type="dxa" w:w="28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Subscription Conversion for Repeat Buyers</w:t>
            </w:r>
          </w:p>
        </w:tc>
        <w:tc>
          <w:tcPr>
            <w:tcW w:type="dxa" w:w="216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Retention &amp; LTV</w:t>
            </w:r>
          </w:p>
        </w:tc>
        <w:tc>
          <w:tcPr>
            <w:tcW w:type="dxa" w:w="144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High</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0–3 Months</w:t>
            </w:r>
          </w:p>
        </w:tc>
      </w:tr>
      <w:tr>
        <w:tc>
          <w:tcPr>
            <w:tcW w:type="dxa" w:w="4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3</w:t>
            </w:r>
          </w:p>
        </w:tc>
        <w:tc>
          <w:tcPr>
            <w:tcW w:type="dxa" w:w="28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Free Shipping Threshold Policy</w:t>
            </w:r>
          </w:p>
        </w:tc>
        <w:tc>
          <w:tcPr>
            <w:tcW w:type="dxa" w:w="216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Margin Protection</w:t>
            </w:r>
          </w:p>
        </w:tc>
        <w:tc>
          <w:tcPr>
            <w:tcW w:type="dxa" w:w="144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High</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0–1 Month</w:t>
            </w:r>
          </w:p>
        </w:tc>
      </w:tr>
      <w:tr>
        <w:tc>
          <w:tcPr>
            <w:tcW w:type="dxa" w:w="4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4</w:t>
            </w:r>
          </w:p>
        </w:tc>
        <w:tc>
          <w:tcPr>
            <w:tcW w:type="dxa" w:w="28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Discount Policy Review (Hat, Sneakers)</w:t>
            </w:r>
          </w:p>
        </w:tc>
        <w:tc>
          <w:tcPr>
            <w:tcW w:type="dxa" w:w="216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Margin Improvement</w:t>
            </w:r>
          </w:p>
        </w:tc>
        <w:tc>
          <w:tcPr>
            <w:tcW w:type="dxa" w:w="144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High</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1–2 Months</w:t>
            </w:r>
          </w:p>
        </w:tc>
      </w:tr>
      <w:tr>
        <w:tc>
          <w:tcPr>
            <w:tcW w:type="dxa" w:w="4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5</w:t>
            </w:r>
          </w:p>
        </w:tc>
        <w:tc>
          <w:tcPr>
            <w:tcW w:type="dxa" w:w="28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New Customer Acquisition Campaigns</w:t>
            </w:r>
          </w:p>
        </w:tc>
        <w:tc>
          <w:tcPr>
            <w:tcW w:type="dxa" w:w="216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Growth</w:t>
            </w:r>
          </w:p>
        </w:tc>
        <w:tc>
          <w:tcPr>
            <w:tcW w:type="dxa" w:w="144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High</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1–3 Months</w:t>
            </w:r>
          </w:p>
        </w:tc>
      </w:tr>
      <w:tr>
        <w:tc>
          <w:tcPr>
            <w:tcW w:type="dxa" w:w="4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6</w:t>
            </w:r>
          </w:p>
        </w:tc>
        <w:tc>
          <w:tcPr>
            <w:tcW w:type="dxa" w:w="28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Express Shipping Upsell at Checkout</w:t>
            </w:r>
          </w:p>
        </w:tc>
        <w:tc>
          <w:tcPr>
            <w:tcW w:type="dxa" w:w="216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AOV Increase</w:t>
            </w:r>
          </w:p>
        </w:tc>
        <w:tc>
          <w:tcPr>
            <w:tcW w:type="dxa" w:w="144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Medium</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1–2 Months</w:t>
            </w:r>
          </w:p>
        </w:tc>
      </w:tr>
      <w:tr>
        <w:tc>
          <w:tcPr>
            <w:tcW w:type="dxa" w:w="4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7</w:t>
            </w:r>
          </w:p>
        </w:tc>
        <w:tc>
          <w:tcPr>
            <w:tcW w:type="dxa" w:w="28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Outerwear Pricing &amp; Visibility Fix</w:t>
            </w:r>
          </w:p>
        </w:tc>
        <w:tc>
          <w:tcPr>
            <w:tcW w:type="dxa" w:w="216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Revenue Diversification</w:t>
            </w:r>
          </w:p>
        </w:tc>
        <w:tc>
          <w:tcPr>
            <w:tcW w:type="dxa" w:w="144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Medium</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3–6 Months</w:t>
            </w:r>
          </w:p>
        </w:tc>
      </w:tr>
      <w:tr>
        <w:tc>
          <w:tcPr>
            <w:tcW w:type="dxa" w:w="4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8</w:t>
            </w:r>
          </w:p>
        </w:tc>
        <w:tc>
          <w:tcPr>
            <w:tcW w:type="dxa" w:w="28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Senior &amp; Female Customer Experience</w:t>
            </w:r>
          </w:p>
        </w:tc>
        <w:tc>
          <w:tcPr>
            <w:tcW w:type="dxa" w:w="216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Acquisition &amp; Retention</w:t>
            </w:r>
          </w:p>
        </w:tc>
        <w:tc>
          <w:tcPr>
            <w:tcW w:type="dxa" w:w="144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Medium</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3–6 Months</w:t>
            </w:r>
          </w:p>
        </w:tc>
      </w:tr>
      <w:tr>
        <w:tc>
          <w:tcPr>
            <w:tcW w:type="dxa" w:w="4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9</w:t>
            </w:r>
          </w:p>
        </w:tc>
        <w:tc>
          <w:tcPr>
            <w:tcW w:type="dxa" w:w="288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Top-Rated Products in Marketing</w:t>
            </w:r>
          </w:p>
        </w:tc>
        <w:tc>
          <w:tcPr>
            <w:tcW w:type="dxa" w:w="216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Brand Trust</w:t>
            </w:r>
          </w:p>
        </w:tc>
        <w:tc>
          <w:tcPr>
            <w:tcW w:type="dxa" w:w="144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Medium</w:t>
            </w:r>
          </w:p>
        </w:tc>
        <w:tc>
          <w:tcPr>
            <w:tcW w:type="dxa" w:w="2400"/>
            <w:tcBorders>
              <w:top w:val="single" w:color="B2DDE2" w:sz="4"/>
              <w:left w:val="single" w:color="B2DDE2" w:sz="4"/>
              <w:bottom w:val="single" w:color="B2DDE2" w:sz="4"/>
              <w:right w:val="single" w:color="B2DDE2" w:sz="4"/>
            </w:tcBorders>
            <w:shd w:fill="FFFFFF" w:val="clear"/>
            <w:tcMar>
              <w:top w:type="dxa" w:w="80"/>
              <w:left w:type="dxa" w:w="120"/>
              <w:bottom w:type="dxa" w:w="80"/>
              <w:right w:type="dxa" w:w="120"/>
            </w:tcMar>
          </w:tcPr>
          <w:p>
            <w:r>
              <w:rPr>
                <w:rFonts w:ascii="Calibri" w:cs="Calibri" w:eastAsia="Calibri" w:hAnsi="Calibri"/>
                <w:color w:val="3D4F5C"/>
                <w:sz w:val="20"/>
                <w:szCs w:val="20"/>
              </w:rPr>
              <w:t xml:space="preserve">Ongoing</w:t>
            </w:r>
          </w:p>
        </w:tc>
      </w:tr>
      <w:tr>
        <w:tc>
          <w:tcPr>
            <w:tcW w:type="dxa" w:w="4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10</w:t>
            </w:r>
          </w:p>
        </w:tc>
        <w:tc>
          <w:tcPr>
            <w:tcW w:type="dxa" w:w="288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Customer Rating Improvement Programme</w:t>
            </w:r>
          </w:p>
        </w:tc>
        <w:tc>
          <w:tcPr>
            <w:tcW w:type="dxa" w:w="216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Brand Equity</w:t>
            </w:r>
          </w:p>
        </w:tc>
        <w:tc>
          <w:tcPr>
            <w:tcW w:type="dxa" w:w="144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Medium</w:t>
            </w:r>
          </w:p>
        </w:tc>
        <w:tc>
          <w:tcPr>
            <w:tcW w:type="dxa" w:w="2400"/>
            <w:tcBorders>
              <w:top w:val="single" w:color="B2DDE2" w:sz="4"/>
              <w:left w:val="single" w:color="B2DDE2" w:sz="4"/>
              <w:bottom w:val="single" w:color="B2DDE2" w:sz="4"/>
              <w:right w:val="single" w:color="B2DDE2" w:sz="4"/>
            </w:tcBorders>
            <w:shd w:fill="E6F5F7" w:val="clear"/>
            <w:tcMar>
              <w:top w:type="dxa" w:w="80"/>
              <w:left w:type="dxa" w:w="120"/>
              <w:bottom w:type="dxa" w:w="80"/>
              <w:right w:type="dxa" w:w="120"/>
            </w:tcMar>
          </w:tcPr>
          <w:p>
            <w:r>
              <w:rPr>
                <w:rFonts w:ascii="Calibri" w:cs="Calibri" w:eastAsia="Calibri" w:hAnsi="Calibri"/>
                <w:color w:val="3D4F5C"/>
                <w:sz w:val="20"/>
                <w:szCs w:val="20"/>
              </w:rPr>
              <w:t xml:space="preserve">Ongoing</w:t>
            </w:r>
          </w:p>
        </w:tc>
      </w:tr>
    </w:tbl>
    <w:p>
      <w:pPr>
        <w:spacing w:after="0" w:before="120"/>
      </w:pPr>
      <w:r>
        <w:t xml:space="preserve"/>
      </w:r>
    </w:p>
    <w:p>
      <w:pPr>
        <w:spacing w:after="80" w:before="240"/>
      </w:pPr>
      <w:r>
        <w:rPr>
          <w:rFonts w:ascii="Calibri" w:cs="Calibri" w:eastAsia="Calibri" w:hAnsi="Calibri"/>
          <w:b/>
          <w:bCs/>
          <w:color w:val="0A7E8C"/>
          <w:sz w:val="26"/>
          <w:szCs w:val="26"/>
        </w:rPr>
        <w:t xml:space="preserve">Conclusion</w:t>
      </w:r>
    </w:p>
    <w:p>
      <w:pPr>
        <w:spacing w:after="80" w:before="60"/>
      </w:pPr>
      <w:r>
        <w:rPr>
          <w:rFonts w:ascii="Calibri" w:cs="Calibri" w:eastAsia="Calibri" w:hAnsi="Calibri"/>
          <w:color w:val="3D4F5C"/>
          <w:sz w:val="22"/>
          <w:szCs w:val="22"/>
        </w:rPr>
        <w:t xml:space="preserve">This analysis reveals a business with a loyal, broad-demographic customer base but meaningful gaps in seasonal resilience, subscription conversion, new customer acquisition, and discount margin management. The data consistently shows that the highest-leverage opportunities are: recovering the Summer revenue trough, converting the 73% unsubscribed loyal base into subscribers, and fixing discount dependency in high-volume products. Addressing these three priorities alone could materially improve both revenue and profitability within one financial quarter.</w:t>
      </w:r>
    </w:p>
    <w:p>
      <w:pPr>
        <w:spacing w:after="0" w:before="80"/>
      </w:pPr>
      <w:r>
        <w:t xml:space="preserve"/>
      </w:r>
    </w:p>
    <w:p>
      <w:pPr>
        <w:spacing w:after="0" w:before="200"/>
        <w:jc w:val="center"/>
      </w:pPr>
      <w:r>
        <w:rPr>
          <w:rFonts w:ascii="Calibri" w:cs="Calibri" w:eastAsia="Calibri" w:hAnsi="Calibri"/>
          <w:i/>
          <w:iCs/>
          <w:color w:val="7A8E99"/>
          <w:sz w:val="20"/>
          <w:szCs w:val="20"/>
        </w:rPr>
        <w:t xml:space="preserve">— End of Report —</w:t>
      </w:r>
    </w:p>
    <w:p>
      <w:pPr>
        <w:spacing w:after="0" w:before="40"/>
        <w:jc w:val="center"/>
      </w:pPr>
      <w:r>
        <w:rPr>
          <w:rFonts w:ascii="Calibri" w:cs="Calibri" w:eastAsia="Calibri" w:hAnsi="Calibri"/>
          <w:color w:val="7A8E99"/>
          <w:sz w:val="18"/>
          <w:szCs w:val="18"/>
        </w:rPr>
        <w:t xml:space="preserve">Customer Shopping Behavior Analysis  ·  April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4F5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dashboar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2026-04-15T08:34:23.083Z</dcterms:created>
  <dcterms:modified xsi:type="dcterms:W3CDTF">2026-04-15T08:34:23.085Z</dcterms:modified>
</cp:coreProperties>
</file>

<file path=docProps/custom.xml><?xml version="1.0" encoding="utf-8"?>
<Properties xmlns="http://schemas.openxmlformats.org/officeDocument/2006/custom-properties" xmlns:vt="http://schemas.openxmlformats.org/officeDocument/2006/docPropsVTypes"/>
</file>