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C3059" w14:textId="77777777" w:rsidR="00AB5D5F" w:rsidRDefault="00000000">
      <w:pPr>
        <w:spacing w:after="80"/>
        <w:jc w:val="center"/>
      </w:pPr>
      <w:r>
        <w:rPr>
          <w:b/>
          <w:bCs/>
          <w:color w:val="1E2A38"/>
          <w:sz w:val="48"/>
          <w:szCs w:val="48"/>
        </w:rPr>
        <w:t>India E-Commerce Sales Analysis</w:t>
      </w:r>
    </w:p>
    <w:p w14:paraId="294AC5F7" w14:textId="27DA2EF4" w:rsidR="00AB5D5F" w:rsidRDefault="00000000" w:rsidP="00B7107A">
      <w:pPr>
        <w:spacing w:after="80"/>
        <w:jc w:val="center"/>
      </w:pPr>
      <w:r>
        <w:rPr>
          <w:color w:val="0F6E56"/>
          <w:sz w:val="28"/>
          <w:szCs w:val="28"/>
        </w:rPr>
        <w:t>Dashboard Insights Report</w:t>
      </w:r>
    </w:p>
    <w:p w14:paraId="34996A00" w14:textId="77777777" w:rsidR="00AB5D5F" w:rsidRDefault="00AB5D5F">
      <w:pPr>
        <w:pBdr>
          <w:bottom w:val="single" w:sz="4" w:space="1" w:color="1ABC9C"/>
        </w:pBdr>
        <w:spacing w:before="160" w:after="160"/>
      </w:pPr>
    </w:p>
    <w:p w14:paraId="7C845099" w14:textId="77777777" w:rsidR="00AB5D5F" w:rsidRDefault="00000000">
      <w:pPr>
        <w:pStyle w:val="Heading1"/>
        <w:spacing w:before="360" w:after="160"/>
      </w:pPr>
      <w:r>
        <w:rPr>
          <w:b/>
          <w:bCs/>
          <w:color w:val="1E2A38"/>
        </w:rPr>
        <w:t>1. Project Overview</w:t>
      </w:r>
    </w:p>
    <w:p w14:paraId="7B14EC2C" w14:textId="77777777" w:rsidR="00AB5D5F" w:rsidRDefault="00000000">
      <w:pPr>
        <w:spacing w:before="80" w:after="120"/>
      </w:pPr>
      <w:r>
        <w:rPr>
          <w:color w:val="2C2C2A"/>
        </w:rPr>
        <w:t>This report presents findings from an exploratory sales analysis of an Indian e-commerce platform covering the financial years 2018 and 2019. The analysis was conducted using Tableau Desktop, with data sourced from a publicly available Kaggle dataset containing three linked tables — order details, customer and location data, and monthly sales targets.</w:t>
      </w:r>
    </w:p>
    <w:p w14:paraId="6CB55815" w14:textId="77777777" w:rsidR="00AB5D5F" w:rsidRDefault="00000000">
      <w:pPr>
        <w:spacing w:before="80" w:after="120"/>
      </w:pPr>
      <w:r>
        <w:rPr>
          <w:color w:val="2C2C2A"/>
        </w:rPr>
        <w:t>The goal was to understand where sales are coming from geographically, which product categories and sub-categories are actually profitable, how demand shifts across the calendar year, and which cities are driving the most volume. Some of the findings were expected. Others were not.</w:t>
      </w:r>
    </w:p>
    <w:p w14:paraId="04010077" w14:textId="77777777" w:rsidR="00AB5D5F" w:rsidRDefault="00AB5D5F">
      <w:pPr>
        <w:pBdr>
          <w:bottom w:val="single" w:sz="4" w:space="1" w:color="1ABC9C"/>
        </w:pBdr>
        <w:spacing w:before="160" w:after="160"/>
      </w:pPr>
    </w:p>
    <w:p w14:paraId="357B78D3" w14:textId="77777777" w:rsidR="00AB5D5F" w:rsidRDefault="00000000">
      <w:pPr>
        <w:pStyle w:val="Heading1"/>
        <w:spacing w:before="360" w:after="160"/>
      </w:pPr>
      <w:r>
        <w:rPr>
          <w:b/>
          <w:bCs/>
          <w:color w:val="1E2A38"/>
        </w:rPr>
        <w:t>2. Dataset Summary</w:t>
      </w:r>
    </w:p>
    <w:p w14:paraId="5CD6F4D7" w14:textId="77777777" w:rsidR="00AB5D5F" w:rsidRDefault="00000000">
      <w:pPr>
        <w:spacing w:before="80" w:after="120"/>
      </w:pPr>
      <w:r>
        <w:rPr>
          <w:color w:val="2C2C2A"/>
        </w:rPr>
        <w:t>The dataset consists of approximately 18,000 order records spanning two fiscal years. Three CSV files were joined in Tableau using Order ID and Category as the linking keys.</w:t>
      </w:r>
    </w:p>
    <w:p w14:paraId="3D7BD32B" w14:textId="77777777" w:rsidR="00AB5D5F" w:rsidRDefault="00AB5D5F">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AB5D5F" w14:paraId="18D051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2A38"/>
            <w:tcMar>
              <w:top w:w="100" w:type="dxa"/>
              <w:left w:w="160" w:type="dxa"/>
              <w:bottom w:w="100" w:type="dxa"/>
              <w:right w:w="120" w:type="dxa"/>
            </w:tcMar>
          </w:tcPr>
          <w:p w14:paraId="5260E426" w14:textId="77777777" w:rsidR="00AB5D5F" w:rsidRDefault="00000000">
            <w:r>
              <w:rPr>
                <w:b/>
                <w:bCs/>
                <w:color w:val="ECF0F1"/>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E2A38"/>
            <w:tcMar>
              <w:top w:w="100" w:type="dxa"/>
              <w:left w:w="160" w:type="dxa"/>
              <w:bottom w:w="100" w:type="dxa"/>
              <w:right w:w="120" w:type="dxa"/>
            </w:tcMar>
          </w:tcPr>
          <w:p w14:paraId="6A1D633D" w14:textId="77777777" w:rsidR="00AB5D5F" w:rsidRDefault="00000000">
            <w:r>
              <w:rPr>
                <w:b/>
                <w:bCs/>
                <w:color w:val="ECF0F1"/>
                <w:sz w:val="20"/>
                <w:szCs w:val="20"/>
              </w:rPr>
              <w:t>Value</w:t>
            </w:r>
          </w:p>
        </w:tc>
        <w:tc>
          <w:tcPr>
            <w:tcW w:w="3900" w:type="dxa"/>
            <w:tcBorders>
              <w:top w:val="single" w:sz="1" w:space="0" w:color="CCCCCC"/>
              <w:left w:val="single" w:sz="1" w:space="0" w:color="CCCCCC"/>
              <w:bottom w:val="single" w:sz="1" w:space="0" w:color="CCCCCC"/>
              <w:right w:val="single" w:sz="1" w:space="0" w:color="CCCCCC"/>
            </w:tcBorders>
            <w:shd w:val="clear" w:color="auto" w:fill="1E2A38"/>
            <w:tcMar>
              <w:top w:w="100" w:type="dxa"/>
              <w:left w:w="160" w:type="dxa"/>
              <w:bottom w:w="100" w:type="dxa"/>
              <w:right w:w="120" w:type="dxa"/>
            </w:tcMar>
          </w:tcPr>
          <w:p w14:paraId="04750869" w14:textId="77777777" w:rsidR="00AB5D5F" w:rsidRDefault="00000000">
            <w:r>
              <w:rPr>
                <w:b/>
                <w:bCs/>
                <w:color w:val="ECF0F1"/>
                <w:sz w:val="20"/>
                <w:szCs w:val="20"/>
              </w:rPr>
              <w:t>Notes</w:t>
            </w:r>
          </w:p>
        </w:tc>
      </w:tr>
      <w:tr w:rsidR="00AB5D5F" w14:paraId="270476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20" w:type="dxa"/>
            </w:tcMar>
          </w:tcPr>
          <w:p w14:paraId="0AC70B8F" w14:textId="77777777" w:rsidR="00AB5D5F" w:rsidRDefault="00000000">
            <w:r>
              <w:rPr>
                <w:b/>
                <w:bCs/>
                <w:color w:val="0F6E56"/>
                <w:sz w:val="20"/>
                <w:szCs w:val="20"/>
              </w:rPr>
              <w:t>Total Sales</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113291F" w14:textId="77777777" w:rsidR="00AB5D5F" w:rsidRDefault="00000000">
            <w:r>
              <w:rPr>
                <w:b/>
                <w:bCs/>
                <w:color w:val="1E2A38"/>
                <w:sz w:val="20"/>
                <w:szCs w:val="20"/>
              </w:rPr>
              <w:t>₹51.78 Lakhs</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60" w:type="dxa"/>
              <w:bottom w:w="80" w:type="dxa"/>
              <w:right w:w="120" w:type="dxa"/>
            </w:tcMar>
          </w:tcPr>
          <w:p w14:paraId="271D3845" w14:textId="77777777" w:rsidR="00AB5D5F" w:rsidRDefault="00000000">
            <w:r>
              <w:rPr>
                <w:color w:val="5F5E5A"/>
                <w:sz w:val="18"/>
                <w:szCs w:val="18"/>
              </w:rPr>
              <w:t>Across all categories and cities</w:t>
            </w:r>
          </w:p>
        </w:tc>
      </w:tr>
      <w:tr w:rsidR="00AB5D5F" w14:paraId="5B14B4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20" w:type="dxa"/>
            </w:tcMar>
          </w:tcPr>
          <w:p w14:paraId="714D5D3F" w14:textId="77777777" w:rsidR="00AB5D5F" w:rsidRDefault="00000000">
            <w:r>
              <w:rPr>
                <w:b/>
                <w:bCs/>
                <w:color w:val="0F6E56"/>
                <w:sz w:val="20"/>
                <w:szCs w:val="20"/>
              </w:rPr>
              <w:t>Total Orders</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FFF397D" w14:textId="77777777" w:rsidR="00AB5D5F" w:rsidRDefault="00000000">
            <w:r>
              <w:rPr>
                <w:b/>
                <w:bCs/>
                <w:color w:val="1E2A38"/>
                <w:sz w:val="20"/>
                <w:szCs w:val="20"/>
              </w:rPr>
              <w:t>18,000</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60" w:type="dxa"/>
              <w:bottom w:w="80" w:type="dxa"/>
              <w:right w:w="120" w:type="dxa"/>
            </w:tcMar>
          </w:tcPr>
          <w:p w14:paraId="3D4D5723" w14:textId="77777777" w:rsidR="00AB5D5F" w:rsidRDefault="00000000">
            <w:r>
              <w:rPr>
                <w:color w:val="5F5E5A"/>
                <w:sz w:val="18"/>
                <w:szCs w:val="18"/>
              </w:rPr>
              <w:t>Count distinct order IDs</w:t>
            </w:r>
          </w:p>
        </w:tc>
      </w:tr>
      <w:tr w:rsidR="00AB5D5F" w14:paraId="3CA5A6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20" w:type="dxa"/>
            </w:tcMar>
          </w:tcPr>
          <w:p w14:paraId="44643E51" w14:textId="77777777" w:rsidR="00AB5D5F" w:rsidRDefault="00000000">
            <w:proofErr w:type="spellStart"/>
            <w:r>
              <w:rPr>
                <w:b/>
                <w:bCs/>
                <w:color w:val="0F6E56"/>
                <w:sz w:val="20"/>
                <w:szCs w:val="20"/>
              </w:rPr>
              <w:t>Avg</w:t>
            </w:r>
            <w:proofErr w:type="spellEnd"/>
            <w:r>
              <w:rPr>
                <w:b/>
                <w:bCs/>
                <w:color w:val="0F6E56"/>
                <w:sz w:val="20"/>
                <w:szCs w:val="20"/>
              </w:rPr>
              <w:t xml:space="preserve"> Order Value</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4B791BA" w14:textId="77777777" w:rsidR="00AB5D5F" w:rsidRDefault="00000000">
            <w:r>
              <w:rPr>
                <w:b/>
                <w:bCs/>
                <w:color w:val="1E2A38"/>
                <w:sz w:val="20"/>
                <w:szCs w:val="20"/>
              </w:rPr>
              <w:t>₹288</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60" w:type="dxa"/>
              <w:bottom w:w="80" w:type="dxa"/>
              <w:right w:w="120" w:type="dxa"/>
            </w:tcMar>
          </w:tcPr>
          <w:p w14:paraId="215E606B" w14:textId="77777777" w:rsidR="00AB5D5F" w:rsidRDefault="00000000">
            <w:r>
              <w:rPr>
                <w:color w:val="5F5E5A"/>
                <w:sz w:val="18"/>
                <w:szCs w:val="18"/>
              </w:rPr>
              <w:t>Sales divided by order count</w:t>
            </w:r>
          </w:p>
        </w:tc>
      </w:tr>
      <w:tr w:rsidR="00AB5D5F" w14:paraId="395EF7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20" w:type="dxa"/>
            </w:tcMar>
          </w:tcPr>
          <w:p w14:paraId="39E46310" w14:textId="77777777" w:rsidR="00AB5D5F" w:rsidRDefault="00000000">
            <w:r>
              <w:rPr>
                <w:b/>
                <w:bCs/>
                <w:color w:val="0F6E56"/>
                <w:sz w:val="20"/>
                <w:szCs w:val="20"/>
              </w:rPr>
              <w:t>Profit Margin</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9B9336F" w14:textId="77777777" w:rsidR="00AB5D5F" w:rsidRDefault="00000000">
            <w:r>
              <w:rPr>
                <w:b/>
                <w:bCs/>
                <w:color w:val="1E2A38"/>
                <w:sz w:val="20"/>
                <w:szCs w:val="20"/>
              </w:rPr>
              <w:t>0.5%</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60" w:type="dxa"/>
              <w:bottom w:w="80" w:type="dxa"/>
              <w:right w:w="120" w:type="dxa"/>
            </w:tcMar>
          </w:tcPr>
          <w:p w14:paraId="20F6DBE7" w14:textId="77777777" w:rsidR="00AB5D5F" w:rsidRDefault="00000000">
            <w:r>
              <w:rPr>
                <w:color w:val="5F5E5A"/>
                <w:sz w:val="18"/>
                <w:szCs w:val="18"/>
              </w:rPr>
              <w:t>Net profit / total sales</w:t>
            </w:r>
          </w:p>
        </w:tc>
      </w:tr>
      <w:tr w:rsidR="00AB5D5F" w14:paraId="6797C7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20" w:type="dxa"/>
            </w:tcMar>
          </w:tcPr>
          <w:p w14:paraId="0B514C25" w14:textId="77777777" w:rsidR="00AB5D5F" w:rsidRDefault="00000000">
            <w:r>
              <w:rPr>
                <w:b/>
                <w:bCs/>
                <w:color w:val="0F6E56"/>
                <w:sz w:val="20"/>
                <w:szCs w:val="20"/>
              </w:rPr>
              <w:t>Time Period</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8E2F12C" w14:textId="77777777" w:rsidR="00AB5D5F" w:rsidRDefault="00000000">
            <w:r>
              <w:rPr>
                <w:b/>
                <w:bCs/>
                <w:color w:val="1E2A38"/>
                <w:sz w:val="20"/>
                <w:szCs w:val="20"/>
              </w:rPr>
              <w:t>FY 2018–2019</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60" w:type="dxa"/>
              <w:bottom w:w="80" w:type="dxa"/>
              <w:right w:w="120" w:type="dxa"/>
            </w:tcMar>
          </w:tcPr>
          <w:p w14:paraId="454AF4A2" w14:textId="77777777" w:rsidR="00AB5D5F" w:rsidRDefault="00000000">
            <w:r>
              <w:rPr>
                <w:color w:val="5F5E5A"/>
                <w:sz w:val="18"/>
                <w:szCs w:val="18"/>
              </w:rPr>
              <w:t>Two full financial years</w:t>
            </w:r>
          </w:p>
        </w:tc>
      </w:tr>
      <w:tr w:rsidR="00AB5D5F" w14:paraId="670347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20" w:type="dxa"/>
            </w:tcMar>
          </w:tcPr>
          <w:p w14:paraId="44DD2669" w14:textId="77777777" w:rsidR="00AB5D5F" w:rsidRDefault="00000000">
            <w:r>
              <w:rPr>
                <w:b/>
                <w:bCs/>
                <w:color w:val="0F6E56"/>
                <w:sz w:val="20"/>
                <w:szCs w:val="20"/>
              </w:rPr>
              <w:t>Categories</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3177224" w14:textId="77777777" w:rsidR="00AB5D5F" w:rsidRDefault="00000000">
            <w:r>
              <w:rPr>
                <w:b/>
                <w:bCs/>
                <w:color w:val="1E2A38"/>
                <w:sz w:val="20"/>
                <w:szCs w:val="20"/>
              </w:rPr>
              <w:t>3 main</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60" w:type="dxa"/>
              <w:bottom w:w="80" w:type="dxa"/>
              <w:right w:w="120" w:type="dxa"/>
            </w:tcMar>
          </w:tcPr>
          <w:p w14:paraId="6582D3C6" w14:textId="77777777" w:rsidR="00AB5D5F" w:rsidRDefault="00000000">
            <w:r>
              <w:rPr>
                <w:color w:val="5F5E5A"/>
                <w:sz w:val="18"/>
                <w:szCs w:val="18"/>
              </w:rPr>
              <w:t>Electronics, Clothing, Furniture</w:t>
            </w:r>
          </w:p>
        </w:tc>
      </w:tr>
      <w:tr w:rsidR="00AB5D5F" w14:paraId="113740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20" w:type="dxa"/>
            </w:tcMar>
          </w:tcPr>
          <w:p w14:paraId="03CD25B8" w14:textId="77777777" w:rsidR="00AB5D5F" w:rsidRDefault="00000000">
            <w:r>
              <w:rPr>
                <w:b/>
                <w:bCs/>
                <w:color w:val="0F6E56"/>
                <w:sz w:val="20"/>
                <w:szCs w:val="20"/>
              </w:rPr>
              <w:t>Sub-categories</w:t>
            </w:r>
          </w:p>
        </w:tc>
        <w:tc>
          <w:tcPr>
            <w:tcW w:w="23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02CBE0F" w14:textId="77777777" w:rsidR="00AB5D5F" w:rsidRDefault="00000000">
            <w:r>
              <w:rPr>
                <w:b/>
                <w:bCs/>
                <w:color w:val="1E2A38"/>
                <w:sz w:val="20"/>
                <w:szCs w:val="20"/>
              </w:rPr>
              <w:t>17</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60" w:type="dxa"/>
              <w:bottom w:w="80" w:type="dxa"/>
              <w:right w:w="120" w:type="dxa"/>
            </w:tcMar>
          </w:tcPr>
          <w:p w14:paraId="7F844AD1" w14:textId="77777777" w:rsidR="00AB5D5F" w:rsidRDefault="00000000">
            <w:r>
              <w:rPr>
                <w:color w:val="5F5E5A"/>
                <w:sz w:val="18"/>
                <w:szCs w:val="18"/>
              </w:rPr>
              <w:t>Ranging from Stole to Tables</w:t>
            </w:r>
          </w:p>
        </w:tc>
      </w:tr>
    </w:tbl>
    <w:p w14:paraId="0FAF1287" w14:textId="77777777" w:rsidR="00AB5D5F" w:rsidRDefault="00AB5D5F">
      <w:pPr>
        <w:spacing w:before="160"/>
      </w:pPr>
    </w:p>
    <w:p w14:paraId="4A668DB9" w14:textId="77777777" w:rsidR="00AB5D5F" w:rsidRDefault="00AB5D5F">
      <w:pPr>
        <w:pBdr>
          <w:bottom w:val="single" w:sz="4" w:space="1" w:color="1ABC9C"/>
        </w:pBdr>
        <w:spacing w:before="160" w:after="160"/>
      </w:pPr>
    </w:p>
    <w:p w14:paraId="5B57D363" w14:textId="77777777" w:rsidR="00AB5D5F" w:rsidRDefault="00000000">
      <w:pPr>
        <w:pStyle w:val="Heading1"/>
        <w:spacing w:before="360" w:after="160"/>
      </w:pPr>
      <w:r>
        <w:rPr>
          <w:b/>
          <w:bCs/>
          <w:color w:val="1E2A38"/>
        </w:rPr>
        <w:t>3. Revenue and Sales Performance</w:t>
      </w:r>
    </w:p>
    <w:p w14:paraId="53556D5B" w14:textId="77777777" w:rsidR="00AB5D5F" w:rsidRDefault="00000000">
      <w:pPr>
        <w:pStyle w:val="Heading2"/>
        <w:spacing w:before="280" w:after="120"/>
      </w:pPr>
      <w:r>
        <w:rPr>
          <w:b/>
          <w:bCs/>
          <w:color w:val="0F6E56"/>
        </w:rPr>
        <w:t>3.1 Overall Numbers</w:t>
      </w:r>
    </w:p>
    <w:p w14:paraId="0F512796" w14:textId="77777777" w:rsidR="00AB5D5F" w:rsidRDefault="00000000">
      <w:pPr>
        <w:spacing w:before="80" w:after="120"/>
      </w:pPr>
      <w:r>
        <w:rPr>
          <w:color w:val="2C2C2A"/>
        </w:rPr>
        <w:t>Total sales across the two-year period came in at ₹51.78 lakhs, spread across 18,000 orders. The average order value of ₹288 is relatively low, which is consistent with a platform that sells a mix of high-volume, low-ticket items like clothing alongside higher-value electronics.</w:t>
      </w:r>
    </w:p>
    <w:p w14:paraId="37684BB5" w14:textId="77777777" w:rsidR="00AB5D5F" w:rsidRDefault="00000000">
      <w:pPr>
        <w:spacing w:before="80" w:after="120"/>
      </w:pPr>
      <w:r>
        <w:rPr>
          <w:color w:val="2C2C2A"/>
        </w:rPr>
        <w:lastRenderedPageBreak/>
        <w:t>The 0.5% profit margin is the number that stands out most. At first glance it looks concerning, but it reflects the reality of Indian e-commerce — platform discounts, return logistics, and last-mile delivery costs eat into margins significantly. The data is consistent with how major players in this space operate.</w:t>
      </w:r>
    </w:p>
    <w:p w14:paraId="372D2AA8" w14:textId="77777777" w:rsidR="00AB5D5F" w:rsidRDefault="00000000">
      <w:pPr>
        <w:pStyle w:val="Heading2"/>
        <w:spacing w:before="280" w:after="120"/>
      </w:pPr>
      <w:r>
        <w:rPr>
          <w:b/>
          <w:bCs/>
          <w:color w:val="0F6E56"/>
        </w:rPr>
        <w:t>3.2 Category Breakdown</w:t>
      </w:r>
    </w:p>
    <w:p w14:paraId="5ACA48F2" w14:textId="77777777" w:rsidR="00AB5D5F" w:rsidRDefault="00000000">
      <w:pPr>
        <w:spacing w:before="80" w:after="120"/>
      </w:pPr>
      <w:r>
        <w:rPr>
          <w:color w:val="2C2C2A"/>
        </w:rPr>
        <w:t>Electronics leads revenue at ₹19.83 lakhs, followed by Clothing at ₹16.69 lakhs and Furniture at ₹15.26 lakhs. The gap between categories is smaller than expected — typically electronics dominates e-commerce revenue by a much wider margin. This suggests the platform may have a stronger clothing and home goods customer base than average.</w:t>
      </w:r>
    </w:p>
    <w:p w14:paraId="1D5D448F" w14:textId="77777777" w:rsidR="00AB5D5F" w:rsidRDefault="00AB5D5F">
      <w:pPr>
        <w:pBdr>
          <w:bottom w:val="single" w:sz="4" w:space="1" w:color="1ABC9C"/>
        </w:pBdr>
        <w:spacing w:before="160" w:after="160"/>
      </w:pPr>
    </w:p>
    <w:p w14:paraId="1E1BD0DB" w14:textId="77777777" w:rsidR="00AB5D5F" w:rsidRDefault="00000000">
      <w:pPr>
        <w:pStyle w:val="Heading1"/>
        <w:spacing w:before="360" w:after="160"/>
      </w:pPr>
      <w:r>
        <w:rPr>
          <w:b/>
          <w:bCs/>
          <w:color w:val="1E2A38"/>
        </w:rPr>
        <w:t>4. Regional Analysis</w:t>
      </w:r>
    </w:p>
    <w:p w14:paraId="2C283029" w14:textId="77777777" w:rsidR="00AB5D5F" w:rsidRDefault="00000000">
      <w:pPr>
        <w:pStyle w:val="Heading2"/>
        <w:spacing w:before="280" w:after="120"/>
      </w:pPr>
      <w:r>
        <w:rPr>
          <w:b/>
          <w:bCs/>
          <w:color w:val="0F6E56"/>
        </w:rPr>
        <w:t>4.1 State-wise Performance</w:t>
      </w:r>
    </w:p>
    <w:p w14:paraId="1CCC5D21" w14:textId="77777777" w:rsidR="00AB5D5F" w:rsidRDefault="00000000">
      <w:pPr>
        <w:spacing w:before="80" w:after="120"/>
      </w:pPr>
      <w:r>
        <w:rPr>
          <w:color w:val="2C2C2A"/>
        </w:rPr>
        <w:t>The state-level choropleth map reveals a concentration of sales in central and southern India. Madhya Pradesh and Andhra Pradesh lead at the state level, which is somewhat unusual given that Maharashtra and Karnataka are typically assumed to be the dominant e-commerce markets.</w:t>
      </w:r>
    </w:p>
    <w:p w14:paraId="671D725C" w14:textId="77777777" w:rsidR="00AB5D5F" w:rsidRDefault="00000000">
      <w:pPr>
        <w:spacing w:before="80" w:after="120"/>
      </w:pPr>
      <w:r>
        <w:rPr>
          <w:color w:val="2C2C2A"/>
        </w:rPr>
        <w:t>This likely reflects the dataset's customer base rather than a broader market trend, but it does point to an interesting dynamic — demand in centrally located states with large populations can outpace more urbanised coastal states when platform penetration reaches smaller cities.</w:t>
      </w:r>
    </w:p>
    <w:p w14:paraId="6FB9162D" w14:textId="77777777" w:rsidR="00AB5D5F" w:rsidRDefault="00000000">
      <w:pPr>
        <w:pStyle w:val="Heading2"/>
        <w:spacing w:before="280" w:after="120"/>
      </w:pPr>
      <w:r>
        <w:rPr>
          <w:b/>
          <w:bCs/>
          <w:color w:val="0F6E56"/>
        </w:rPr>
        <w:t>4.2 Top Cities</w:t>
      </w:r>
    </w:p>
    <w:p w14:paraId="2A94A5A0" w14:textId="77777777" w:rsidR="00AB5D5F" w:rsidRDefault="00000000">
      <w:pPr>
        <w:spacing w:before="80" w:after="120"/>
      </w:pPr>
      <w:r>
        <w:rPr>
          <w:color w:val="2C2C2A"/>
        </w:rPr>
        <w:t>At the city level, the ranking is:</w:t>
      </w:r>
    </w:p>
    <w:p w14:paraId="23A2A68C" w14:textId="1BED5F18" w:rsidR="00AB5D5F" w:rsidRDefault="00000000">
      <w:pPr>
        <w:pStyle w:val="ListParagraph"/>
        <w:numPr>
          <w:ilvl w:val="0"/>
          <w:numId w:val="2"/>
        </w:numPr>
        <w:spacing w:before="60" w:after="60"/>
      </w:pPr>
      <w:r>
        <w:rPr>
          <w:color w:val="2C2C2A"/>
        </w:rPr>
        <w:t>Indore — ₹9.48 lakhs (highest)</w:t>
      </w:r>
    </w:p>
    <w:p w14:paraId="31DBFDE9" w14:textId="77777777" w:rsidR="00AB5D5F" w:rsidRDefault="00000000">
      <w:pPr>
        <w:pStyle w:val="ListParagraph"/>
        <w:numPr>
          <w:ilvl w:val="0"/>
          <w:numId w:val="2"/>
        </w:numPr>
        <w:spacing w:before="60" w:after="60"/>
      </w:pPr>
      <w:r>
        <w:rPr>
          <w:color w:val="2C2C2A"/>
        </w:rPr>
        <w:t>Mumbai — ₹7.42 lakhs</w:t>
      </w:r>
    </w:p>
    <w:p w14:paraId="5FA89E32" w14:textId="77777777" w:rsidR="00AB5D5F" w:rsidRDefault="00000000">
      <w:pPr>
        <w:pStyle w:val="ListParagraph"/>
        <w:numPr>
          <w:ilvl w:val="0"/>
          <w:numId w:val="2"/>
        </w:numPr>
        <w:spacing w:before="60" w:after="60"/>
      </w:pPr>
      <w:r>
        <w:rPr>
          <w:color w:val="2C2C2A"/>
        </w:rPr>
        <w:t>Pune — ₹4.01 lakhs</w:t>
      </w:r>
    </w:p>
    <w:p w14:paraId="62C9DA19" w14:textId="77777777" w:rsidR="00AB5D5F" w:rsidRDefault="00000000">
      <w:pPr>
        <w:pStyle w:val="ListParagraph"/>
        <w:numPr>
          <w:ilvl w:val="0"/>
          <w:numId w:val="2"/>
        </w:numPr>
        <w:spacing w:before="60" w:after="60"/>
      </w:pPr>
      <w:r>
        <w:rPr>
          <w:color w:val="2C2C2A"/>
        </w:rPr>
        <w:t>Delhi — ₹3.00 lakhs</w:t>
      </w:r>
    </w:p>
    <w:p w14:paraId="74C0ED89" w14:textId="77777777" w:rsidR="00AB5D5F" w:rsidRDefault="00000000">
      <w:pPr>
        <w:pStyle w:val="ListParagraph"/>
        <w:numPr>
          <w:ilvl w:val="0"/>
          <w:numId w:val="2"/>
        </w:numPr>
        <w:spacing w:before="60" w:after="60"/>
      </w:pPr>
      <w:r>
        <w:rPr>
          <w:color w:val="2C2C2A"/>
        </w:rPr>
        <w:t>Bhopal — ₹2.82 lakhs</w:t>
      </w:r>
    </w:p>
    <w:p w14:paraId="286595A9" w14:textId="77777777" w:rsidR="00AB5D5F" w:rsidRDefault="00000000">
      <w:pPr>
        <w:spacing w:before="80" w:after="120"/>
      </w:pPr>
      <w:r>
        <w:rPr>
          <w:color w:val="2C2C2A"/>
        </w:rPr>
        <w:t>Indore topping the list is the single most surprising finding in this analysis. It is not typically cited as a major e-commerce hub, yet it outperforms Mumbai by a significant margin in this dataset. This could reflect regional pricing differences, a particularly active customer segment, or data characteristics specific to this platform's user base.</w:t>
      </w:r>
    </w:p>
    <w:p w14:paraId="5C2B35A8" w14:textId="77777777" w:rsidR="00AB5D5F" w:rsidRDefault="00AB5D5F">
      <w:pPr>
        <w:pBdr>
          <w:bottom w:val="single" w:sz="4" w:space="1" w:color="1ABC9C"/>
        </w:pBdr>
        <w:spacing w:before="160" w:after="160"/>
      </w:pPr>
    </w:p>
    <w:p w14:paraId="00B64FE4" w14:textId="77777777" w:rsidR="00AB5D5F" w:rsidRDefault="00000000">
      <w:pPr>
        <w:pStyle w:val="Heading1"/>
        <w:spacing w:before="360" w:after="160"/>
      </w:pPr>
      <w:r>
        <w:rPr>
          <w:b/>
          <w:bCs/>
          <w:color w:val="1E2A38"/>
        </w:rPr>
        <w:t>5. Seasonality and Monthly Trends</w:t>
      </w:r>
    </w:p>
    <w:p w14:paraId="6D2399D8" w14:textId="77777777" w:rsidR="00AB5D5F" w:rsidRDefault="00000000">
      <w:pPr>
        <w:spacing w:before="80" w:after="120"/>
      </w:pPr>
      <w:r>
        <w:rPr>
          <w:color w:val="2C2C2A"/>
        </w:rPr>
        <w:t>The monthly trend line shows two clear peaks and one pronounced trough across the year.</w:t>
      </w:r>
    </w:p>
    <w:p w14:paraId="09D1E045" w14:textId="77777777" w:rsidR="00AB5D5F" w:rsidRDefault="00000000">
      <w:pPr>
        <w:spacing w:before="80" w:after="120"/>
      </w:pPr>
      <w:r>
        <w:rPr>
          <w:color w:val="2C2C2A"/>
        </w:rPr>
        <w:t>January records the highest sales at ₹7.37 lakhs. This is likely driven by post-Diwali clearance sales carrying into the new year, combined with Republic Day sale events that most Indian e-commerce platforms run. November comes in second at ₹5.77 lakhs, which aligns with Diwali and the broader festive shopping season.</w:t>
      </w:r>
    </w:p>
    <w:p w14:paraId="53956C31" w14:textId="77777777" w:rsidR="00AB5D5F" w:rsidRDefault="00000000">
      <w:pPr>
        <w:spacing w:before="80" w:after="120"/>
      </w:pPr>
      <w:r>
        <w:rPr>
          <w:color w:val="2C2C2A"/>
        </w:rPr>
        <w:lastRenderedPageBreak/>
        <w:t>July is the weakest month at just ₹1.55 lakhs. This follows a consistent summer slowdown pattern in Indian retail — school holidays, pre-monsoon heat, and a lack of major sale events contribute to reduced discretionary spending during this period.</w:t>
      </w:r>
    </w:p>
    <w:p w14:paraId="26646553" w14:textId="77777777" w:rsidR="00AB5D5F" w:rsidRDefault="00000000">
      <w:pPr>
        <w:spacing w:before="80" w:after="120"/>
      </w:pPr>
      <w:r>
        <w:rPr>
          <w:color w:val="2C2C2A"/>
        </w:rPr>
        <w:t>The trend from January through July is a sustained decline, after which sales gradually recover heading into the festive quarter. Any inventory or marketing planning based on this data should account for this predictable dip.</w:t>
      </w:r>
    </w:p>
    <w:p w14:paraId="748FEC9A" w14:textId="77777777" w:rsidR="00AB5D5F" w:rsidRDefault="00AB5D5F">
      <w:pPr>
        <w:pBdr>
          <w:bottom w:val="single" w:sz="4" w:space="1" w:color="1ABC9C"/>
        </w:pBdr>
        <w:spacing w:before="160" w:after="160"/>
      </w:pPr>
    </w:p>
    <w:p w14:paraId="5074CCC6" w14:textId="77777777" w:rsidR="00AB5D5F" w:rsidRDefault="00000000">
      <w:pPr>
        <w:pStyle w:val="Heading1"/>
        <w:spacing w:before="360" w:after="160"/>
      </w:pPr>
      <w:r>
        <w:rPr>
          <w:b/>
          <w:bCs/>
          <w:color w:val="1E2A38"/>
        </w:rPr>
        <w:t>6. Profitability by Sub-Category</w:t>
      </w:r>
    </w:p>
    <w:p w14:paraId="2BE0B973" w14:textId="77777777" w:rsidR="00AB5D5F" w:rsidRDefault="00000000">
      <w:pPr>
        <w:pStyle w:val="Heading2"/>
        <w:spacing w:before="280" w:after="120"/>
      </w:pPr>
      <w:r>
        <w:rPr>
          <w:b/>
          <w:bCs/>
          <w:color w:val="0F6E56"/>
        </w:rPr>
        <w:t>6.1 Top Performing Sub-Categories</w:t>
      </w:r>
    </w:p>
    <w:p w14:paraId="67372B5F" w14:textId="77777777" w:rsidR="00AB5D5F" w:rsidRDefault="00000000">
      <w:pPr>
        <w:spacing w:before="80" w:after="120"/>
      </w:pPr>
      <w:r>
        <w:rPr>
          <w:color w:val="2C2C2A"/>
        </w:rPr>
        <w:t>At the sub-category level, the profit picture is more nuanced than the category totals suggest. The top five most profitable sub-categories are:</w:t>
      </w:r>
    </w:p>
    <w:p w14:paraId="4A87B700" w14:textId="77777777" w:rsidR="00AB5D5F" w:rsidRDefault="00000000">
      <w:pPr>
        <w:pStyle w:val="ListParagraph"/>
        <w:numPr>
          <w:ilvl w:val="0"/>
          <w:numId w:val="2"/>
        </w:numPr>
        <w:spacing w:before="60" w:after="60"/>
      </w:pPr>
      <w:r>
        <w:rPr>
          <w:color w:val="2C2C2A"/>
        </w:rPr>
        <w:t>Stole — ₹14,416 profit</w:t>
      </w:r>
    </w:p>
    <w:p w14:paraId="53844C85" w14:textId="77777777" w:rsidR="00AB5D5F" w:rsidRDefault="00000000">
      <w:pPr>
        <w:pStyle w:val="ListParagraph"/>
        <w:numPr>
          <w:ilvl w:val="0"/>
          <w:numId w:val="2"/>
        </w:numPr>
        <w:spacing w:before="60" w:after="60"/>
      </w:pPr>
      <w:proofErr w:type="spellStart"/>
      <w:r>
        <w:rPr>
          <w:color w:val="2C2C2A"/>
        </w:rPr>
        <w:t>Hankerchief</w:t>
      </w:r>
      <w:proofErr w:type="spellEnd"/>
      <w:r>
        <w:rPr>
          <w:color w:val="2C2C2A"/>
        </w:rPr>
        <w:t xml:space="preserve"> — ₹11,952 profit</w:t>
      </w:r>
    </w:p>
    <w:p w14:paraId="15787C23" w14:textId="77777777" w:rsidR="00AB5D5F" w:rsidRDefault="00000000">
      <w:pPr>
        <w:pStyle w:val="ListParagraph"/>
        <w:numPr>
          <w:ilvl w:val="0"/>
          <w:numId w:val="2"/>
        </w:numPr>
        <w:spacing w:before="60" w:after="60"/>
      </w:pPr>
      <w:r>
        <w:rPr>
          <w:color w:val="2C2C2A"/>
        </w:rPr>
        <w:t>Bookcases — ₹11,430 profit</w:t>
      </w:r>
    </w:p>
    <w:p w14:paraId="4A3EFAD2" w14:textId="77777777" w:rsidR="00AB5D5F" w:rsidRDefault="00000000">
      <w:pPr>
        <w:pStyle w:val="ListParagraph"/>
        <w:numPr>
          <w:ilvl w:val="0"/>
          <w:numId w:val="2"/>
        </w:numPr>
        <w:spacing w:before="60" w:after="60"/>
      </w:pPr>
      <w:r>
        <w:rPr>
          <w:color w:val="2C2C2A"/>
        </w:rPr>
        <w:t>Shirt — ₹9,152 profit</w:t>
      </w:r>
    </w:p>
    <w:p w14:paraId="6D29154A" w14:textId="77777777" w:rsidR="00AB5D5F" w:rsidRDefault="00000000">
      <w:pPr>
        <w:pStyle w:val="ListParagraph"/>
        <w:numPr>
          <w:ilvl w:val="0"/>
          <w:numId w:val="2"/>
        </w:numPr>
        <w:spacing w:before="60" w:after="60"/>
      </w:pPr>
      <w:r>
        <w:rPr>
          <w:color w:val="2C2C2A"/>
        </w:rPr>
        <w:t>Saree — ₹8,880 profit</w:t>
      </w:r>
    </w:p>
    <w:p w14:paraId="5C22B144" w14:textId="77777777" w:rsidR="00AB5D5F" w:rsidRDefault="00000000">
      <w:pPr>
        <w:spacing w:before="80" w:after="120"/>
      </w:pPr>
      <w:r>
        <w:rPr>
          <w:color w:val="2C2C2A"/>
        </w:rPr>
        <w:t xml:space="preserve">Stole and </w:t>
      </w:r>
      <w:proofErr w:type="spellStart"/>
      <w:r>
        <w:rPr>
          <w:color w:val="2C2C2A"/>
        </w:rPr>
        <w:t>Hankerchief</w:t>
      </w:r>
      <w:proofErr w:type="spellEnd"/>
      <w:r>
        <w:rPr>
          <w:color w:val="2C2C2A"/>
        </w:rPr>
        <w:t xml:space="preserve"> standing at the top is interesting — these are low-cost, high-volume clothing accessories with presumably minimal logistics complexity. They represent a strong margin opportunity that the category view completely obscures.</w:t>
      </w:r>
    </w:p>
    <w:p w14:paraId="39F7616F" w14:textId="77777777" w:rsidR="00AB5D5F" w:rsidRDefault="00000000">
      <w:pPr>
        <w:pStyle w:val="Heading2"/>
        <w:spacing w:before="280" w:after="120"/>
      </w:pPr>
      <w:r>
        <w:rPr>
          <w:b/>
          <w:bCs/>
          <w:color w:val="0F6E56"/>
        </w:rPr>
        <w:t>6.2 Loss-Making Sub-Categories</w:t>
      </w:r>
    </w:p>
    <w:p w14:paraId="6261B018" w14:textId="77777777" w:rsidR="00AB5D5F" w:rsidRDefault="00000000">
      <w:pPr>
        <w:spacing w:before="80" w:after="120"/>
      </w:pPr>
      <w:r>
        <w:rPr>
          <w:color w:val="2C2C2A"/>
        </w:rPr>
        <w:t>Two sub-categories are running at a loss:</w:t>
      </w:r>
    </w:p>
    <w:p w14:paraId="58AD8194" w14:textId="77777777" w:rsidR="00AB5D5F" w:rsidRDefault="00000000">
      <w:pPr>
        <w:pStyle w:val="ListParagraph"/>
        <w:numPr>
          <w:ilvl w:val="0"/>
          <w:numId w:val="2"/>
        </w:numPr>
        <w:spacing w:before="60" w:after="60"/>
      </w:pPr>
      <w:r>
        <w:rPr>
          <w:color w:val="2C2C2A"/>
        </w:rPr>
        <w:t>Tables — loss of ₹2,410</w:t>
      </w:r>
    </w:p>
    <w:p w14:paraId="1350E415" w14:textId="68C4C318" w:rsidR="00AB5D5F" w:rsidRDefault="00000000">
      <w:pPr>
        <w:pStyle w:val="ListParagraph"/>
        <w:numPr>
          <w:ilvl w:val="0"/>
          <w:numId w:val="2"/>
        </w:numPr>
        <w:spacing w:before="60" w:after="60"/>
      </w:pPr>
      <w:r>
        <w:rPr>
          <w:color w:val="2C2C2A"/>
        </w:rPr>
        <w:t>Chairs — loss of ₹3,896 (filtered view)</w:t>
      </w:r>
    </w:p>
    <w:p w14:paraId="214AC0E3" w14:textId="77777777" w:rsidR="00AB5D5F" w:rsidRDefault="00000000">
      <w:pPr>
        <w:spacing w:before="80" w:after="120"/>
      </w:pPr>
      <w:r>
        <w:rPr>
          <w:color w:val="2C2C2A"/>
        </w:rPr>
        <w:t>Both are Furniture sub-categories. Large furniture items are expensive to ship, prone to returns due to damage, and often require assembly — all of which compress margins. The Furniture category as a whole appears profitable because other sub-categories like Bookcases offset these losses, but Tables and Chairs warrant closer examination at the product level.</w:t>
      </w:r>
    </w:p>
    <w:p w14:paraId="4BD69457" w14:textId="77777777" w:rsidR="00AB5D5F" w:rsidRDefault="00000000">
      <w:pPr>
        <w:spacing w:before="80" w:after="120"/>
      </w:pPr>
      <w:r>
        <w:rPr>
          <w:color w:val="2C2C2A"/>
        </w:rPr>
        <w:t>If this were a live business analysis, the recommendation would be to either renegotiate logistics costs for these items, introduce minimum order values, or consider whether the platform should continue stocking them at current price points.</w:t>
      </w:r>
    </w:p>
    <w:p w14:paraId="02059936" w14:textId="77777777" w:rsidR="00AB5D5F" w:rsidRDefault="00AB5D5F">
      <w:pPr>
        <w:pBdr>
          <w:bottom w:val="single" w:sz="4" w:space="1" w:color="1ABC9C"/>
        </w:pBdr>
        <w:spacing w:before="160" w:after="160"/>
      </w:pPr>
    </w:p>
    <w:p w14:paraId="2BD36AA9" w14:textId="77777777" w:rsidR="00AB5D5F" w:rsidRDefault="00000000">
      <w:pPr>
        <w:pStyle w:val="Heading1"/>
        <w:spacing w:before="360" w:after="160"/>
      </w:pPr>
      <w:r>
        <w:rPr>
          <w:b/>
          <w:bCs/>
          <w:color w:val="1E2A38"/>
        </w:rPr>
        <w:t>7. Summary of Key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B5D5F" w14:paraId="7CA380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20" w:type="dxa"/>
            </w:tcMar>
          </w:tcPr>
          <w:p w14:paraId="68AF9828" w14:textId="77777777" w:rsidR="00AB5D5F" w:rsidRDefault="00000000">
            <w:r>
              <w:rPr>
                <w:b/>
                <w:bCs/>
                <w:color w:val="0F6E56"/>
                <w:sz w:val="20"/>
                <w:szCs w:val="20"/>
              </w:rPr>
              <w:t>Finding</w:t>
            </w:r>
          </w:p>
        </w:tc>
        <w:tc>
          <w:tcPr>
            <w:tcW w:w="468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20" w:type="dxa"/>
            </w:tcMar>
          </w:tcPr>
          <w:p w14:paraId="336D214E" w14:textId="77777777" w:rsidR="00AB5D5F" w:rsidRDefault="00000000">
            <w:r>
              <w:rPr>
                <w:b/>
                <w:bCs/>
                <w:color w:val="0F6E56"/>
                <w:sz w:val="20"/>
                <w:szCs w:val="20"/>
              </w:rPr>
              <w:t>Implication</w:t>
            </w:r>
          </w:p>
        </w:tc>
      </w:tr>
      <w:tr w:rsidR="00AB5D5F" w14:paraId="7B55E6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79705C1" w14:textId="77777777" w:rsidR="00AB5D5F" w:rsidRDefault="00000000">
            <w:r>
              <w:rPr>
                <w:sz w:val="20"/>
                <w:szCs w:val="20"/>
              </w:rPr>
              <w:t>Indore is the top sales city</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60" w:type="dxa"/>
              <w:bottom w:w="80" w:type="dxa"/>
              <w:right w:w="120" w:type="dxa"/>
            </w:tcMar>
          </w:tcPr>
          <w:p w14:paraId="67C4935B" w14:textId="77777777" w:rsidR="00AB5D5F" w:rsidRDefault="00000000">
            <w:r>
              <w:rPr>
                <w:color w:val="5F5E5A"/>
                <w:sz w:val="20"/>
                <w:szCs w:val="20"/>
              </w:rPr>
              <w:t>Tier 2 city demand is underestimated</w:t>
            </w:r>
          </w:p>
        </w:tc>
      </w:tr>
      <w:tr w:rsidR="00AB5D5F" w14:paraId="6AEA36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9795BB4" w14:textId="77777777" w:rsidR="00AB5D5F" w:rsidRDefault="00000000">
            <w:r>
              <w:rPr>
                <w:sz w:val="20"/>
                <w:szCs w:val="20"/>
              </w:rPr>
              <w:t>Tables &amp; Chairs are loss-making</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60" w:type="dxa"/>
              <w:bottom w:w="80" w:type="dxa"/>
              <w:right w:w="120" w:type="dxa"/>
            </w:tcMar>
          </w:tcPr>
          <w:p w14:paraId="2FBFC4B6" w14:textId="77777777" w:rsidR="00AB5D5F" w:rsidRDefault="00000000">
            <w:r>
              <w:rPr>
                <w:color w:val="5F5E5A"/>
                <w:sz w:val="20"/>
                <w:szCs w:val="20"/>
              </w:rPr>
              <w:t>Category view masks sub-category issues</w:t>
            </w:r>
          </w:p>
        </w:tc>
      </w:tr>
      <w:tr w:rsidR="00AB5D5F" w14:paraId="095926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628C347" w14:textId="77777777" w:rsidR="00AB5D5F" w:rsidRDefault="00000000">
            <w:r>
              <w:rPr>
                <w:sz w:val="20"/>
                <w:szCs w:val="20"/>
              </w:rPr>
              <w:lastRenderedPageBreak/>
              <w:t>July is the weakest month</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60" w:type="dxa"/>
              <w:bottom w:w="80" w:type="dxa"/>
              <w:right w:w="120" w:type="dxa"/>
            </w:tcMar>
          </w:tcPr>
          <w:p w14:paraId="54D84EF0" w14:textId="77777777" w:rsidR="00AB5D5F" w:rsidRDefault="00000000">
            <w:r>
              <w:rPr>
                <w:color w:val="5F5E5A"/>
                <w:sz w:val="20"/>
                <w:szCs w:val="20"/>
              </w:rPr>
              <w:t>Plan promotions for summer slowdown</w:t>
            </w:r>
          </w:p>
        </w:tc>
      </w:tr>
      <w:tr w:rsidR="00AB5D5F" w14:paraId="0C7EA4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C212A61" w14:textId="77777777" w:rsidR="00AB5D5F" w:rsidRDefault="00000000">
            <w:r>
              <w:rPr>
                <w:sz w:val="20"/>
                <w:szCs w:val="20"/>
              </w:rPr>
              <w:t>Stole has highest sub-cat profit</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60" w:type="dxa"/>
              <w:bottom w:w="80" w:type="dxa"/>
              <w:right w:w="120" w:type="dxa"/>
            </w:tcMar>
          </w:tcPr>
          <w:p w14:paraId="5F63A35A" w14:textId="77777777" w:rsidR="00AB5D5F" w:rsidRDefault="00000000">
            <w:r>
              <w:rPr>
                <w:color w:val="5F5E5A"/>
                <w:sz w:val="20"/>
                <w:szCs w:val="20"/>
              </w:rPr>
              <w:t>Accessories offer better margins than big items</w:t>
            </w:r>
          </w:p>
        </w:tc>
      </w:tr>
      <w:tr w:rsidR="00AB5D5F" w14:paraId="0C25C6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1896A17" w14:textId="77777777" w:rsidR="00AB5D5F" w:rsidRDefault="00000000">
            <w:r>
              <w:rPr>
                <w:sz w:val="20"/>
                <w:szCs w:val="20"/>
              </w:rPr>
              <w:t>Overall margin is 0.5%</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60" w:type="dxa"/>
              <w:bottom w:w="80" w:type="dxa"/>
              <w:right w:w="120" w:type="dxa"/>
            </w:tcMar>
          </w:tcPr>
          <w:p w14:paraId="3FB7E054" w14:textId="77777777" w:rsidR="00AB5D5F" w:rsidRDefault="00000000">
            <w:r>
              <w:rPr>
                <w:color w:val="5F5E5A"/>
                <w:sz w:val="20"/>
                <w:szCs w:val="20"/>
              </w:rPr>
              <w:t>Reflects discount-heavy Indian e-commerce</w:t>
            </w:r>
          </w:p>
        </w:tc>
      </w:tr>
    </w:tbl>
    <w:p w14:paraId="5C771AAC" w14:textId="77777777" w:rsidR="00AB5D5F" w:rsidRDefault="00AB5D5F">
      <w:pPr>
        <w:pBdr>
          <w:bottom w:val="single" w:sz="4" w:space="1" w:color="1ABC9C"/>
        </w:pBdr>
        <w:spacing w:before="160" w:after="160"/>
      </w:pPr>
    </w:p>
    <w:p w14:paraId="2639F66A" w14:textId="5F7D5159" w:rsidR="00AB5D5F" w:rsidRDefault="00AB5D5F">
      <w:pPr>
        <w:jc w:val="center"/>
      </w:pPr>
    </w:p>
    <w:sectPr w:rsidR="00AB5D5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F8706" w14:textId="77777777" w:rsidR="00D12459" w:rsidRDefault="00D12459">
      <w:r>
        <w:separator/>
      </w:r>
    </w:p>
  </w:endnote>
  <w:endnote w:type="continuationSeparator" w:id="0">
    <w:p w14:paraId="1540AB89" w14:textId="77777777" w:rsidR="00D12459" w:rsidRDefault="00D12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0E261" w14:textId="1F4D500E" w:rsidR="00AB5D5F" w:rsidRDefault="00AB5D5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A2E16" w14:textId="77777777" w:rsidR="00D12459" w:rsidRDefault="00D12459">
      <w:r>
        <w:separator/>
      </w:r>
    </w:p>
  </w:footnote>
  <w:footnote w:type="continuationSeparator" w:id="0">
    <w:p w14:paraId="1498E567" w14:textId="77777777" w:rsidR="00D12459" w:rsidRDefault="00D124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B1C02"/>
    <w:multiLevelType w:val="hybridMultilevel"/>
    <w:tmpl w:val="3D8EED88"/>
    <w:lvl w:ilvl="0" w:tplc="0FBC1A12">
      <w:start w:val="1"/>
      <w:numFmt w:val="bullet"/>
      <w:lvlText w:val="•"/>
      <w:lvlJc w:val="left"/>
      <w:pPr>
        <w:ind w:left="720" w:hanging="360"/>
      </w:pPr>
    </w:lvl>
    <w:lvl w:ilvl="1" w:tplc="7096B688">
      <w:numFmt w:val="decimal"/>
      <w:lvlText w:val=""/>
      <w:lvlJc w:val="left"/>
    </w:lvl>
    <w:lvl w:ilvl="2" w:tplc="27565F7A">
      <w:numFmt w:val="decimal"/>
      <w:lvlText w:val=""/>
      <w:lvlJc w:val="left"/>
    </w:lvl>
    <w:lvl w:ilvl="3" w:tplc="57C6DFE0">
      <w:numFmt w:val="decimal"/>
      <w:lvlText w:val=""/>
      <w:lvlJc w:val="left"/>
    </w:lvl>
    <w:lvl w:ilvl="4" w:tplc="444EB3B6">
      <w:numFmt w:val="decimal"/>
      <w:lvlText w:val=""/>
      <w:lvlJc w:val="left"/>
    </w:lvl>
    <w:lvl w:ilvl="5" w:tplc="E2FA2F8C">
      <w:numFmt w:val="decimal"/>
      <w:lvlText w:val=""/>
      <w:lvlJc w:val="left"/>
    </w:lvl>
    <w:lvl w:ilvl="6" w:tplc="85E88C9E">
      <w:numFmt w:val="decimal"/>
      <w:lvlText w:val=""/>
      <w:lvlJc w:val="left"/>
    </w:lvl>
    <w:lvl w:ilvl="7" w:tplc="FA7ACB2E">
      <w:numFmt w:val="decimal"/>
      <w:lvlText w:val=""/>
      <w:lvlJc w:val="left"/>
    </w:lvl>
    <w:lvl w:ilvl="8" w:tplc="182827D2">
      <w:numFmt w:val="decimal"/>
      <w:lvlText w:val=""/>
      <w:lvlJc w:val="left"/>
    </w:lvl>
  </w:abstractNum>
  <w:abstractNum w:abstractNumId="1" w15:restartNumberingAfterBreak="0">
    <w:nsid w:val="7EA67B56"/>
    <w:multiLevelType w:val="hybridMultilevel"/>
    <w:tmpl w:val="1A78C336"/>
    <w:lvl w:ilvl="0" w:tplc="8F10E978">
      <w:start w:val="1"/>
      <w:numFmt w:val="bullet"/>
      <w:lvlText w:val="●"/>
      <w:lvlJc w:val="left"/>
      <w:pPr>
        <w:ind w:left="720" w:hanging="360"/>
      </w:pPr>
    </w:lvl>
    <w:lvl w:ilvl="1" w:tplc="295AED76">
      <w:start w:val="1"/>
      <w:numFmt w:val="bullet"/>
      <w:lvlText w:val="○"/>
      <w:lvlJc w:val="left"/>
      <w:pPr>
        <w:ind w:left="1440" w:hanging="360"/>
      </w:pPr>
    </w:lvl>
    <w:lvl w:ilvl="2" w:tplc="569E745A">
      <w:start w:val="1"/>
      <w:numFmt w:val="bullet"/>
      <w:lvlText w:val="■"/>
      <w:lvlJc w:val="left"/>
      <w:pPr>
        <w:ind w:left="2160" w:hanging="360"/>
      </w:pPr>
    </w:lvl>
    <w:lvl w:ilvl="3" w:tplc="FD98379E">
      <w:start w:val="1"/>
      <w:numFmt w:val="bullet"/>
      <w:lvlText w:val="●"/>
      <w:lvlJc w:val="left"/>
      <w:pPr>
        <w:ind w:left="2880" w:hanging="360"/>
      </w:pPr>
    </w:lvl>
    <w:lvl w:ilvl="4" w:tplc="0DC8EED4">
      <w:start w:val="1"/>
      <w:numFmt w:val="bullet"/>
      <w:lvlText w:val="○"/>
      <w:lvlJc w:val="left"/>
      <w:pPr>
        <w:ind w:left="3600" w:hanging="360"/>
      </w:pPr>
    </w:lvl>
    <w:lvl w:ilvl="5" w:tplc="E2A8E922">
      <w:start w:val="1"/>
      <w:numFmt w:val="bullet"/>
      <w:lvlText w:val="■"/>
      <w:lvlJc w:val="left"/>
      <w:pPr>
        <w:ind w:left="4320" w:hanging="360"/>
      </w:pPr>
    </w:lvl>
    <w:lvl w:ilvl="6" w:tplc="7D0CD3AE">
      <w:start w:val="1"/>
      <w:numFmt w:val="bullet"/>
      <w:lvlText w:val="●"/>
      <w:lvlJc w:val="left"/>
      <w:pPr>
        <w:ind w:left="5040" w:hanging="360"/>
      </w:pPr>
    </w:lvl>
    <w:lvl w:ilvl="7" w:tplc="66624E2A">
      <w:start w:val="1"/>
      <w:numFmt w:val="bullet"/>
      <w:lvlText w:val="●"/>
      <w:lvlJc w:val="left"/>
      <w:pPr>
        <w:ind w:left="5760" w:hanging="360"/>
      </w:pPr>
    </w:lvl>
    <w:lvl w:ilvl="8" w:tplc="3626CD4E">
      <w:start w:val="1"/>
      <w:numFmt w:val="bullet"/>
      <w:lvlText w:val="●"/>
      <w:lvlJc w:val="left"/>
      <w:pPr>
        <w:ind w:left="6480" w:hanging="360"/>
      </w:pPr>
    </w:lvl>
  </w:abstractNum>
  <w:num w:numId="1" w16cid:durableId="1029837229">
    <w:abstractNumId w:val="1"/>
    <w:lvlOverride w:ilvl="0">
      <w:startOverride w:val="1"/>
    </w:lvlOverride>
  </w:num>
  <w:num w:numId="2" w16cid:durableId="1343313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D5F"/>
    <w:rsid w:val="00AB5D5F"/>
    <w:rsid w:val="00B7107A"/>
    <w:rsid w:val="00D12459"/>
    <w:rsid w:val="00EA4E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01515"/>
  <w15:docId w15:val="{070AF17F-7D5B-4B4B-B1DC-1A95BFC6F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7107A"/>
    <w:pPr>
      <w:tabs>
        <w:tab w:val="center" w:pos="4513"/>
        <w:tab w:val="right" w:pos="9026"/>
      </w:tabs>
    </w:pPr>
  </w:style>
  <w:style w:type="character" w:customStyle="1" w:styleId="HeaderChar">
    <w:name w:val="Header Char"/>
    <w:basedOn w:val="DefaultParagraphFont"/>
    <w:link w:val="Header"/>
    <w:uiPriority w:val="99"/>
    <w:rsid w:val="00B7107A"/>
  </w:style>
  <w:style w:type="paragraph" w:styleId="Footer">
    <w:name w:val="footer"/>
    <w:basedOn w:val="Normal"/>
    <w:link w:val="FooterChar"/>
    <w:uiPriority w:val="99"/>
    <w:unhideWhenUsed/>
    <w:rsid w:val="00B7107A"/>
    <w:pPr>
      <w:tabs>
        <w:tab w:val="center" w:pos="4513"/>
        <w:tab w:val="right" w:pos="9026"/>
      </w:tabs>
    </w:pPr>
  </w:style>
  <w:style w:type="character" w:customStyle="1" w:styleId="FooterChar">
    <w:name w:val="Footer Char"/>
    <w:basedOn w:val="DefaultParagraphFont"/>
    <w:link w:val="Footer"/>
    <w:uiPriority w:val="99"/>
    <w:rsid w:val="00B71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904</Words>
  <Characters>5153</Characters>
  <Application>Microsoft Office Word</Application>
  <DocSecurity>0</DocSecurity>
  <Lines>42</Lines>
  <Paragraphs>12</Paragraphs>
  <ScaleCrop>false</ScaleCrop>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suhail siddiqui</cp:lastModifiedBy>
  <cp:revision>2</cp:revision>
  <dcterms:created xsi:type="dcterms:W3CDTF">2026-05-06T06:11:00Z</dcterms:created>
  <dcterms:modified xsi:type="dcterms:W3CDTF">2026-05-06T06:19:00Z</dcterms:modified>
</cp:coreProperties>
</file>